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65A8" w14:textId="2055B0F6" w:rsidR="00042BF3" w:rsidRDefault="00F200F9" w:rsidP="009D6430">
      <w:pPr>
        <w:jc w:val="center"/>
        <w:rPr>
          <w:rFonts w:asciiTheme="majorBidi" w:hAnsiTheme="majorBidi" w:cstheme="majorBidi"/>
          <w:b/>
          <w:bCs/>
          <w:sz w:val="24"/>
          <w:szCs w:val="24"/>
        </w:rPr>
      </w:pPr>
      <w:r w:rsidRPr="00B92144">
        <w:rPr>
          <w:rFonts w:asciiTheme="majorBidi" w:hAnsiTheme="majorBidi" w:cstheme="majorBidi"/>
          <w:b/>
          <w:bCs/>
          <w:sz w:val="24"/>
          <w:szCs w:val="24"/>
        </w:rPr>
        <w:t xml:space="preserve"> </w:t>
      </w:r>
      <w:r w:rsidR="009D6430" w:rsidRPr="00B92144">
        <w:rPr>
          <w:rFonts w:asciiTheme="majorBidi" w:hAnsiTheme="majorBidi" w:cstheme="majorBidi"/>
          <w:b/>
          <w:bCs/>
          <w:sz w:val="24"/>
          <w:szCs w:val="24"/>
        </w:rPr>
        <w:t>What Drives Risk Disclosure in Islamic and Conventional Banks? An International Comparison.</w:t>
      </w:r>
    </w:p>
    <w:p w14:paraId="127280C5" w14:textId="28AE1383" w:rsidR="00612D3C" w:rsidRDefault="00612D3C" w:rsidP="009D6430">
      <w:pPr>
        <w:jc w:val="center"/>
        <w:rPr>
          <w:rFonts w:asciiTheme="majorBidi" w:hAnsiTheme="majorBidi" w:cstheme="majorBidi"/>
          <w:b/>
          <w:bCs/>
          <w:sz w:val="24"/>
          <w:szCs w:val="24"/>
        </w:rPr>
      </w:pPr>
    </w:p>
    <w:tbl>
      <w:tblPr>
        <w:tblStyle w:val="TableGrid"/>
        <w:tblW w:w="53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tblGrid>
      <w:tr w:rsidR="00612D3C" w:rsidRPr="00E23A0A" w14:paraId="5B1E8536" w14:textId="77777777" w:rsidTr="00FF1CAE">
        <w:trPr>
          <w:jc w:val="center"/>
        </w:trPr>
        <w:tc>
          <w:tcPr>
            <w:tcW w:w="5305" w:type="dxa"/>
          </w:tcPr>
          <w:p w14:paraId="219D6FF2" w14:textId="77777777" w:rsidR="00612D3C" w:rsidRDefault="00612D3C" w:rsidP="00FF1CAE">
            <w:pPr>
              <w:autoSpaceDE w:val="0"/>
              <w:autoSpaceDN w:val="0"/>
              <w:adjustRightInd w:val="0"/>
              <w:jc w:val="center"/>
              <w:rPr>
                <w:rFonts w:asciiTheme="majorBidi" w:hAnsiTheme="majorBidi" w:cstheme="majorBidi"/>
                <w:b/>
                <w:bCs/>
                <w:color w:val="000000"/>
              </w:rPr>
            </w:pPr>
          </w:p>
          <w:p w14:paraId="2FDC54BB" w14:textId="77777777" w:rsidR="00612D3C" w:rsidRDefault="00612D3C" w:rsidP="00FF1CAE">
            <w:pPr>
              <w:autoSpaceDE w:val="0"/>
              <w:autoSpaceDN w:val="0"/>
              <w:adjustRightInd w:val="0"/>
              <w:jc w:val="center"/>
              <w:rPr>
                <w:rFonts w:asciiTheme="majorBidi" w:hAnsiTheme="majorBidi" w:cstheme="majorBidi"/>
                <w:b/>
                <w:bCs/>
                <w:color w:val="000000"/>
              </w:rPr>
            </w:pPr>
          </w:p>
          <w:p w14:paraId="233A1743" w14:textId="77777777" w:rsidR="00612D3C" w:rsidRPr="00E23A0A" w:rsidRDefault="00612D3C" w:rsidP="00612D3C">
            <w:pPr>
              <w:jc w:val="center"/>
              <w:rPr>
                <w:rFonts w:asciiTheme="majorBidi" w:hAnsiTheme="majorBidi" w:cstheme="majorBidi"/>
                <w:b/>
                <w:bCs/>
              </w:rPr>
            </w:pPr>
            <w:r w:rsidRPr="00E23A0A">
              <w:rPr>
                <w:rFonts w:asciiTheme="majorBidi" w:hAnsiTheme="majorBidi" w:cstheme="majorBidi"/>
                <w:b/>
                <w:bCs/>
              </w:rPr>
              <w:t>Nejia Moumen</w:t>
            </w:r>
          </w:p>
          <w:p w14:paraId="069B2269" w14:textId="77777777" w:rsidR="00612D3C" w:rsidRPr="00E23A0A" w:rsidRDefault="00612D3C" w:rsidP="00612D3C">
            <w:pPr>
              <w:jc w:val="center"/>
              <w:rPr>
                <w:rFonts w:asciiTheme="majorBidi" w:hAnsiTheme="majorBidi" w:cstheme="majorBidi"/>
              </w:rPr>
            </w:pPr>
            <w:r w:rsidRPr="00E23A0A">
              <w:rPr>
                <w:rFonts w:asciiTheme="majorBidi" w:hAnsiTheme="majorBidi" w:cstheme="majorBidi"/>
              </w:rPr>
              <w:t xml:space="preserve">Tunis Business School , University of Tunis </w:t>
            </w:r>
          </w:p>
          <w:p w14:paraId="0883CB0C" w14:textId="77777777" w:rsidR="00612D3C" w:rsidRPr="00E23A0A" w:rsidRDefault="00612D3C" w:rsidP="00612D3C">
            <w:pPr>
              <w:jc w:val="center"/>
              <w:rPr>
                <w:rFonts w:asciiTheme="majorBidi" w:hAnsiTheme="majorBidi" w:cstheme="majorBidi"/>
              </w:rPr>
            </w:pPr>
            <w:r w:rsidRPr="00E23A0A">
              <w:rPr>
                <w:rFonts w:asciiTheme="majorBidi" w:hAnsiTheme="majorBidi" w:cstheme="majorBidi"/>
              </w:rPr>
              <w:t xml:space="preserve"> LIGUE-ISCAE, University of Manouba, Tunisia</w:t>
            </w:r>
          </w:p>
          <w:p w14:paraId="3773FB17" w14:textId="77777777" w:rsidR="00612D3C" w:rsidRDefault="006103EF" w:rsidP="00612D3C">
            <w:pPr>
              <w:autoSpaceDE w:val="0"/>
              <w:autoSpaceDN w:val="0"/>
              <w:adjustRightInd w:val="0"/>
              <w:jc w:val="center"/>
              <w:rPr>
                <w:rFonts w:asciiTheme="majorBidi" w:hAnsiTheme="majorBidi" w:cstheme="majorBidi"/>
                <w:b/>
                <w:bCs/>
                <w:color w:val="000000"/>
              </w:rPr>
            </w:pPr>
            <w:hyperlink r:id="rId8" w:tgtFrame="_blank" w:history="1">
              <w:r w:rsidR="00612D3C">
                <w:rPr>
                  <w:rStyle w:val="Hyperlink"/>
                  <w:rFonts w:ascii="Arial" w:hAnsi="Arial" w:cs="Arial"/>
                  <w:color w:val="1155CC"/>
                  <w:shd w:val="clear" w:color="auto" w:fill="FFFFFF"/>
                </w:rPr>
                <w:t>nejia.moumen@tbs.rnu.tn</w:t>
              </w:r>
            </w:hyperlink>
            <w:r w:rsidR="00612D3C">
              <w:rPr>
                <w:rFonts w:ascii="Arial" w:hAnsi="Arial" w:cs="Arial"/>
                <w:color w:val="222222"/>
                <w:shd w:val="clear" w:color="auto" w:fill="FFFFFF"/>
              </w:rPr>
              <w:t> </w:t>
            </w:r>
            <w:r w:rsidR="00612D3C" w:rsidRPr="00E23A0A">
              <w:rPr>
                <w:rFonts w:asciiTheme="majorBidi" w:hAnsiTheme="majorBidi" w:cstheme="majorBidi"/>
                <w:b/>
                <w:bCs/>
                <w:color w:val="000000"/>
              </w:rPr>
              <w:t xml:space="preserve"> </w:t>
            </w:r>
          </w:p>
          <w:p w14:paraId="29ECCD4A" w14:textId="164EC9D4" w:rsidR="00612D3C" w:rsidRDefault="00612D3C" w:rsidP="00612D3C">
            <w:pPr>
              <w:autoSpaceDE w:val="0"/>
              <w:autoSpaceDN w:val="0"/>
              <w:adjustRightInd w:val="0"/>
              <w:jc w:val="center"/>
              <w:rPr>
                <w:rFonts w:asciiTheme="majorBidi" w:hAnsiTheme="majorBidi" w:cstheme="majorBidi"/>
                <w:b/>
                <w:bCs/>
                <w:color w:val="000000"/>
              </w:rPr>
            </w:pPr>
          </w:p>
          <w:p w14:paraId="67A182CF" w14:textId="77777777" w:rsidR="00612D3C" w:rsidRDefault="00612D3C" w:rsidP="00612D3C">
            <w:pPr>
              <w:autoSpaceDE w:val="0"/>
              <w:autoSpaceDN w:val="0"/>
              <w:adjustRightInd w:val="0"/>
              <w:jc w:val="center"/>
              <w:rPr>
                <w:rFonts w:asciiTheme="majorBidi" w:hAnsiTheme="majorBidi" w:cstheme="majorBidi"/>
                <w:b/>
                <w:bCs/>
                <w:color w:val="000000"/>
              </w:rPr>
            </w:pPr>
          </w:p>
          <w:p w14:paraId="32AB5E27" w14:textId="4BCA4603" w:rsidR="00612D3C" w:rsidRPr="00E23A0A" w:rsidRDefault="00612D3C" w:rsidP="00612D3C">
            <w:pPr>
              <w:autoSpaceDE w:val="0"/>
              <w:autoSpaceDN w:val="0"/>
              <w:adjustRightInd w:val="0"/>
              <w:jc w:val="center"/>
              <w:rPr>
                <w:rFonts w:asciiTheme="majorBidi" w:hAnsiTheme="majorBidi" w:cstheme="majorBidi"/>
                <w:b/>
                <w:bCs/>
                <w:color w:val="000000"/>
              </w:rPr>
            </w:pPr>
            <w:r w:rsidRPr="00E23A0A">
              <w:rPr>
                <w:rFonts w:asciiTheme="majorBidi" w:hAnsiTheme="majorBidi" w:cstheme="majorBidi"/>
                <w:b/>
                <w:bCs/>
                <w:color w:val="000000"/>
              </w:rPr>
              <w:t>Rihab Grassa</w:t>
            </w:r>
          </w:p>
          <w:p w14:paraId="7347DE4C" w14:textId="77777777" w:rsidR="00612D3C" w:rsidRPr="00E23A0A" w:rsidRDefault="00612D3C" w:rsidP="00FF1CAE">
            <w:pPr>
              <w:jc w:val="center"/>
              <w:rPr>
                <w:rFonts w:asciiTheme="majorBidi" w:hAnsiTheme="majorBidi" w:cstheme="majorBidi"/>
              </w:rPr>
            </w:pPr>
            <w:r w:rsidRPr="00E23A0A">
              <w:rPr>
                <w:rFonts w:asciiTheme="majorBidi" w:hAnsiTheme="majorBidi" w:cstheme="majorBidi"/>
              </w:rPr>
              <w:t>LIGUE-ISCAE, University of Manouba-Tunisia</w:t>
            </w:r>
          </w:p>
          <w:p w14:paraId="27280B89" w14:textId="77777777" w:rsidR="00612D3C" w:rsidRPr="00E23A0A" w:rsidRDefault="00612D3C" w:rsidP="00FF1CAE">
            <w:pPr>
              <w:jc w:val="center"/>
              <w:rPr>
                <w:rFonts w:asciiTheme="majorBidi" w:hAnsiTheme="majorBidi" w:cstheme="majorBidi"/>
              </w:rPr>
            </w:pPr>
            <w:r>
              <w:rPr>
                <w:rFonts w:asciiTheme="majorBidi" w:hAnsiTheme="majorBidi" w:cstheme="majorBidi"/>
              </w:rPr>
              <w:t>Higher Colleges of Technology</w:t>
            </w:r>
            <w:r w:rsidRPr="00E23A0A">
              <w:rPr>
                <w:rFonts w:asciiTheme="majorBidi" w:hAnsiTheme="majorBidi" w:cstheme="majorBidi"/>
              </w:rPr>
              <w:t>- UAE</w:t>
            </w:r>
          </w:p>
          <w:p w14:paraId="464F5F69" w14:textId="77777777" w:rsidR="00612D3C" w:rsidRDefault="006103EF" w:rsidP="00FF1CAE">
            <w:pPr>
              <w:jc w:val="center"/>
              <w:rPr>
                <w:rFonts w:asciiTheme="majorBidi" w:hAnsiTheme="majorBidi" w:cstheme="majorBidi"/>
              </w:rPr>
            </w:pPr>
            <w:hyperlink r:id="rId9" w:history="1">
              <w:r w:rsidR="00612D3C" w:rsidRPr="0094416C">
                <w:rPr>
                  <w:rStyle w:val="Hyperlink"/>
                  <w:rFonts w:asciiTheme="majorBidi" w:hAnsiTheme="majorBidi" w:cstheme="majorBidi"/>
                </w:rPr>
                <w:t>rihab_grassa@hotmail.fr</w:t>
              </w:r>
            </w:hyperlink>
            <w:r w:rsidR="00612D3C">
              <w:rPr>
                <w:rFonts w:asciiTheme="majorBidi" w:hAnsiTheme="majorBidi" w:cstheme="majorBidi"/>
              </w:rPr>
              <w:t xml:space="preserve"> </w:t>
            </w:r>
          </w:p>
          <w:p w14:paraId="6E0C1469" w14:textId="77777777" w:rsidR="00612D3C" w:rsidRPr="00E23A0A" w:rsidRDefault="00612D3C" w:rsidP="00FF1CAE">
            <w:pPr>
              <w:jc w:val="center"/>
              <w:rPr>
                <w:rFonts w:asciiTheme="majorBidi" w:hAnsiTheme="majorBidi" w:cstheme="majorBidi"/>
              </w:rPr>
            </w:pPr>
          </w:p>
          <w:p w14:paraId="6DB530D0" w14:textId="2CE7533D" w:rsidR="00612D3C" w:rsidRPr="00E23A0A" w:rsidRDefault="00612D3C" w:rsidP="00FF1CAE">
            <w:pPr>
              <w:jc w:val="center"/>
              <w:rPr>
                <w:rFonts w:asciiTheme="majorBidi" w:hAnsiTheme="majorBidi" w:cstheme="majorBidi"/>
              </w:rPr>
            </w:pPr>
          </w:p>
        </w:tc>
      </w:tr>
      <w:tr w:rsidR="00612D3C" w:rsidRPr="00E23A0A" w14:paraId="669A15B5" w14:textId="77777777" w:rsidTr="00FF1CAE">
        <w:trPr>
          <w:trHeight w:val="1782"/>
          <w:jc w:val="center"/>
        </w:trPr>
        <w:tc>
          <w:tcPr>
            <w:tcW w:w="5305" w:type="dxa"/>
          </w:tcPr>
          <w:p w14:paraId="5C53CC6A" w14:textId="77777777" w:rsidR="00612D3C" w:rsidRPr="00E23A0A" w:rsidRDefault="00612D3C" w:rsidP="00FF1CAE">
            <w:pPr>
              <w:jc w:val="center"/>
              <w:rPr>
                <w:rFonts w:asciiTheme="majorBidi" w:hAnsiTheme="majorBidi" w:cstheme="majorBidi"/>
                <w:b/>
                <w:bCs/>
              </w:rPr>
            </w:pPr>
            <w:r w:rsidRPr="00E23A0A">
              <w:rPr>
                <w:rFonts w:asciiTheme="majorBidi" w:hAnsiTheme="majorBidi" w:cstheme="majorBidi"/>
                <w:b/>
                <w:bCs/>
              </w:rPr>
              <w:t>Khaled Hussainey</w:t>
            </w:r>
          </w:p>
          <w:p w14:paraId="15D5ED2E" w14:textId="77777777" w:rsidR="00612D3C" w:rsidRDefault="00612D3C" w:rsidP="00FF1CAE">
            <w:pPr>
              <w:jc w:val="center"/>
              <w:rPr>
                <w:rFonts w:asciiTheme="majorBidi" w:hAnsiTheme="majorBidi" w:cstheme="majorBidi"/>
              </w:rPr>
            </w:pPr>
            <w:r w:rsidRPr="00E23A0A">
              <w:rPr>
                <w:rFonts w:asciiTheme="majorBidi" w:hAnsiTheme="majorBidi" w:cstheme="majorBidi"/>
              </w:rPr>
              <w:t>Portsmouth Business School, Portsmouth University, United Kingdom</w:t>
            </w:r>
          </w:p>
          <w:p w14:paraId="4AF8BC0D" w14:textId="77777777" w:rsidR="00612D3C" w:rsidRDefault="006103EF" w:rsidP="00FF1CAE">
            <w:pPr>
              <w:jc w:val="center"/>
              <w:rPr>
                <w:rFonts w:asciiTheme="majorBidi" w:hAnsiTheme="majorBidi" w:cstheme="majorBidi"/>
              </w:rPr>
            </w:pPr>
            <w:hyperlink r:id="rId10" w:history="1">
              <w:r w:rsidR="00612D3C" w:rsidRPr="0094416C">
                <w:rPr>
                  <w:rStyle w:val="Hyperlink"/>
                  <w:rFonts w:asciiTheme="majorBidi" w:hAnsiTheme="majorBidi" w:cstheme="majorBidi"/>
                </w:rPr>
                <w:t>khaled.hussainey@port.ac.uk</w:t>
              </w:r>
            </w:hyperlink>
          </w:p>
          <w:p w14:paraId="43531D5B" w14:textId="77777777" w:rsidR="00612D3C" w:rsidRPr="00E23A0A" w:rsidRDefault="00612D3C" w:rsidP="00FF1CAE">
            <w:pPr>
              <w:jc w:val="center"/>
              <w:rPr>
                <w:rFonts w:asciiTheme="majorBidi" w:hAnsiTheme="majorBidi" w:cstheme="majorBidi"/>
              </w:rPr>
            </w:pPr>
          </w:p>
        </w:tc>
      </w:tr>
    </w:tbl>
    <w:p w14:paraId="7530D816" w14:textId="2EB339CC" w:rsidR="00042BF3" w:rsidRPr="00B92144" w:rsidRDefault="00042BF3" w:rsidP="00042BF3">
      <w:pPr>
        <w:rPr>
          <w:rFonts w:asciiTheme="majorBidi" w:hAnsiTheme="majorBidi" w:cstheme="majorBidi"/>
          <w:b/>
          <w:bCs/>
          <w:sz w:val="24"/>
          <w:szCs w:val="24"/>
        </w:rPr>
      </w:pPr>
      <w:r w:rsidRPr="00B92144">
        <w:rPr>
          <w:rFonts w:asciiTheme="majorBidi" w:hAnsiTheme="majorBidi" w:cstheme="majorBidi"/>
          <w:b/>
          <w:bCs/>
          <w:sz w:val="24"/>
          <w:szCs w:val="24"/>
        </w:rPr>
        <w:t>Abstract</w:t>
      </w:r>
    </w:p>
    <w:p w14:paraId="6DDEC025" w14:textId="2E6E94F4" w:rsidR="003505F9" w:rsidRPr="00B92144" w:rsidRDefault="00042BF3" w:rsidP="00F64F9F">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This paper</w:t>
      </w:r>
      <w:r w:rsidR="003467F9" w:rsidRPr="00B92144">
        <w:rPr>
          <w:rFonts w:asciiTheme="majorBidi" w:hAnsiTheme="majorBidi" w:cstheme="majorBidi"/>
          <w:sz w:val="24"/>
          <w:szCs w:val="24"/>
        </w:rPr>
        <w:t xml:space="preserve"> examines and compares the relationship between risk</w:t>
      </w:r>
      <w:r w:rsidR="006323BB" w:rsidRPr="00B92144">
        <w:rPr>
          <w:rFonts w:asciiTheme="majorBidi" w:hAnsiTheme="majorBidi" w:cstheme="majorBidi"/>
          <w:sz w:val="24"/>
          <w:szCs w:val="24"/>
        </w:rPr>
        <w:t xml:space="preserve"> </w:t>
      </w:r>
      <w:r w:rsidR="003467F9" w:rsidRPr="00B92144">
        <w:rPr>
          <w:rFonts w:asciiTheme="majorBidi" w:hAnsiTheme="majorBidi" w:cstheme="majorBidi"/>
          <w:sz w:val="24"/>
          <w:szCs w:val="24"/>
        </w:rPr>
        <w:t>disclosure and corporate attribute</w:t>
      </w:r>
      <w:r w:rsidR="00F63186" w:rsidRPr="00B92144">
        <w:rPr>
          <w:rFonts w:asciiTheme="majorBidi" w:hAnsiTheme="majorBidi" w:cstheme="majorBidi"/>
          <w:sz w:val="24"/>
          <w:szCs w:val="24"/>
        </w:rPr>
        <w:t>s</w:t>
      </w:r>
      <w:r w:rsidR="003467F9" w:rsidRPr="00B92144">
        <w:rPr>
          <w:rFonts w:asciiTheme="majorBidi" w:hAnsiTheme="majorBidi" w:cstheme="majorBidi"/>
          <w:sz w:val="24"/>
          <w:szCs w:val="24"/>
        </w:rPr>
        <w:t xml:space="preserve"> in Islamic and conventional banks.</w:t>
      </w:r>
      <w:r w:rsidR="00FB0077" w:rsidRPr="00B92144">
        <w:rPr>
          <w:rFonts w:asciiTheme="majorBidi" w:hAnsiTheme="majorBidi" w:cstheme="majorBidi"/>
          <w:sz w:val="24"/>
          <w:szCs w:val="24"/>
        </w:rPr>
        <w:t xml:space="preserve"> Using a comprehensive </w:t>
      </w:r>
      <w:r w:rsidR="00A512F3" w:rsidRPr="00B92144">
        <w:rPr>
          <w:rFonts w:asciiTheme="majorBidi" w:hAnsiTheme="majorBidi" w:cstheme="majorBidi"/>
          <w:sz w:val="24"/>
          <w:szCs w:val="24"/>
        </w:rPr>
        <w:t>risk</w:t>
      </w:r>
      <w:r w:rsidR="006323BB" w:rsidRPr="00B92144">
        <w:rPr>
          <w:rFonts w:asciiTheme="majorBidi" w:hAnsiTheme="majorBidi" w:cstheme="majorBidi"/>
          <w:sz w:val="24"/>
          <w:szCs w:val="24"/>
        </w:rPr>
        <w:t xml:space="preserve"> </w:t>
      </w:r>
      <w:r w:rsidR="00A512F3" w:rsidRPr="00B92144">
        <w:rPr>
          <w:rFonts w:asciiTheme="majorBidi" w:hAnsiTheme="majorBidi" w:cstheme="majorBidi"/>
          <w:sz w:val="24"/>
          <w:szCs w:val="24"/>
        </w:rPr>
        <w:t>disclosure</w:t>
      </w:r>
      <w:r w:rsidR="00FB0077" w:rsidRPr="00B92144">
        <w:rPr>
          <w:rFonts w:asciiTheme="majorBidi" w:hAnsiTheme="majorBidi" w:cstheme="majorBidi"/>
          <w:sz w:val="24"/>
          <w:szCs w:val="24"/>
        </w:rPr>
        <w:t xml:space="preserve"> index covering 9 dimensions, we analy</w:t>
      </w:r>
      <w:r w:rsidR="00317E52" w:rsidRPr="00B92144">
        <w:rPr>
          <w:rFonts w:asciiTheme="majorBidi" w:hAnsiTheme="majorBidi" w:cstheme="majorBidi"/>
          <w:sz w:val="24"/>
          <w:szCs w:val="24"/>
        </w:rPr>
        <w:t>z</w:t>
      </w:r>
      <w:r w:rsidR="00FB0077" w:rsidRPr="00B92144">
        <w:rPr>
          <w:rFonts w:asciiTheme="majorBidi" w:hAnsiTheme="majorBidi" w:cstheme="majorBidi"/>
          <w:sz w:val="24"/>
          <w:szCs w:val="24"/>
        </w:rPr>
        <w:t xml:space="preserve">e the </w:t>
      </w:r>
      <w:r w:rsidR="00A53806" w:rsidRPr="00B92144">
        <w:rPr>
          <w:rFonts w:asciiTheme="majorBidi" w:hAnsiTheme="majorBidi" w:cstheme="majorBidi"/>
          <w:sz w:val="24"/>
          <w:szCs w:val="24"/>
        </w:rPr>
        <w:t>level of risk related disclosure (RRD)</w:t>
      </w:r>
      <w:r w:rsidR="00DB6468" w:rsidRPr="00B92144">
        <w:rPr>
          <w:rFonts w:asciiTheme="majorBidi" w:hAnsiTheme="majorBidi" w:cstheme="majorBidi"/>
          <w:sz w:val="24"/>
          <w:szCs w:val="24"/>
        </w:rPr>
        <w:t xml:space="preserve"> </w:t>
      </w:r>
      <w:r w:rsidR="00FB0077" w:rsidRPr="00B92144">
        <w:rPr>
          <w:rFonts w:asciiTheme="majorBidi" w:hAnsiTheme="majorBidi" w:cstheme="majorBidi"/>
          <w:sz w:val="24"/>
          <w:szCs w:val="24"/>
        </w:rPr>
        <w:t xml:space="preserve">in a sample of </w:t>
      </w:r>
      <w:r w:rsidR="0072280F" w:rsidRPr="00B92144">
        <w:rPr>
          <w:rFonts w:asciiTheme="majorBidi" w:hAnsiTheme="majorBidi" w:cstheme="majorBidi"/>
          <w:sz w:val="24"/>
          <w:szCs w:val="24"/>
        </w:rPr>
        <w:t>72</w:t>
      </w:r>
      <w:r w:rsidR="00FB0077" w:rsidRPr="00B92144">
        <w:rPr>
          <w:rFonts w:asciiTheme="majorBidi" w:hAnsiTheme="majorBidi" w:cstheme="majorBidi"/>
          <w:sz w:val="24"/>
          <w:szCs w:val="24"/>
        </w:rPr>
        <w:t xml:space="preserve"> Islamic banks and </w:t>
      </w:r>
      <w:r w:rsidR="0072280F" w:rsidRPr="00B92144">
        <w:rPr>
          <w:rFonts w:asciiTheme="majorBidi" w:hAnsiTheme="majorBidi" w:cstheme="majorBidi"/>
          <w:sz w:val="24"/>
          <w:szCs w:val="24"/>
        </w:rPr>
        <w:t>97</w:t>
      </w:r>
      <w:r w:rsidR="00FB0077" w:rsidRPr="00B92144">
        <w:rPr>
          <w:rFonts w:asciiTheme="majorBidi" w:hAnsiTheme="majorBidi" w:cstheme="majorBidi"/>
          <w:sz w:val="24"/>
          <w:szCs w:val="24"/>
        </w:rPr>
        <w:t xml:space="preserve"> conventional banks across </w:t>
      </w:r>
      <w:r w:rsidR="0072280F" w:rsidRPr="00B92144">
        <w:rPr>
          <w:rFonts w:asciiTheme="majorBidi" w:hAnsiTheme="majorBidi" w:cstheme="majorBidi"/>
          <w:sz w:val="24"/>
          <w:szCs w:val="24"/>
        </w:rPr>
        <w:t>1</w:t>
      </w:r>
      <w:r w:rsidR="00FB4B88" w:rsidRPr="00B92144">
        <w:rPr>
          <w:rFonts w:asciiTheme="majorBidi" w:hAnsiTheme="majorBidi" w:cstheme="majorBidi"/>
          <w:sz w:val="24"/>
          <w:szCs w:val="24"/>
        </w:rPr>
        <w:t>1</w:t>
      </w:r>
      <w:r w:rsidR="00FB0077" w:rsidRPr="00B92144">
        <w:rPr>
          <w:rFonts w:asciiTheme="majorBidi" w:hAnsiTheme="majorBidi" w:cstheme="majorBidi"/>
          <w:sz w:val="24"/>
          <w:szCs w:val="24"/>
        </w:rPr>
        <w:t xml:space="preserve"> countries. The R</w:t>
      </w:r>
      <w:r w:rsidR="00A53806" w:rsidRPr="00B92144">
        <w:rPr>
          <w:rFonts w:asciiTheme="majorBidi" w:hAnsiTheme="majorBidi" w:cstheme="majorBidi"/>
          <w:sz w:val="24"/>
          <w:szCs w:val="24"/>
        </w:rPr>
        <w:t>R</w:t>
      </w:r>
      <w:r w:rsidR="00FB0077" w:rsidRPr="00B92144">
        <w:rPr>
          <w:rFonts w:asciiTheme="majorBidi" w:hAnsiTheme="majorBidi" w:cstheme="majorBidi"/>
          <w:sz w:val="24"/>
          <w:szCs w:val="24"/>
        </w:rPr>
        <w:t>D index shows that</w:t>
      </w:r>
      <w:r w:rsidR="003505F9" w:rsidRPr="00B92144">
        <w:rPr>
          <w:rFonts w:asciiTheme="majorBidi" w:hAnsiTheme="majorBidi" w:cstheme="majorBidi"/>
          <w:sz w:val="24"/>
          <w:szCs w:val="24"/>
        </w:rPr>
        <w:t xml:space="preserve"> Islamic banks disclose less information about risk comparing to conventional banks. Listed banks, larger banks and aged bank disclose more information about risk than the others. Block holders, foreign ownership and board size affect negatively risk disclosure. However, board independence and the percentage of foreign directors in the board affect positively risk disclosure. Moreover, banks with higher Tier 1 ratio disclose less information about risk.</w:t>
      </w:r>
      <w:r w:rsidR="00692376" w:rsidRPr="00B92144">
        <w:rPr>
          <w:rFonts w:asciiTheme="majorBidi" w:hAnsiTheme="majorBidi" w:cstheme="majorBidi"/>
        </w:rPr>
        <w:t xml:space="preserve">  </w:t>
      </w:r>
      <w:r w:rsidR="00692376" w:rsidRPr="00B92144">
        <w:rPr>
          <w:rFonts w:asciiTheme="majorBidi" w:hAnsiTheme="majorBidi" w:cstheme="majorBidi"/>
          <w:sz w:val="24"/>
          <w:szCs w:val="24"/>
        </w:rPr>
        <w:t xml:space="preserve">Our results encourages regulators to improve corporate governance mechanisms in their banking systems through the </w:t>
      </w:r>
      <w:r w:rsidR="008769B1" w:rsidRPr="00B92144">
        <w:rPr>
          <w:rFonts w:asciiTheme="majorBidi" w:hAnsiTheme="majorBidi" w:cstheme="majorBidi"/>
          <w:sz w:val="24"/>
          <w:szCs w:val="24"/>
        </w:rPr>
        <w:t>optimization</w:t>
      </w:r>
      <w:r w:rsidR="00692376" w:rsidRPr="00B92144">
        <w:rPr>
          <w:rFonts w:asciiTheme="majorBidi" w:hAnsiTheme="majorBidi" w:cstheme="majorBidi"/>
          <w:sz w:val="24"/>
          <w:szCs w:val="24"/>
        </w:rPr>
        <w:t xml:space="preserve"> of ownership structure (dispersed ownership) and the board’s </w:t>
      </w:r>
      <w:r w:rsidR="00F64F9F" w:rsidRPr="00B92144">
        <w:rPr>
          <w:rFonts w:asciiTheme="majorBidi" w:hAnsiTheme="majorBidi" w:cstheme="majorBidi"/>
          <w:sz w:val="24"/>
          <w:szCs w:val="24"/>
        </w:rPr>
        <w:t>composition</w:t>
      </w:r>
      <w:r w:rsidR="00692376" w:rsidRPr="00B92144">
        <w:rPr>
          <w:rFonts w:asciiTheme="majorBidi" w:hAnsiTheme="majorBidi" w:cstheme="majorBidi"/>
          <w:sz w:val="24"/>
          <w:szCs w:val="24"/>
        </w:rPr>
        <w:t xml:space="preserve"> in order to promote higher level of transparency and RRD.</w:t>
      </w:r>
    </w:p>
    <w:p w14:paraId="290C0BFC" w14:textId="257AEB04" w:rsidR="003505F9" w:rsidRPr="00B92144" w:rsidRDefault="003505F9" w:rsidP="007A727C">
      <w:pPr>
        <w:spacing w:line="360" w:lineRule="auto"/>
        <w:jc w:val="both"/>
        <w:rPr>
          <w:rFonts w:asciiTheme="majorBidi" w:hAnsiTheme="majorBidi" w:cstheme="majorBidi"/>
          <w:sz w:val="24"/>
          <w:szCs w:val="24"/>
        </w:rPr>
      </w:pPr>
      <w:r w:rsidRPr="00B92144">
        <w:rPr>
          <w:rFonts w:asciiTheme="majorBidi" w:hAnsiTheme="majorBidi" w:cstheme="majorBidi"/>
          <w:b/>
          <w:sz w:val="24"/>
          <w:szCs w:val="24"/>
        </w:rPr>
        <w:t>Keywords</w:t>
      </w:r>
      <w:r w:rsidR="00612D3C">
        <w:rPr>
          <w:rFonts w:asciiTheme="majorBidi" w:hAnsiTheme="majorBidi" w:cstheme="majorBidi"/>
          <w:b/>
          <w:sz w:val="24"/>
          <w:szCs w:val="24"/>
        </w:rPr>
        <w:t xml:space="preserve">: </w:t>
      </w:r>
      <w:r w:rsidRPr="00B92144">
        <w:rPr>
          <w:rFonts w:asciiTheme="majorBidi" w:hAnsiTheme="majorBidi" w:cstheme="majorBidi"/>
          <w:sz w:val="24"/>
          <w:szCs w:val="24"/>
        </w:rPr>
        <w:t>Risk disclosure, ownership, board of director, banks, Islamic banks</w:t>
      </w:r>
    </w:p>
    <w:p w14:paraId="38E69B38" w14:textId="04FB6031" w:rsidR="00DA0D24" w:rsidRPr="00B92144" w:rsidRDefault="00DA0D24" w:rsidP="00DA0D24">
      <w:pPr>
        <w:jc w:val="both"/>
        <w:rPr>
          <w:rFonts w:asciiTheme="majorBidi" w:hAnsiTheme="majorBidi" w:cstheme="majorBidi"/>
          <w:b/>
          <w:bCs/>
          <w:sz w:val="24"/>
          <w:szCs w:val="24"/>
        </w:rPr>
      </w:pPr>
      <w:r w:rsidRPr="00B92144">
        <w:rPr>
          <w:rFonts w:asciiTheme="majorBidi" w:hAnsiTheme="majorBidi" w:cstheme="majorBidi"/>
          <w:b/>
          <w:bCs/>
          <w:sz w:val="24"/>
          <w:szCs w:val="24"/>
        </w:rPr>
        <w:lastRenderedPageBreak/>
        <w:t>Introduction</w:t>
      </w:r>
    </w:p>
    <w:p w14:paraId="01DD95CE" w14:textId="7E566476" w:rsidR="00DA0D24" w:rsidRPr="00B92144" w:rsidRDefault="00DA0D24" w:rsidP="00DA0D24">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Banks’ risk disclosure has come under scrutiny in the aftermath of the major financial crush of several US investments banks (Bear Stearns, Lehman Brothers, Merrill Lynch), the ramification on other banks in Europe and Asia (e.g. Royal Bank of Scotland, Bradford &amp; Bingley, Fortis, Hypo and Alliance &amp; Leicester, BNP Paribas…) and the ensuing turmoil on the global financial markets. These series of events underlined the failure to account for business uncertainty and the inadequacy of risk management practices, thereby compromising the reliability and relevance of corporate disclosures [</w:t>
      </w:r>
      <w:r w:rsidRPr="00B92144">
        <w:rPr>
          <w:rFonts w:asciiTheme="majorBidi" w:hAnsiTheme="majorBidi" w:cstheme="majorBidi"/>
          <w:color w:val="244061" w:themeColor="accent1" w:themeShade="80"/>
          <w:sz w:val="24"/>
          <w:szCs w:val="24"/>
        </w:rPr>
        <w:t>Al-Hadi et al., 2016; Al-Hadi,</w:t>
      </w:r>
      <w:r w:rsidR="009F3A82" w:rsidRPr="00B92144">
        <w:rPr>
          <w:rFonts w:asciiTheme="majorBidi" w:hAnsiTheme="majorBidi" w:cstheme="majorBidi"/>
          <w:color w:val="244061" w:themeColor="accent1" w:themeShade="80"/>
          <w:sz w:val="24"/>
          <w:szCs w:val="24"/>
        </w:rPr>
        <w:t xml:space="preserve"> </w:t>
      </w:r>
      <w:r w:rsidRPr="00B92144">
        <w:rPr>
          <w:rFonts w:asciiTheme="majorBidi" w:hAnsiTheme="majorBidi" w:cstheme="majorBidi"/>
          <w:color w:val="244061" w:themeColor="accent1" w:themeShade="80"/>
          <w:sz w:val="24"/>
          <w:szCs w:val="24"/>
        </w:rPr>
        <w:t>2017; Jorion, 2009; Magnan &amp; Markarian, 2011; Oliveira et al,</w:t>
      </w:r>
      <w:r w:rsidR="00D026F1" w:rsidRPr="00B92144">
        <w:rPr>
          <w:rFonts w:asciiTheme="majorBidi" w:hAnsiTheme="majorBidi" w:cstheme="majorBidi"/>
          <w:color w:val="244061" w:themeColor="accent1" w:themeShade="80"/>
          <w:sz w:val="24"/>
          <w:szCs w:val="24"/>
        </w:rPr>
        <w:t xml:space="preserve"> </w:t>
      </w:r>
      <w:r w:rsidRPr="00B92144">
        <w:rPr>
          <w:rFonts w:asciiTheme="majorBidi" w:hAnsiTheme="majorBidi" w:cstheme="majorBidi"/>
          <w:color w:val="244061" w:themeColor="accent1" w:themeShade="80"/>
          <w:sz w:val="24"/>
          <w:szCs w:val="24"/>
        </w:rPr>
        <w:t>2013</w:t>
      </w:r>
      <w:r w:rsidRPr="00B92144">
        <w:rPr>
          <w:rFonts w:asciiTheme="majorBidi" w:hAnsiTheme="majorBidi" w:cstheme="majorBidi"/>
          <w:sz w:val="24"/>
          <w:szCs w:val="24"/>
        </w:rPr>
        <w:t>]. While the financial distress went global and moved beyond the banking industry, banks’ regulation and supervision were plunged at the height of the debate. Risk exposure and related information were at the heart of many regulatory reforms from various institutions (e.g., ICAEW, 1997, 2011; SEC, 1997, 2010; BCBS, 2006, 2008) and accounting standards setters all over the world (e.g. IASB, 2005,2013; FASB, 2010, 2012) to ensure that stakeholders are protected from material levels of information asymmetry [</w:t>
      </w:r>
      <w:r w:rsidRPr="00B92144">
        <w:rPr>
          <w:rFonts w:asciiTheme="majorBidi" w:hAnsiTheme="majorBidi" w:cstheme="majorBidi"/>
          <w:color w:val="244061" w:themeColor="accent1" w:themeShade="80"/>
          <w:sz w:val="24"/>
          <w:szCs w:val="24"/>
        </w:rPr>
        <w:t>Elshandidy et al, 2018; Bamber &amp; McMeeking, 2015]</w:t>
      </w:r>
      <w:r w:rsidRPr="00B92144">
        <w:rPr>
          <w:rFonts w:asciiTheme="majorBidi" w:hAnsiTheme="majorBidi" w:cstheme="majorBidi"/>
          <w:sz w:val="24"/>
          <w:szCs w:val="24"/>
        </w:rPr>
        <w:t>.</w:t>
      </w:r>
    </w:p>
    <w:p w14:paraId="228111FB" w14:textId="7C5EA7C0" w:rsidR="00AB0C67" w:rsidRPr="00B92144" w:rsidRDefault="001A7D60" w:rsidP="000C2718">
      <w:pPr>
        <w:autoSpaceDE w:val="0"/>
        <w:autoSpaceDN w:val="0"/>
        <w:adjustRightInd w:val="0"/>
        <w:spacing w:before="120" w:after="0" w:line="360" w:lineRule="auto"/>
        <w:jc w:val="both"/>
        <w:rPr>
          <w:rFonts w:asciiTheme="majorBidi" w:hAnsiTheme="majorBidi" w:cstheme="majorBidi"/>
          <w:sz w:val="24"/>
          <w:szCs w:val="24"/>
        </w:rPr>
      </w:pPr>
      <w:r w:rsidRPr="00B92144">
        <w:rPr>
          <w:rFonts w:asciiTheme="majorBidi" w:hAnsiTheme="majorBidi" w:cstheme="majorBidi"/>
          <w:sz w:val="24"/>
          <w:szCs w:val="24"/>
        </w:rPr>
        <w:t>Prior researches</w:t>
      </w:r>
      <w:r w:rsidR="00DA0D24" w:rsidRPr="00B92144">
        <w:rPr>
          <w:rFonts w:asciiTheme="majorBidi" w:hAnsiTheme="majorBidi" w:cstheme="majorBidi"/>
          <w:sz w:val="24"/>
          <w:szCs w:val="24"/>
        </w:rPr>
        <w:t xml:space="preserve"> [</w:t>
      </w:r>
      <w:r w:rsidR="00DA0D24" w:rsidRPr="00B92144">
        <w:rPr>
          <w:rFonts w:asciiTheme="majorBidi" w:hAnsiTheme="majorBidi" w:cstheme="majorBidi"/>
          <w:color w:val="244061" w:themeColor="accent1" w:themeShade="80"/>
          <w:sz w:val="24"/>
          <w:szCs w:val="24"/>
        </w:rPr>
        <w:t>Bischof, 2009; Ernst &amp; Young, 2008; KPMG, 2008, 2009; PriceWaterhouseCoopers, 2008; Oliveira et al., 2013</w:t>
      </w:r>
      <w:r w:rsidR="00DA0D24" w:rsidRPr="00B92144">
        <w:rPr>
          <w:rFonts w:asciiTheme="majorBidi" w:hAnsiTheme="majorBidi" w:cstheme="majorBidi"/>
          <w:sz w:val="24"/>
          <w:szCs w:val="24"/>
        </w:rPr>
        <w:t xml:space="preserve">] suggest however that enhancing risk-based regulation does not necessarily lead to an increase into the quality of risk disclosure.  According to </w:t>
      </w:r>
      <w:r w:rsidR="00DA0D24" w:rsidRPr="00B92144">
        <w:rPr>
          <w:rFonts w:asciiTheme="majorBidi" w:hAnsiTheme="majorBidi" w:cstheme="majorBidi"/>
          <w:color w:val="244061" w:themeColor="accent1" w:themeShade="80"/>
          <w:sz w:val="24"/>
          <w:szCs w:val="24"/>
        </w:rPr>
        <w:t>Oliveira et al. (2013)</w:t>
      </w:r>
      <w:r w:rsidR="00DA0D24" w:rsidRPr="00B92144">
        <w:rPr>
          <w:rFonts w:asciiTheme="majorBidi" w:hAnsiTheme="majorBidi" w:cstheme="majorBidi"/>
          <w:sz w:val="24"/>
          <w:szCs w:val="24"/>
        </w:rPr>
        <w:t xml:space="preserve">, banks tend to comply with the minimum required, provide dispersed risk related information within their annual reports and do not present a reliable and transparent picture about their risk profile. </w:t>
      </w:r>
      <w:r w:rsidR="00DA0D24" w:rsidRPr="00B92144">
        <w:rPr>
          <w:rFonts w:asciiTheme="majorBidi" w:hAnsiTheme="majorBidi" w:cstheme="majorBidi"/>
          <w:color w:val="244061" w:themeColor="accent1" w:themeShade="80"/>
          <w:sz w:val="24"/>
          <w:szCs w:val="24"/>
        </w:rPr>
        <w:t xml:space="preserve">Oliveira et al (2013) </w:t>
      </w:r>
      <w:r w:rsidR="00DA0D24" w:rsidRPr="00B92144">
        <w:rPr>
          <w:rFonts w:asciiTheme="majorBidi" w:hAnsiTheme="majorBidi" w:cstheme="majorBidi"/>
          <w:sz w:val="24"/>
          <w:szCs w:val="24"/>
        </w:rPr>
        <w:t xml:space="preserve">noticed further that some deficiencies continued to exist (e.g. boilerplate VaR and sensitivity analysis; generic liquidity risk disclosures…) even after the adoption of high quality standards and regulations. This is because managers still enjoy some flexibility regarding the non-disclosure of risk information if they consider it as proprietary and commercially sensitive. For instance, there is a crucial role to be played not only by institutional supervisors and regulators but also by self-enforcement mechanisms in corporate </w:t>
      </w:r>
      <w:r w:rsidR="00677BA4" w:rsidRPr="00B92144">
        <w:rPr>
          <w:rFonts w:asciiTheme="majorBidi" w:hAnsiTheme="majorBidi" w:cstheme="majorBidi"/>
          <w:sz w:val="24"/>
          <w:szCs w:val="24"/>
        </w:rPr>
        <w:t xml:space="preserve">attributes </w:t>
      </w:r>
      <w:r w:rsidR="00D65640" w:rsidRPr="00B92144">
        <w:rPr>
          <w:rFonts w:asciiTheme="majorBidi" w:hAnsiTheme="majorBidi" w:cstheme="majorBidi"/>
          <w:sz w:val="24"/>
          <w:szCs w:val="24"/>
        </w:rPr>
        <w:t xml:space="preserve">and </w:t>
      </w:r>
      <w:r w:rsidR="00DA0D24" w:rsidRPr="00B92144">
        <w:rPr>
          <w:rFonts w:asciiTheme="majorBidi" w:hAnsiTheme="majorBidi" w:cstheme="majorBidi"/>
          <w:sz w:val="24"/>
          <w:szCs w:val="24"/>
        </w:rPr>
        <w:t>governance practices to guarantee appropriate levels of compliance with minimum disclosure requirements and to promote higher transparency about banks’ operational uncertainties and risk vulnerability [</w:t>
      </w:r>
      <w:r w:rsidR="00DA0D24" w:rsidRPr="00B92144">
        <w:rPr>
          <w:rFonts w:asciiTheme="majorBidi" w:hAnsiTheme="majorBidi" w:cstheme="majorBidi"/>
          <w:color w:val="244061" w:themeColor="accent1" w:themeShade="80"/>
          <w:sz w:val="24"/>
          <w:szCs w:val="24"/>
        </w:rPr>
        <w:t xml:space="preserve">Bischof, 2009; </w:t>
      </w:r>
      <w:r w:rsidR="000C2718" w:rsidRPr="00B92144">
        <w:rPr>
          <w:rFonts w:asciiTheme="majorBidi" w:hAnsiTheme="majorBidi" w:cstheme="majorBidi"/>
          <w:color w:val="244061" w:themeColor="accent1" w:themeShade="80"/>
          <w:sz w:val="24"/>
          <w:szCs w:val="24"/>
        </w:rPr>
        <w:t xml:space="preserve">Craig, Lima Rodrigues &amp; Oliveira., </w:t>
      </w:r>
      <w:r w:rsidR="00DA0D24" w:rsidRPr="00B92144">
        <w:rPr>
          <w:rFonts w:asciiTheme="majorBidi" w:hAnsiTheme="majorBidi" w:cstheme="majorBidi"/>
          <w:color w:val="244061" w:themeColor="accent1" w:themeShade="80"/>
          <w:sz w:val="24"/>
          <w:szCs w:val="24"/>
        </w:rPr>
        <w:t>2011a</w:t>
      </w:r>
      <w:r w:rsidR="00DA0D24" w:rsidRPr="00B92144">
        <w:rPr>
          <w:rFonts w:asciiTheme="majorBidi" w:hAnsiTheme="majorBidi" w:cstheme="majorBidi"/>
          <w:sz w:val="24"/>
          <w:szCs w:val="24"/>
        </w:rPr>
        <w:t xml:space="preserve">].  </w:t>
      </w:r>
      <w:r w:rsidR="00AB0C67" w:rsidRPr="00B92144">
        <w:rPr>
          <w:rFonts w:asciiTheme="majorBidi" w:hAnsiTheme="majorBidi" w:cstheme="majorBidi"/>
          <w:sz w:val="24"/>
          <w:szCs w:val="24"/>
        </w:rPr>
        <w:t xml:space="preserve"> </w:t>
      </w:r>
    </w:p>
    <w:p w14:paraId="3858817B" w14:textId="6E3FFE83" w:rsidR="00D238A2" w:rsidRPr="00B92144" w:rsidRDefault="00DA0D24" w:rsidP="00776FDD">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Compared to non-financial firms, few studies have examined the relationship between banks’ risk disclosure</w:t>
      </w:r>
      <w:r w:rsidR="009B787C" w:rsidRPr="00B92144">
        <w:rPr>
          <w:rFonts w:asciiTheme="majorBidi" w:hAnsiTheme="majorBidi" w:cstheme="majorBidi"/>
          <w:sz w:val="24"/>
          <w:szCs w:val="24"/>
        </w:rPr>
        <w:t>, their attributes and</w:t>
      </w:r>
      <w:r w:rsidRPr="00B92144">
        <w:rPr>
          <w:rFonts w:asciiTheme="majorBidi" w:hAnsiTheme="majorBidi" w:cstheme="majorBidi"/>
          <w:sz w:val="24"/>
          <w:szCs w:val="24"/>
        </w:rPr>
        <w:t xml:space="preserve"> the characteristics of their governance structures in developed </w:t>
      </w:r>
      <w:r w:rsidRPr="00B92144">
        <w:rPr>
          <w:rFonts w:asciiTheme="majorBidi" w:hAnsiTheme="majorBidi" w:cstheme="majorBidi"/>
          <w:sz w:val="24"/>
          <w:szCs w:val="24"/>
        </w:rPr>
        <w:lastRenderedPageBreak/>
        <w:t>countries [</w:t>
      </w:r>
      <w:r w:rsidRPr="00B92144">
        <w:rPr>
          <w:rFonts w:asciiTheme="majorBidi" w:hAnsiTheme="majorBidi" w:cstheme="majorBidi"/>
          <w:color w:val="244061" w:themeColor="accent1" w:themeShade="80"/>
          <w:sz w:val="24"/>
          <w:szCs w:val="24"/>
        </w:rPr>
        <w:t xml:space="preserve">e.g. Barakat &amp; Hussainey, 2013; </w:t>
      </w:r>
      <w:r w:rsidR="008F475A" w:rsidRPr="00B92144">
        <w:rPr>
          <w:rFonts w:asciiTheme="majorBidi" w:hAnsiTheme="majorBidi" w:cstheme="majorBidi"/>
          <w:color w:val="244061" w:themeColor="accent1" w:themeShade="80"/>
          <w:sz w:val="24"/>
          <w:szCs w:val="24"/>
        </w:rPr>
        <w:t>Oliveira, Rodrigues, &amp; Craig</w:t>
      </w:r>
      <w:r w:rsidRPr="00B92144">
        <w:rPr>
          <w:rFonts w:asciiTheme="majorBidi" w:hAnsiTheme="majorBidi" w:cstheme="majorBidi"/>
          <w:color w:val="244061" w:themeColor="accent1" w:themeShade="80"/>
          <w:sz w:val="24"/>
          <w:szCs w:val="24"/>
        </w:rPr>
        <w:t>., 2011</w:t>
      </w:r>
      <w:r w:rsidR="00722325" w:rsidRPr="00B92144">
        <w:rPr>
          <w:rFonts w:asciiTheme="majorBidi" w:hAnsiTheme="majorBidi" w:cstheme="majorBidi"/>
          <w:color w:val="244061" w:themeColor="accent1" w:themeShade="80"/>
          <w:sz w:val="24"/>
          <w:szCs w:val="24"/>
        </w:rPr>
        <w:t>a</w:t>
      </w:r>
      <w:r w:rsidRPr="00B92144">
        <w:rPr>
          <w:rFonts w:asciiTheme="majorBidi" w:hAnsiTheme="majorBidi" w:cstheme="majorBidi"/>
          <w:sz w:val="24"/>
          <w:szCs w:val="24"/>
        </w:rPr>
        <w:t>] as well as in emerging markets [</w:t>
      </w:r>
      <w:r w:rsidR="0074689A" w:rsidRPr="00B92144">
        <w:rPr>
          <w:rFonts w:asciiTheme="majorBidi" w:hAnsiTheme="majorBidi" w:cstheme="majorBidi"/>
          <w:sz w:val="24"/>
          <w:szCs w:val="24"/>
        </w:rPr>
        <w:t xml:space="preserve">e.g. </w:t>
      </w:r>
      <w:r w:rsidRPr="00B92144">
        <w:rPr>
          <w:rFonts w:asciiTheme="majorBidi" w:hAnsiTheme="majorBidi" w:cstheme="majorBidi"/>
          <w:color w:val="244061" w:themeColor="accent1" w:themeShade="80"/>
          <w:sz w:val="24"/>
          <w:szCs w:val="24"/>
        </w:rPr>
        <w:t>Abdallah et al, 2015, Al-Hadi et al., 201</w:t>
      </w:r>
      <w:r w:rsidR="00C87950" w:rsidRPr="00B92144">
        <w:rPr>
          <w:rFonts w:asciiTheme="majorBidi" w:hAnsiTheme="majorBidi" w:cstheme="majorBidi"/>
          <w:color w:val="244061" w:themeColor="accent1" w:themeShade="80"/>
          <w:sz w:val="24"/>
          <w:szCs w:val="24"/>
        </w:rPr>
        <w:t>5</w:t>
      </w:r>
      <w:r w:rsidRPr="00B92144">
        <w:rPr>
          <w:rFonts w:asciiTheme="majorBidi" w:hAnsiTheme="majorBidi" w:cstheme="majorBidi"/>
          <w:color w:val="244061" w:themeColor="accent1" w:themeShade="80"/>
          <w:sz w:val="24"/>
          <w:szCs w:val="24"/>
        </w:rPr>
        <w:t>; Al-Hadi et al, 2017;</w:t>
      </w:r>
      <w:r w:rsidR="0062045B" w:rsidRPr="00B92144">
        <w:rPr>
          <w:rFonts w:asciiTheme="majorBidi" w:hAnsiTheme="majorBidi" w:cstheme="majorBidi"/>
          <w:color w:val="244061" w:themeColor="accent1" w:themeShade="80"/>
          <w:sz w:val="24"/>
          <w:szCs w:val="24"/>
        </w:rPr>
        <w:t xml:space="preserve"> Amran, Bin, &amp; Hassan 2009</w:t>
      </w:r>
      <w:r w:rsidRPr="00B92144">
        <w:rPr>
          <w:rFonts w:asciiTheme="majorBidi" w:hAnsiTheme="majorBidi" w:cstheme="majorBidi"/>
          <w:color w:val="244061" w:themeColor="accent1" w:themeShade="80"/>
          <w:sz w:val="24"/>
          <w:szCs w:val="24"/>
        </w:rPr>
        <w:t>; Neifar &amp; Jarboui, 2017; Ntim et al, 2013</w:t>
      </w:r>
      <w:r w:rsidR="0037119D" w:rsidRPr="00B92144">
        <w:rPr>
          <w:rFonts w:asciiTheme="majorBidi" w:hAnsiTheme="majorBidi" w:cstheme="majorBidi"/>
          <w:sz w:val="24"/>
          <w:szCs w:val="24"/>
        </w:rPr>
        <w:t>]</w:t>
      </w:r>
      <w:r w:rsidRPr="00B92144">
        <w:rPr>
          <w:rFonts w:asciiTheme="majorBidi" w:hAnsiTheme="majorBidi" w:cstheme="majorBidi"/>
          <w:sz w:val="24"/>
          <w:szCs w:val="24"/>
        </w:rPr>
        <w:t xml:space="preserve">. </w:t>
      </w:r>
      <w:r w:rsidR="005463E3" w:rsidRPr="00B92144">
        <w:rPr>
          <w:rFonts w:asciiTheme="majorBidi" w:hAnsiTheme="majorBidi" w:cstheme="majorBidi"/>
          <w:sz w:val="24"/>
          <w:szCs w:val="24"/>
        </w:rPr>
        <w:t>In particular, t</w:t>
      </w:r>
      <w:r w:rsidRPr="00B92144">
        <w:rPr>
          <w:rFonts w:asciiTheme="majorBidi" w:hAnsiTheme="majorBidi" w:cstheme="majorBidi"/>
          <w:sz w:val="24"/>
          <w:szCs w:val="24"/>
        </w:rPr>
        <w:t xml:space="preserve">he existing body of empirical research on the </w:t>
      </w:r>
      <w:r w:rsidR="005463E3" w:rsidRPr="00B92144">
        <w:rPr>
          <w:rFonts w:asciiTheme="majorBidi" w:hAnsiTheme="majorBidi" w:cstheme="majorBidi"/>
          <w:sz w:val="24"/>
          <w:szCs w:val="24"/>
        </w:rPr>
        <w:t xml:space="preserve">factors that underlie banks’ </w:t>
      </w:r>
      <w:r w:rsidRPr="00B92144">
        <w:rPr>
          <w:rFonts w:asciiTheme="majorBidi" w:hAnsiTheme="majorBidi" w:cstheme="majorBidi"/>
          <w:sz w:val="24"/>
          <w:szCs w:val="24"/>
        </w:rPr>
        <w:t>risk disclosure</w:t>
      </w:r>
      <w:r w:rsidR="005463E3"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in emerging economies has </w:t>
      </w:r>
      <w:r w:rsidR="00D04597" w:rsidRPr="00B92144">
        <w:rPr>
          <w:rFonts w:asciiTheme="majorBidi" w:hAnsiTheme="majorBidi" w:cstheme="majorBidi"/>
          <w:sz w:val="24"/>
          <w:szCs w:val="24"/>
        </w:rPr>
        <w:t>four</w:t>
      </w:r>
      <w:r w:rsidRPr="00B92144">
        <w:rPr>
          <w:rFonts w:asciiTheme="majorBidi" w:hAnsiTheme="majorBidi" w:cstheme="majorBidi"/>
          <w:sz w:val="24"/>
          <w:szCs w:val="24"/>
        </w:rPr>
        <w:t xml:space="preserve"> major limitations. First, most of these studies focused on one aspect of risk reporting such as market risk disclosure (</w:t>
      </w:r>
      <w:r w:rsidRPr="00B92144">
        <w:rPr>
          <w:rFonts w:asciiTheme="majorBidi" w:hAnsiTheme="majorBidi" w:cstheme="majorBidi"/>
          <w:color w:val="244061" w:themeColor="accent1" w:themeShade="80"/>
          <w:sz w:val="24"/>
          <w:szCs w:val="24"/>
        </w:rPr>
        <w:t>Al-Hadi et al., 201</w:t>
      </w:r>
      <w:r w:rsidR="00776FDD" w:rsidRPr="00B92144">
        <w:rPr>
          <w:rFonts w:asciiTheme="majorBidi" w:hAnsiTheme="majorBidi" w:cstheme="majorBidi"/>
          <w:color w:val="244061" w:themeColor="accent1" w:themeShade="80"/>
          <w:sz w:val="24"/>
          <w:szCs w:val="24"/>
        </w:rPr>
        <w:t>5</w:t>
      </w:r>
      <w:r w:rsidRPr="00B92144">
        <w:rPr>
          <w:rFonts w:asciiTheme="majorBidi" w:hAnsiTheme="majorBidi" w:cstheme="majorBidi"/>
          <w:color w:val="244061" w:themeColor="accent1" w:themeShade="80"/>
          <w:sz w:val="24"/>
          <w:szCs w:val="24"/>
        </w:rPr>
        <w:t>; Al-Hadi et al, 2017</w:t>
      </w:r>
      <w:r w:rsidRPr="00B92144">
        <w:rPr>
          <w:rFonts w:asciiTheme="majorBidi" w:hAnsiTheme="majorBidi" w:cstheme="majorBidi"/>
          <w:sz w:val="24"/>
          <w:szCs w:val="24"/>
        </w:rPr>
        <w:t>), or operational risk disclosure (</w:t>
      </w:r>
      <w:r w:rsidRPr="00B92144">
        <w:rPr>
          <w:rFonts w:asciiTheme="majorBidi" w:hAnsiTheme="majorBidi" w:cstheme="majorBidi"/>
          <w:color w:val="244061" w:themeColor="accent1" w:themeShade="80"/>
          <w:sz w:val="24"/>
          <w:szCs w:val="24"/>
        </w:rPr>
        <w:t>Neifar &amp; Jarboui, 2017</w:t>
      </w:r>
      <w:r w:rsidRPr="00B92144">
        <w:rPr>
          <w:rFonts w:asciiTheme="majorBidi" w:hAnsiTheme="majorBidi" w:cstheme="majorBidi"/>
          <w:sz w:val="24"/>
          <w:szCs w:val="24"/>
        </w:rPr>
        <w:t xml:space="preserve">) while banks’ transparency about other major risk types (e.g. capital adequacy, liquidity risk…) is important for both market discipline and for their financial stability. Second, these papers focused on either financial </w:t>
      </w:r>
      <w:r w:rsidR="003870CF" w:rsidRPr="00B92144">
        <w:rPr>
          <w:rFonts w:asciiTheme="majorBidi" w:hAnsiTheme="majorBidi" w:cstheme="majorBidi"/>
          <w:sz w:val="24"/>
          <w:szCs w:val="24"/>
        </w:rPr>
        <w:t>institution</w:t>
      </w:r>
      <w:r w:rsidRPr="00B92144">
        <w:rPr>
          <w:rFonts w:asciiTheme="majorBidi" w:hAnsiTheme="majorBidi" w:cstheme="majorBidi"/>
          <w:sz w:val="24"/>
          <w:szCs w:val="24"/>
        </w:rPr>
        <w:t xml:space="preserve"> at an aggregate level or on Islamic banks within </w:t>
      </w:r>
      <w:r w:rsidR="003870CF" w:rsidRPr="00B92144">
        <w:rPr>
          <w:rFonts w:asciiTheme="majorBidi" w:hAnsiTheme="majorBidi" w:cstheme="majorBidi"/>
          <w:sz w:val="24"/>
          <w:szCs w:val="24"/>
        </w:rPr>
        <w:t>only the six</w:t>
      </w:r>
      <w:r w:rsidRPr="00B92144">
        <w:rPr>
          <w:rFonts w:asciiTheme="majorBidi" w:hAnsiTheme="majorBidi" w:cstheme="majorBidi"/>
          <w:sz w:val="24"/>
          <w:szCs w:val="24"/>
        </w:rPr>
        <w:t xml:space="preserve"> Gulf Cooperation Council countries (GCC) which show a relatively homogenous context and similar pattern regarding the compliance with risk related regulations. Third, the way in which corporate governance was measured departs from the measures commonly used in the literature. </w:t>
      </w:r>
    </w:p>
    <w:p w14:paraId="77A2D0D1" w14:textId="7CB286B5" w:rsidR="00E75331" w:rsidRPr="00B92144" w:rsidRDefault="00DA0D24" w:rsidP="00776FDD">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While </w:t>
      </w:r>
      <w:r w:rsidRPr="00B92144">
        <w:rPr>
          <w:rFonts w:asciiTheme="majorBidi" w:hAnsiTheme="majorBidi" w:cstheme="majorBidi"/>
          <w:color w:val="244061" w:themeColor="accent1" w:themeShade="80"/>
          <w:sz w:val="24"/>
          <w:szCs w:val="24"/>
        </w:rPr>
        <w:t>Abdallah et al (2015)</w:t>
      </w:r>
      <w:r w:rsidRPr="00B92144">
        <w:rPr>
          <w:rFonts w:asciiTheme="majorBidi" w:hAnsiTheme="majorBidi" w:cstheme="majorBidi"/>
          <w:sz w:val="24"/>
          <w:szCs w:val="24"/>
        </w:rPr>
        <w:t xml:space="preserve"> and </w:t>
      </w:r>
      <w:r w:rsidRPr="00B92144">
        <w:rPr>
          <w:rFonts w:asciiTheme="majorBidi" w:hAnsiTheme="majorBidi" w:cstheme="majorBidi"/>
          <w:color w:val="244061" w:themeColor="accent1" w:themeShade="80"/>
          <w:sz w:val="24"/>
          <w:szCs w:val="24"/>
        </w:rPr>
        <w:t xml:space="preserve">Al-Hadi et al (2017) </w:t>
      </w:r>
      <w:r w:rsidR="00FA1B55" w:rsidRPr="00B92144">
        <w:rPr>
          <w:rFonts w:asciiTheme="majorBidi" w:hAnsiTheme="majorBidi" w:cstheme="majorBidi"/>
          <w:sz w:val="24"/>
          <w:szCs w:val="24"/>
        </w:rPr>
        <w:t>computed</w:t>
      </w:r>
      <w:r w:rsidRPr="00B92144">
        <w:rPr>
          <w:rFonts w:asciiTheme="majorBidi" w:hAnsiTheme="majorBidi" w:cstheme="majorBidi"/>
          <w:sz w:val="24"/>
          <w:szCs w:val="24"/>
        </w:rPr>
        <w:t xml:space="preserve"> subjective governance quality </w:t>
      </w:r>
      <w:r w:rsidR="00FA1B55" w:rsidRPr="00B92144">
        <w:rPr>
          <w:rFonts w:asciiTheme="majorBidi" w:hAnsiTheme="majorBidi" w:cstheme="majorBidi"/>
          <w:sz w:val="24"/>
          <w:szCs w:val="24"/>
        </w:rPr>
        <w:t>scores</w:t>
      </w:r>
      <w:r w:rsidR="00B63FB5" w:rsidRPr="00B92144">
        <w:rPr>
          <w:rFonts w:asciiTheme="majorBidi" w:hAnsiTheme="majorBidi" w:cstheme="majorBidi"/>
          <w:sz w:val="24"/>
          <w:szCs w:val="24"/>
        </w:rPr>
        <w:t xml:space="preserve"> </w:t>
      </w:r>
      <w:r w:rsidR="00D04597" w:rsidRPr="00B92144">
        <w:rPr>
          <w:rFonts w:asciiTheme="majorBidi" w:hAnsiTheme="majorBidi" w:cstheme="majorBidi"/>
          <w:sz w:val="24"/>
          <w:szCs w:val="24"/>
        </w:rPr>
        <w:t>based on</w:t>
      </w:r>
      <w:r w:rsidR="00FA1B55" w:rsidRPr="00B92144">
        <w:rPr>
          <w:rFonts w:asciiTheme="majorBidi" w:hAnsiTheme="majorBidi" w:cstheme="majorBidi"/>
          <w:sz w:val="24"/>
          <w:szCs w:val="24"/>
        </w:rPr>
        <w:t xml:space="preserve"> either</w:t>
      </w:r>
      <w:r w:rsidR="00D04597" w:rsidRPr="00B92144">
        <w:rPr>
          <w:rFonts w:asciiTheme="majorBidi" w:hAnsiTheme="majorBidi" w:cstheme="majorBidi"/>
          <w:sz w:val="24"/>
          <w:szCs w:val="24"/>
        </w:rPr>
        <w:t xml:space="preserve"> investors’ perception </w:t>
      </w:r>
      <w:r w:rsidR="00FA1B55" w:rsidRPr="00B92144">
        <w:rPr>
          <w:rFonts w:asciiTheme="majorBidi" w:hAnsiTheme="majorBidi" w:cstheme="majorBidi"/>
          <w:sz w:val="24"/>
          <w:szCs w:val="24"/>
        </w:rPr>
        <w:t xml:space="preserve">or </w:t>
      </w:r>
      <w:r w:rsidR="00D04597" w:rsidRPr="00B92144">
        <w:rPr>
          <w:rFonts w:asciiTheme="majorBidi" w:hAnsiTheme="majorBidi" w:cstheme="majorBidi"/>
          <w:sz w:val="24"/>
          <w:szCs w:val="24"/>
        </w:rPr>
        <w:t xml:space="preserve">the number of </w:t>
      </w:r>
      <w:r w:rsidR="00FA1B55" w:rsidRPr="00B92144">
        <w:rPr>
          <w:rFonts w:asciiTheme="majorBidi" w:hAnsiTheme="majorBidi" w:cstheme="majorBidi"/>
          <w:sz w:val="24"/>
          <w:szCs w:val="24"/>
        </w:rPr>
        <w:t xml:space="preserve">governance related </w:t>
      </w:r>
      <w:r w:rsidR="00D04597" w:rsidRPr="00B92144">
        <w:rPr>
          <w:rFonts w:asciiTheme="majorBidi" w:hAnsiTheme="majorBidi" w:cstheme="majorBidi"/>
          <w:sz w:val="24"/>
          <w:szCs w:val="24"/>
        </w:rPr>
        <w:t>items</w:t>
      </w:r>
      <w:r w:rsidR="00FA1B55" w:rsidRPr="00B92144">
        <w:rPr>
          <w:rFonts w:asciiTheme="majorBidi" w:hAnsiTheme="majorBidi" w:cstheme="majorBidi"/>
          <w:sz w:val="24"/>
          <w:szCs w:val="24"/>
        </w:rPr>
        <w:t xml:space="preserve"> disclosed by financial firms</w:t>
      </w:r>
      <w:r w:rsidRPr="00B92144">
        <w:rPr>
          <w:rFonts w:asciiTheme="majorBidi" w:hAnsiTheme="majorBidi" w:cstheme="majorBidi"/>
          <w:sz w:val="24"/>
          <w:szCs w:val="24"/>
        </w:rPr>
        <w:t xml:space="preserve">, </w:t>
      </w:r>
      <w:r w:rsidRPr="00B92144">
        <w:rPr>
          <w:rFonts w:asciiTheme="majorBidi" w:hAnsiTheme="majorBidi" w:cstheme="majorBidi"/>
          <w:color w:val="244061" w:themeColor="accent1" w:themeShade="80"/>
          <w:sz w:val="24"/>
          <w:szCs w:val="24"/>
        </w:rPr>
        <w:t>Al-</w:t>
      </w:r>
      <w:r w:rsidR="00776FDD" w:rsidRPr="00B92144">
        <w:rPr>
          <w:rFonts w:asciiTheme="majorBidi" w:hAnsiTheme="majorBidi" w:cstheme="majorBidi"/>
          <w:color w:val="244061" w:themeColor="accent1" w:themeShade="80"/>
          <w:sz w:val="24"/>
          <w:szCs w:val="24"/>
        </w:rPr>
        <w:t>Hadi (2015</w:t>
      </w:r>
      <w:r w:rsidRPr="00B92144">
        <w:rPr>
          <w:rFonts w:asciiTheme="majorBidi" w:hAnsiTheme="majorBidi" w:cstheme="majorBidi"/>
          <w:color w:val="244061" w:themeColor="accent1" w:themeShade="80"/>
          <w:sz w:val="24"/>
          <w:szCs w:val="24"/>
        </w:rPr>
        <w:t xml:space="preserve">) </w:t>
      </w:r>
      <w:r w:rsidRPr="00B92144">
        <w:rPr>
          <w:rFonts w:asciiTheme="majorBidi" w:hAnsiTheme="majorBidi" w:cstheme="majorBidi"/>
          <w:sz w:val="24"/>
          <w:szCs w:val="24"/>
        </w:rPr>
        <w:t xml:space="preserve">and </w:t>
      </w:r>
      <w:r w:rsidRPr="00B92144">
        <w:rPr>
          <w:rFonts w:asciiTheme="majorBidi" w:hAnsiTheme="majorBidi" w:cstheme="majorBidi"/>
          <w:color w:val="244061" w:themeColor="accent1" w:themeShade="80"/>
          <w:sz w:val="24"/>
          <w:szCs w:val="24"/>
        </w:rPr>
        <w:t xml:space="preserve">Neifer &amp; </w:t>
      </w:r>
      <w:r w:rsidR="003E0D7A" w:rsidRPr="00B92144">
        <w:rPr>
          <w:rFonts w:asciiTheme="majorBidi" w:hAnsiTheme="majorBidi" w:cstheme="majorBidi"/>
          <w:color w:val="244061" w:themeColor="accent1" w:themeShade="80"/>
          <w:sz w:val="24"/>
          <w:szCs w:val="24"/>
        </w:rPr>
        <w:t>J</w:t>
      </w:r>
      <w:r w:rsidRPr="00B92144">
        <w:rPr>
          <w:rFonts w:asciiTheme="majorBidi" w:hAnsiTheme="majorBidi" w:cstheme="majorBidi"/>
          <w:color w:val="244061" w:themeColor="accent1" w:themeShade="80"/>
          <w:sz w:val="24"/>
          <w:szCs w:val="24"/>
        </w:rPr>
        <w:t xml:space="preserve">arboui (2017) </w:t>
      </w:r>
      <w:r w:rsidRPr="00B92144">
        <w:rPr>
          <w:rFonts w:asciiTheme="majorBidi" w:hAnsiTheme="majorBidi" w:cstheme="majorBidi"/>
          <w:sz w:val="24"/>
          <w:szCs w:val="24"/>
        </w:rPr>
        <w:t xml:space="preserve">examined the </w:t>
      </w:r>
      <w:r w:rsidR="00FA1B55" w:rsidRPr="00B92144">
        <w:rPr>
          <w:rFonts w:asciiTheme="majorBidi" w:hAnsiTheme="majorBidi" w:cstheme="majorBidi"/>
          <w:sz w:val="24"/>
          <w:szCs w:val="24"/>
        </w:rPr>
        <w:t xml:space="preserve">impact </w:t>
      </w:r>
      <w:r w:rsidRPr="00B92144">
        <w:rPr>
          <w:rFonts w:asciiTheme="majorBidi" w:hAnsiTheme="majorBidi" w:cstheme="majorBidi"/>
          <w:sz w:val="24"/>
          <w:szCs w:val="24"/>
        </w:rPr>
        <w:t xml:space="preserve">of few governance attributes. </w:t>
      </w:r>
      <w:r w:rsidR="003E0D7A" w:rsidRPr="00B92144">
        <w:rPr>
          <w:rFonts w:asciiTheme="majorBidi" w:hAnsiTheme="majorBidi" w:cstheme="majorBidi"/>
          <w:sz w:val="24"/>
          <w:szCs w:val="24"/>
        </w:rPr>
        <w:t>F</w:t>
      </w:r>
      <w:r w:rsidR="00D04597" w:rsidRPr="00B92144">
        <w:rPr>
          <w:rFonts w:asciiTheme="majorBidi" w:hAnsiTheme="majorBidi" w:cstheme="majorBidi"/>
          <w:sz w:val="24"/>
          <w:szCs w:val="24"/>
        </w:rPr>
        <w:t>ourth</w:t>
      </w:r>
      <w:r w:rsidR="003E0D7A" w:rsidRPr="00B92144">
        <w:rPr>
          <w:rFonts w:asciiTheme="majorBidi" w:hAnsiTheme="majorBidi" w:cstheme="majorBidi"/>
          <w:sz w:val="24"/>
          <w:szCs w:val="24"/>
        </w:rPr>
        <w:t xml:space="preserve">, </w:t>
      </w:r>
      <w:r w:rsidR="008952DF" w:rsidRPr="00B92144">
        <w:rPr>
          <w:rFonts w:asciiTheme="majorBidi" w:hAnsiTheme="majorBidi" w:cstheme="majorBidi"/>
          <w:sz w:val="24"/>
          <w:szCs w:val="24"/>
        </w:rPr>
        <w:t xml:space="preserve">it is not clear </w:t>
      </w:r>
      <w:r w:rsidR="001918F6" w:rsidRPr="00B92144">
        <w:rPr>
          <w:rFonts w:asciiTheme="majorBidi" w:hAnsiTheme="majorBidi" w:cstheme="majorBidi"/>
          <w:sz w:val="24"/>
          <w:szCs w:val="24"/>
        </w:rPr>
        <w:t>whether</w:t>
      </w:r>
      <w:r w:rsidR="008952DF" w:rsidRPr="00B92144">
        <w:rPr>
          <w:rFonts w:asciiTheme="majorBidi" w:hAnsiTheme="majorBidi" w:cstheme="majorBidi"/>
          <w:sz w:val="24"/>
          <w:szCs w:val="24"/>
        </w:rPr>
        <w:t xml:space="preserve"> </w:t>
      </w:r>
      <w:r w:rsidR="00BD72D8" w:rsidRPr="00B92144">
        <w:rPr>
          <w:rFonts w:asciiTheme="majorBidi" w:hAnsiTheme="majorBidi" w:cstheme="majorBidi"/>
          <w:color w:val="244061" w:themeColor="accent1" w:themeShade="80"/>
          <w:sz w:val="24"/>
          <w:szCs w:val="24"/>
        </w:rPr>
        <w:t>Abdallah et al (2015)</w:t>
      </w:r>
      <w:r w:rsidR="00BD72D8" w:rsidRPr="00B92144">
        <w:rPr>
          <w:rFonts w:asciiTheme="majorBidi" w:hAnsiTheme="majorBidi" w:cstheme="majorBidi"/>
          <w:sz w:val="24"/>
          <w:szCs w:val="24"/>
        </w:rPr>
        <w:t xml:space="preserve">’s </w:t>
      </w:r>
      <w:r w:rsidR="008952DF" w:rsidRPr="00B92144">
        <w:rPr>
          <w:rFonts w:asciiTheme="majorBidi" w:hAnsiTheme="majorBidi" w:cstheme="majorBidi"/>
          <w:sz w:val="24"/>
          <w:szCs w:val="24"/>
        </w:rPr>
        <w:t>score</w:t>
      </w:r>
      <w:r w:rsidR="00BD72D8" w:rsidRPr="00B92144">
        <w:rPr>
          <w:rFonts w:asciiTheme="majorBidi" w:hAnsiTheme="majorBidi" w:cstheme="majorBidi"/>
          <w:sz w:val="24"/>
          <w:szCs w:val="24"/>
        </w:rPr>
        <w:t xml:space="preserve">s which are related to trading history, corporate communication and disclosure can be a </w:t>
      </w:r>
      <w:r w:rsidR="00B63FB5" w:rsidRPr="00B92144">
        <w:rPr>
          <w:rFonts w:asciiTheme="majorBidi" w:hAnsiTheme="majorBidi" w:cstheme="majorBidi"/>
          <w:sz w:val="24"/>
          <w:szCs w:val="24"/>
        </w:rPr>
        <w:t xml:space="preserve">holistic </w:t>
      </w:r>
      <w:r w:rsidR="00BD72D8" w:rsidRPr="00B92144">
        <w:rPr>
          <w:rFonts w:asciiTheme="majorBidi" w:hAnsiTheme="majorBidi" w:cstheme="majorBidi"/>
          <w:sz w:val="24"/>
          <w:szCs w:val="24"/>
        </w:rPr>
        <w:t xml:space="preserve">and </w:t>
      </w:r>
      <w:r w:rsidR="00FB7E57" w:rsidRPr="00B92144">
        <w:rPr>
          <w:rFonts w:asciiTheme="majorBidi" w:hAnsiTheme="majorBidi" w:cstheme="majorBidi"/>
          <w:sz w:val="24"/>
          <w:szCs w:val="24"/>
        </w:rPr>
        <w:t>valid</w:t>
      </w:r>
      <w:r w:rsidR="00BD72D8" w:rsidRPr="00B92144">
        <w:rPr>
          <w:rFonts w:asciiTheme="majorBidi" w:hAnsiTheme="majorBidi" w:cstheme="majorBidi"/>
          <w:sz w:val="24"/>
          <w:szCs w:val="24"/>
        </w:rPr>
        <w:t xml:space="preserve"> measure of governance quality. It even raises question</w:t>
      </w:r>
      <w:r w:rsidR="00D04597" w:rsidRPr="00B92144">
        <w:rPr>
          <w:rFonts w:asciiTheme="majorBidi" w:hAnsiTheme="majorBidi" w:cstheme="majorBidi"/>
          <w:sz w:val="24"/>
          <w:szCs w:val="24"/>
        </w:rPr>
        <w:t>s</w:t>
      </w:r>
      <w:r w:rsidR="00BD72D8" w:rsidRPr="00B92144">
        <w:rPr>
          <w:rFonts w:asciiTheme="majorBidi" w:hAnsiTheme="majorBidi" w:cstheme="majorBidi"/>
          <w:sz w:val="24"/>
          <w:szCs w:val="24"/>
        </w:rPr>
        <w:t xml:space="preserve"> about possible </w:t>
      </w:r>
      <w:r w:rsidR="00D04597" w:rsidRPr="00B92144">
        <w:rPr>
          <w:rFonts w:asciiTheme="majorBidi" w:hAnsiTheme="majorBidi" w:cstheme="majorBidi"/>
          <w:sz w:val="24"/>
          <w:szCs w:val="24"/>
        </w:rPr>
        <w:t>confounding variable</w:t>
      </w:r>
      <w:r w:rsidR="00BD72D8" w:rsidRPr="00B92144">
        <w:rPr>
          <w:rFonts w:asciiTheme="majorBidi" w:hAnsiTheme="majorBidi" w:cstheme="majorBidi"/>
          <w:sz w:val="24"/>
          <w:szCs w:val="24"/>
        </w:rPr>
        <w:t xml:space="preserve"> since such measure can</w:t>
      </w:r>
      <w:r w:rsidR="00B63FB5" w:rsidRPr="00B92144">
        <w:rPr>
          <w:rFonts w:asciiTheme="majorBidi" w:hAnsiTheme="majorBidi" w:cstheme="majorBidi"/>
          <w:sz w:val="24"/>
          <w:szCs w:val="24"/>
        </w:rPr>
        <w:t xml:space="preserve"> </w:t>
      </w:r>
      <w:r w:rsidR="00BD72D8" w:rsidRPr="00B92144">
        <w:rPr>
          <w:rFonts w:asciiTheme="majorBidi" w:hAnsiTheme="majorBidi" w:cstheme="majorBidi"/>
          <w:sz w:val="24"/>
          <w:szCs w:val="24"/>
        </w:rPr>
        <w:t xml:space="preserve">proxy </w:t>
      </w:r>
      <w:r w:rsidR="00B63FB5" w:rsidRPr="00B92144">
        <w:rPr>
          <w:rFonts w:asciiTheme="majorBidi" w:hAnsiTheme="majorBidi" w:cstheme="majorBidi"/>
          <w:sz w:val="24"/>
          <w:szCs w:val="24"/>
        </w:rPr>
        <w:t xml:space="preserve">for </w:t>
      </w:r>
      <w:r w:rsidR="00D04597" w:rsidRPr="00B92144">
        <w:rPr>
          <w:rFonts w:asciiTheme="majorBidi" w:hAnsiTheme="majorBidi" w:cstheme="majorBidi"/>
          <w:sz w:val="24"/>
          <w:szCs w:val="24"/>
        </w:rPr>
        <w:t xml:space="preserve">both </w:t>
      </w:r>
      <w:r w:rsidR="00B63FB5" w:rsidRPr="00B92144">
        <w:rPr>
          <w:rFonts w:asciiTheme="majorBidi" w:hAnsiTheme="majorBidi" w:cstheme="majorBidi"/>
          <w:sz w:val="24"/>
          <w:szCs w:val="24"/>
        </w:rPr>
        <w:t>risk disclosure</w:t>
      </w:r>
      <w:r w:rsidR="00FB7E57" w:rsidRPr="00B92144">
        <w:rPr>
          <w:rFonts w:asciiTheme="majorBidi" w:hAnsiTheme="majorBidi" w:cstheme="majorBidi"/>
          <w:sz w:val="24"/>
          <w:szCs w:val="24"/>
        </w:rPr>
        <w:t xml:space="preserve"> </w:t>
      </w:r>
      <w:r w:rsidR="00D04597" w:rsidRPr="00B92144">
        <w:rPr>
          <w:rFonts w:asciiTheme="majorBidi" w:hAnsiTheme="majorBidi" w:cstheme="majorBidi"/>
          <w:sz w:val="24"/>
          <w:szCs w:val="24"/>
        </w:rPr>
        <w:t xml:space="preserve">and a company’s governance </w:t>
      </w:r>
      <w:r w:rsidR="00FB7E57" w:rsidRPr="00B92144">
        <w:rPr>
          <w:rFonts w:asciiTheme="majorBidi" w:hAnsiTheme="majorBidi" w:cstheme="majorBidi"/>
          <w:sz w:val="24"/>
          <w:szCs w:val="24"/>
        </w:rPr>
        <w:t>context</w:t>
      </w:r>
      <w:r w:rsidR="00E53297" w:rsidRPr="00B92144">
        <w:rPr>
          <w:rFonts w:asciiTheme="majorBidi" w:hAnsiTheme="majorBidi" w:cstheme="majorBidi"/>
          <w:sz w:val="24"/>
          <w:szCs w:val="24"/>
        </w:rPr>
        <w:t>.</w:t>
      </w:r>
      <w:r w:rsidR="00B63FB5" w:rsidRPr="00B92144">
        <w:rPr>
          <w:rFonts w:asciiTheme="majorBidi" w:hAnsiTheme="majorBidi" w:cstheme="majorBidi"/>
          <w:sz w:val="24"/>
          <w:szCs w:val="24"/>
        </w:rPr>
        <w:t xml:space="preserve"> </w:t>
      </w:r>
      <w:r w:rsidRPr="00B92144">
        <w:rPr>
          <w:rFonts w:asciiTheme="majorBidi" w:hAnsiTheme="majorBidi" w:cstheme="majorBidi"/>
          <w:sz w:val="24"/>
          <w:szCs w:val="24"/>
        </w:rPr>
        <w:t>For instance, the extent to which bank</w:t>
      </w:r>
      <w:r w:rsidR="009B787C" w:rsidRPr="00B92144">
        <w:rPr>
          <w:rFonts w:asciiTheme="majorBidi" w:hAnsiTheme="majorBidi" w:cstheme="majorBidi"/>
          <w:sz w:val="24"/>
          <w:szCs w:val="24"/>
        </w:rPr>
        <w:t xml:space="preserve">s’ features and </w:t>
      </w:r>
      <w:r w:rsidRPr="00B92144">
        <w:rPr>
          <w:rFonts w:asciiTheme="majorBidi" w:hAnsiTheme="majorBidi" w:cstheme="majorBidi"/>
          <w:sz w:val="24"/>
          <w:szCs w:val="24"/>
        </w:rPr>
        <w:t xml:space="preserve">specific governance mechanisms matter for risk disclosure </w:t>
      </w:r>
      <w:r w:rsidR="001918F6" w:rsidRPr="00B92144">
        <w:rPr>
          <w:rFonts w:asciiTheme="majorBidi" w:hAnsiTheme="majorBidi" w:cstheme="majorBidi"/>
          <w:sz w:val="24"/>
          <w:szCs w:val="24"/>
        </w:rPr>
        <w:t xml:space="preserve">in a broader context of emerging economies </w:t>
      </w:r>
      <w:r w:rsidR="00FF0EFA" w:rsidRPr="00B92144">
        <w:rPr>
          <w:rFonts w:asciiTheme="majorBidi" w:hAnsiTheme="majorBidi" w:cstheme="majorBidi"/>
          <w:sz w:val="24"/>
          <w:szCs w:val="24"/>
        </w:rPr>
        <w:t xml:space="preserve">and over a larger time period </w:t>
      </w:r>
      <w:r w:rsidRPr="00B92144">
        <w:rPr>
          <w:rFonts w:asciiTheme="majorBidi" w:hAnsiTheme="majorBidi" w:cstheme="majorBidi"/>
          <w:sz w:val="24"/>
          <w:szCs w:val="24"/>
        </w:rPr>
        <w:t>remains a</w:t>
      </w:r>
      <w:r w:rsidR="009B787C" w:rsidRPr="00B92144">
        <w:rPr>
          <w:rFonts w:asciiTheme="majorBidi" w:hAnsiTheme="majorBidi" w:cstheme="majorBidi"/>
          <w:sz w:val="24"/>
          <w:szCs w:val="24"/>
        </w:rPr>
        <w:t xml:space="preserve"> partially </w:t>
      </w:r>
      <w:r w:rsidR="00B6759F" w:rsidRPr="00B92144">
        <w:rPr>
          <w:rFonts w:asciiTheme="majorBidi" w:hAnsiTheme="majorBidi" w:cstheme="majorBidi"/>
          <w:sz w:val="24"/>
          <w:szCs w:val="24"/>
        </w:rPr>
        <w:t>un</w:t>
      </w:r>
      <w:r w:rsidRPr="00B92144">
        <w:rPr>
          <w:rFonts w:asciiTheme="majorBidi" w:hAnsiTheme="majorBidi" w:cstheme="majorBidi"/>
          <w:sz w:val="24"/>
          <w:szCs w:val="24"/>
        </w:rPr>
        <w:t xml:space="preserve">answered question. As a matter of fact, there is still scope for assessing the role </w:t>
      </w:r>
      <w:r w:rsidR="00FF0EFA" w:rsidRPr="00B92144">
        <w:rPr>
          <w:rFonts w:asciiTheme="majorBidi" w:hAnsiTheme="majorBidi" w:cstheme="majorBidi"/>
          <w:sz w:val="24"/>
          <w:szCs w:val="24"/>
        </w:rPr>
        <w:t xml:space="preserve">banks’ </w:t>
      </w:r>
      <w:r w:rsidRPr="00B92144">
        <w:rPr>
          <w:rFonts w:asciiTheme="majorBidi" w:hAnsiTheme="majorBidi" w:cstheme="majorBidi"/>
          <w:sz w:val="24"/>
          <w:szCs w:val="24"/>
        </w:rPr>
        <w:t xml:space="preserve">attributes </w:t>
      </w:r>
      <w:r w:rsidR="00FF0EFA" w:rsidRPr="00B92144">
        <w:rPr>
          <w:rFonts w:asciiTheme="majorBidi" w:hAnsiTheme="majorBidi" w:cstheme="majorBidi"/>
          <w:sz w:val="24"/>
          <w:szCs w:val="24"/>
        </w:rPr>
        <w:t xml:space="preserve">and governance structures </w:t>
      </w:r>
      <w:r w:rsidRPr="00B92144">
        <w:rPr>
          <w:rFonts w:asciiTheme="majorBidi" w:hAnsiTheme="majorBidi" w:cstheme="majorBidi"/>
          <w:sz w:val="24"/>
          <w:szCs w:val="24"/>
        </w:rPr>
        <w:t xml:space="preserve">may play in enhancing </w:t>
      </w:r>
      <w:r w:rsidR="00FF0EFA" w:rsidRPr="00B92144">
        <w:rPr>
          <w:rFonts w:asciiTheme="majorBidi" w:hAnsiTheme="majorBidi" w:cstheme="majorBidi"/>
          <w:sz w:val="24"/>
          <w:szCs w:val="24"/>
        </w:rPr>
        <w:t>their</w:t>
      </w:r>
      <w:r w:rsidRPr="00B92144">
        <w:rPr>
          <w:rFonts w:asciiTheme="majorBidi" w:hAnsiTheme="majorBidi" w:cstheme="majorBidi"/>
          <w:sz w:val="24"/>
          <w:szCs w:val="24"/>
        </w:rPr>
        <w:t xml:space="preserve"> transparency. This is particularly important as banks are quite different from other organizations in their excessive risk taking and the impact this has on the financial system as a whole (</w:t>
      </w:r>
      <w:r w:rsidRPr="00B92144">
        <w:rPr>
          <w:rFonts w:asciiTheme="majorBidi" w:hAnsiTheme="majorBidi" w:cstheme="majorBidi"/>
          <w:color w:val="244061" w:themeColor="accent1" w:themeShade="80"/>
          <w:sz w:val="24"/>
          <w:szCs w:val="24"/>
        </w:rPr>
        <w:t>Bushman, 2014</w:t>
      </w:r>
      <w:r w:rsidRPr="00B92144">
        <w:rPr>
          <w:rFonts w:asciiTheme="majorBidi" w:hAnsiTheme="majorBidi" w:cstheme="majorBidi"/>
          <w:sz w:val="24"/>
          <w:szCs w:val="24"/>
        </w:rPr>
        <w:t>). Scope exists also for investigating issues more closely related to the nature of financial institutions, such as the distinctiveness of risk reporting amongst conventional and Islamic banks and across jurisdictions in which regulations are more restrictive or permissive.</w:t>
      </w:r>
      <w:r w:rsidR="00AB0C67" w:rsidRPr="00B92144">
        <w:rPr>
          <w:rFonts w:asciiTheme="majorBidi" w:hAnsiTheme="majorBidi" w:cstheme="majorBidi"/>
          <w:sz w:val="24"/>
          <w:szCs w:val="24"/>
        </w:rPr>
        <w:t xml:space="preserve"> </w:t>
      </w:r>
    </w:p>
    <w:p w14:paraId="74793831" w14:textId="63CEFBBD" w:rsidR="00DA0D24" w:rsidRPr="00B92144" w:rsidRDefault="00DA0D24" w:rsidP="00FB4B88">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Our paper makes therefore an important contribution to the governance and disclosure literature by assessing the risk disclosure practices of 169 banks operating in 1</w:t>
      </w:r>
      <w:r w:rsidR="00FB4B88" w:rsidRPr="00B92144">
        <w:rPr>
          <w:rFonts w:asciiTheme="majorBidi" w:hAnsiTheme="majorBidi" w:cstheme="majorBidi"/>
          <w:sz w:val="24"/>
          <w:szCs w:val="24"/>
        </w:rPr>
        <w:t>1</w:t>
      </w:r>
      <w:r w:rsidRPr="00B92144">
        <w:rPr>
          <w:rFonts w:asciiTheme="majorBidi" w:hAnsiTheme="majorBidi" w:cstheme="majorBidi"/>
          <w:sz w:val="24"/>
          <w:szCs w:val="24"/>
        </w:rPr>
        <w:t xml:space="preserve"> emerging economies </w:t>
      </w:r>
      <w:r w:rsidRPr="00B92144">
        <w:rPr>
          <w:rFonts w:asciiTheme="majorBidi" w:hAnsiTheme="majorBidi" w:cstheme="majorBidi"/>
          <w:sz w:val="24"/>
          <w:szCs w:val="24"/>
        </w:rPr>
        <w:lastRenderedPageBreak/>
        <w:t>including Bahrain, Jordan, Kuwait, Malaysia, Pakistan, Qatar, Saudi Arabia, Tunisia, Egypt, turkey and United Arab Emirates (UAE)</w:t>
      </w:r>
      <w:r w:rsidR="00FF0EFA" w:rsidRPr="00B92144">
        <w:rPr>
          <w:rFonts w:asciiTheme="majorBidi" w:hAnsiTheme="majorBidi" w:cstheme="majorBidi"/>
          <w:sz w:val="24"/>
          <w:szCs w:val="24"/>
        </w:rPr>
        <w:t xml:space="preserve"> over a period of six years (from 2009 to 2014)</w:t>
      </w:r>
      <w:r w:rsidRPr="00B92144">
        <w:rPr>
          <w:rFonts w:asciiTheme="majorBidi" w:hAnsiTheme="majorBidi" w:cstheme="majorBidi"/>
          <w:sz w:val="24"/>
          <w:szCs w:val="24"/>
        </w:rPr>
        <w:t xml:space="preserve">. </w:t>
      </w:r>
      <w:r w:rsidR="005E3EF1" w:rsidRPr="00B92144">
        <w:rPr>
          <w:rFonts w:asciiTheme="majorBidi" w:hAnsiTheme="majorBidi" w:cstheme="majorBidi"/>
          <w:sz w:val="24"/>
          <w:szCs w:val="24"/>
        </w:rPr>
        <w:t>We</w:t>
      </w:r>
      <w:r w:rsidR="00626B40" w:rsidRPr="00B92144">
        <w:rPr>
          <w:rFonts w:asciiTheme="majorBidi" w:hAnsiTheme="majorBidi" w:cstheme="majorBidi"/>
          <w:sz w:val="24"/>
          <w:szCs w:val="24"/>
        </w:rPr>
        <w:t xml:space="preserve"> answer </w:t>
      </w:r>
      <w:r w:rsidR="005E3EF1" w:rsidRPr="00B92144">
        <w:rPr>
          <w:rFonts w:asciiTheme="majorBidi" w:hAnsiTheme="majorBidi" w:cstheme="majorBidi"/>
          <w:sz w:val="24"/>
          <w:szCs w:val="24"/>
        </w:rPr>
        <w:t xml:space="preserve">indeed, </w:t>
      </w:r>
      <w:r w:rsidR="00626B40" w:rsidRPr="00B92144">
        <w:rPr>
          <w:rFonts w:asciiTheme="majorBidi" w:hAnsiTheme="majorBidi" w:cstheme="majorBidi"/>
          <w:sz w:val="24"/>
          <w:szCs w:val="24"/>
        </w:rPr>
        <w:t xml:space="preserve">the call of </w:t>
      </w:r>
      <w:r w:rsidR="00626B40" w:rsidRPr="00B92144">
        <w:rPr>
          <w:rFonts w:asciiTheme="majorBidi" w:hAnsiTheme="majorBidi" w:cstheme="majorBidi"/>
          <w:color w:val="244061" w:themeColor="accent1" w:themeShade="80"/>
          <w:sz w:val="24"/>
          <w:szCs w:val="24"/>
        </w:rPr>
        <w:t xml:space="preserve">Abdallah et al (2015) </w:t>
      </w:r>
      <w:r w:rsidR="005E3EF1" w:rsidRPr="00B92144">
        <w:rPr>
          <w:rFonts w:asciiTheme="majorBidi" w:hAnsiTheme="majorBidi" w:cstheme="majorBidi"/>
          <w:sz w:val="24"/>
          <w:szCs w:val="24"/>
        </w:rPr>
        <w:t xml:space="preserve">which considers assessing </w:t>
      </w:r>
      <w:r w:rsidR="00626B40" w:rsidRPr="00B92144">
        <w:rPr>
          <w:rFonts w:asciiTheme="majorBidi" w:hAnsiTheme="majorBidi" w:cstheme="majorBidi"/>
          <w:sz w:val="24"/>
          <w:szCs w:val="24"/>
        </w:rPr>
        <w:t>the impact of ownership</w:t>
      </w:r>
      <w:r w:rsidR="005E3EF1" w:rsidRPr="00B92144">
        <w:rPr>
          <w:rFonts w:asciiTheme="majorBidi" w:hAnsiTheme="majorBidi" w:cstheme="majorBidi"/>
          <w:sz w:val="24"/>
          <w:szCs w:val="24"/>
        </w:rPr>
        <w:t xml:space="preserve"> and board </w:t>
      </w:r>
      <w:r w:rsidR="00626B40" w:rsidRPr="00B92144">
        <w:rPr>
          <w:rFonts w:asciiTheme="majorBidi" w:hAnsiTheme="majorBidi" w:cstheme="majorBidi"/>
          <w:sz w:val="24"/>
          <w:szCs w:val="24"/>
        </w:rPr>
        <w:t>structure</w:t>
      </w:r>
      <w:r w:rsidR="005E3EF1" w:rsidRPr="00B92144">
        <w:rPr>
          <w:rFonts w:asciiTheme="majorBidi" w:hAnsiTheme="majorBidi" w:cstheme="majorBidi"/>
          <w:sz w:val="24"/>
          <w:szCs w:val="24"/>
        </w:rPr>
        <w:t xml:space="preserve"> </w:t>
      </w:r>
      <w:r w:rsidR="00626B40" w:rsidRPr="00B92144">
        <w:rPr>
          <w:rFonts w:asciiTheme="majorBidi" w:hAnsiTheme="majorBidi" w:cstheme="majorBidi"/>
          <w:sz w:val="24"/>
          <w:szCs w:val="24"/>
        </w:rPr>
        <w:t xml:space="preserve">on </w:t>
      </w:r>
      <w:r w:rsidR="005E3EF1" w:rsidRPr="00B92144">
        <w:rPr>
          <w:rFonts w:asciiTheme="majorBidi" w:hAnsiTheme="majorBidi" w:cstheme="majorBidi"/>
          <w:sz w:val="24"/>
          <w:szCs w:val="24"/>
        </w:rPr>
        <w:t xml:space="preserve">risk disclosure </w:t>
      </w:r>
      <w:r w:rsidR="00626B40" w:rsidRPr="00B92144">
        <w:rPr>
          <w:rFonts w:asciiTheme="majorBidi" w:hAnsiTheme="majorBidi" w:cstheme="majorBidi"/>
          <w:sz w:val="24"/>
          <w:szCs w:val="24"/>
        </w:rPr>
        <w:t>practices of GCC firms as a</w:t>
      </w:r>
      <w:r w:rsidR="005E3EF1" w:rsidRPr="00B92144">
        <w:rPr>
          <w:rFonts w:asciiTheme="majorBidi" w:hAnsiTheme="majorBidi" w:cstheme="majorBidi"/>
          <w:sz w:val="24"/>
          <w:szCs w:val="24"/>
        </w:rPr>
        <w:t xml:space="preserve"> </w:t>
      </w:r>
      <w:r w:rsidR="00626B40" w:rsidRPr="00B92144">
        <w:rPr>
          <w:rFonts w:asciiTheme="majorBidi" w:hAnsiTheme="majorBidi" w:cstheme="majorBidi"/>
          <w:sz w:val="24"/>
          <w:szCs w:val="24"/>
        </w:rPr>
        <w:t>potentially rich area of study.</w:t>
      </w:r>
      <w:r w:rsidR="005E3EF1" w:rsidRPr="00B92144">
        <w:rPr>
          <w:rFonts w:asciiTheme="majorBidi" w:hAnsiTheme="majorBidi" w:cstheme="majorBidi"/>
          <w:sz w:val="24"/>
          <w:szCs w:val="24"/>
        </w:rPr>
        <w:t xml:space="preserve"> We </w:t>
      </w:r>
      <w:r w:rsidRPr="00B92144">
        <w:rPr>
          <w:rFonts w:asciiTheme="majorBidi" w:hAnsiTheme="majorBidi" w:cstheme="majorBidi"/>
          <w:sz w:val="24"/>
          <w:szCs w:val="24"/>
        </w:rPr>
        <w:t xml:space="preserve">go far beyond the Gulf Cooperation council countries context and provide a cross country </w:t>
      </w:r>
      <w:r w:rsidR="00FF0EFA" w:rsidRPr="00B92144">
        <w:rPr>
          <w:rFonts w:asciiTheme="majorBidi" w:hAnsiTheme="majorBidi" w:cstheme="majorBidi"/>
          <w:sz w:val="24"/>
          <w:szCs w:val="24"/>
        </w:rPr>
        <w:t xml:space="preserve">and time series </w:t>
      </w:r>
      <w:r w:rsidRPr="00B92144">
        <w:rPr>
          <w:rFonts w:asciiTheme="majorBidi" w:hAnsiTheme="majorBidi" w:cstheme="majorBidi"/>
          <w:sz w:val="24"/>
          <w:szCs w:val="24"/>
        </w:rPr>
        <w:t xml:space="preserve">analysis of the potential differences between the risk disclosure pattern of conventional banks compared to their Islamic counterparts. Recall that, unlike conventional financial institutions, Islamic financial institutions adhere to Islamic principles </w:t>
      </w:r>
      <w:r w:rsidR="009D079C" w:rsidRPr="00B92144">
        <w:rPr>
          <w:rFonts w:asciiTheme="majorBidi" w:hAnsiTheme="majorBidi" w:cstheme="majorBidi"/>
          <w:sz w:val="24"/>
          <w:szCs w:val="24"/>
        </w:rPr>
        <w:t>and sharia standards (e.g. AAOIFI</w:t>
      </w:r>
      <w:r w:rsidR="00DC3BA0" w:rsidRPr="00B92144">
        <w:rPr>
          <w:rFonts w:asciiTheme="majorBidi" w:hAnsiTheme="majorBidi" w:cstheme="majorBidi"/>
          <w:sz w:val="24"/>
          <w:szCs w:val="24"/>
        </w:rPr>
        <w:t xml:space="preserve"> governance guidelines</w:t>
      </w:r>
      <w:r w:rsidR="00762665" w:rsidRPr="00B92144">
        <w:rPr>
          <w:rFonts w:asciiTheme="majorBidi" w:hAnsiTheme="majorBidi" w:cstheme="majorBidi"/>
          <w:sz w:val="24"/>
          <w:szCs w:val="24"/>
        </w:rPr>
        <w:t>, ISFB standards</w:t>
      </w:r>
      <w:r w:rsidR="009D079C"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while </w:t>
      </w:r>
      <w:r w:rsidR="00DC3BA0" w:rsidRPr="00B92144">
        <w:rPr>
          <w:rFonts w:asciiTheme="majorBidi" w:hAnsiTheme="majorBidi" w:cstheme="majorBidi"/>
          <w:sz w:val="24"/>
          <w:szCs w:val="24"/>
        </w:rPr>
        <w:t>endeavor</w:t>
      </w:r>
      <w:r w:rsidRPr="00B92144">
        <w:rPr>
          <w:rFonts w:asciiTheme="majorBidi" w:hAnsiTheme="majorBidi" w:cstheme="majorBidi"/>
          <w:sz w:val="24"/>
          <w:szCs w:val="24"/>
        </w:rPr>
        <w:t xml:space="preserve">ing to </w:t>
      </w:r>
      <w:r w:rsidR="00DC3BA0" w:rsidRPr="00B92144">
        <w:rPr>
          <w:rFonts w:asciiTheme="majorBidi" w:hAnsiTheme="majorBidi" w:cstheme="majorBidi"/>
          <w:sz w:val="24"/>
          <w:szCs w:val="24"/>
        </w:rPr>
        <w:t>comply with</w:t>
      </w:r>
      <w:r w:rsidRPr="00B92144">
        <w:rPr>
          <w:rFonts w:asciiTheme="majorBidi" w:hAnsiTheme="majorBidi" w:cstheme="majorBidi"/>
          <w:sz w:val="24"/>
          <w:szCs w:val="24"/>
        </w:rPr>
        <w:t xml:space="preserve"> </w:t>
      </w:r>
      <w:r w:rsidR="00DC3BA0" w:rsidRPr="00B92144">
        <w:rPr>
          <w:rFonts w:asciiTheme="majorBidi" w:hAnsiTheme="majorBidi" w:cstheme="majorBidi"/>
          <w:sz w:val="24"/>
          <w:szCs w:val="24"/>
        </w:rPr>
        <w:t>newly adopted</w:t>
      </w:r>
      <w:r w:rsidRPr="00B92144">
        <w:rPr>
          <w:rFonts w:asciiTheme="majorBidi" w:hAnsiTheme="majorBidi" w:cstheme="majorBidi"/>
          <w:sz w:val="24"/>
          <w:szCs w:val="24"/>
        </w:rPr>
        <w:t xml:space="preserve"> international standards of risk reporting (</w:t>
      </w:r>
      <w:r w:rsidR="00DC3BA0" w:rsidRPr="00B92144">
        <w:rPr>
          <w:rFonts w:asciiTheme="majorBidi" w:hAnsiTheme="majorBidi" w:cstheme="majorBidi"/>
          <w:color w:val="244061" w:themeColor="accent1" w:themeShade="80"/>
          <w:sz w:val="24"/>
          <w:szCs w:val="24"/>
        </w:rPr>
        <w:t xml:space="preserve">Abdallah et al, 2015; </w:t>
      </w:r>
      <w:r w:rsidRPr="00B92144">
        <w:rPr>
          <w:rFonts w:asciiTheme="majorBidi" w:hAnsiTheme="majorBidi" w:cstheme="majorBidi"/>
          <w:color w:val="244061" w:themeColor="accent1" w:themeShade="80"/>
          <w:sz w:val="24"/>
          <w:szCs w:val="24"/>
        </w:rPr>
        <w:t>Olson and Zoubi, 2008</w:t>
      </w:r>
      <w:r w:rsidRPr="00B92144">
        <w:rPr>
          <w:rFonts w:asciiTheme="majorBidi" w:hAnsiTheme="majorBidi" w:cstheme="majorBidi"/>
          <w:sz w:val="24"/>
          <w:szCs w:val="24"/>
        </w:rPr>
        <w:t xml:space="preserve">). The study is also novel in that it investigates risk disclosure practices as a function of multi-dimensional </w:t>
      </w:r>
      <w:r w:rsidR="009B787C" w:rsidRPr="00B92144">
        <w:rPr>
          <w:rFonts w:asciiTheme="majorBidi" w:hAnsiTheme="majorBidi" w:cstheme="majorBidi"/>
          <w:sz w:val="24"/>
          <w:szCs w:val="24"/>
        </w:rPr>
        <w:t xml:space="preserve">banks’ </w:t>
      </w:r>
      <w:r w:rsidRPr="00B92144">
        <w:rPr>
          <w:rFonts w:asciiTheme="majorBidi" w:hAnsiTheme="majorBidi" w:cstheme="majorBidi"/>
          <w:sz w:val="24"/>
          <w:szCs w:val="24"/>
        </w:rPr>
        <w:t>attributes that are deemed to be critical to the changing business environment and to newly implemented governance and risk related regulations in emerging markets.</w:t>
      </w:r>
    </w:p>
    <w:p w14:paraId="696D98EC" w14:textId="6317DCBA" w:rsidR="00DA0D24" w:rsidRPr="00B92144" w:rsidRDefault="00DA0D24" w:rsidP="00F57FF7">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Several important findings emerge from this study.</w:t>
      </w:r>
      <w:r w:rsidR="009B787C" w:rsidRPr="00B92144">
        <w:rPr>
          <w:rFonts w:asciiTheme="majorBidi" w:hAnsiTheme="majorBidi" w:cstheme="majorBidi"/>
          <w:sz w:val="24"/>
          <w:szCs w:val="24"/>
        </w:rPr>
        <w:t xml:space="preserve"> First</w:t>
      </w:r>
      <w:r w:rsidR="00D11FF5" w:rsidRPr="00B92144">
        <w:rPr>
          <w:rFonts w:asciiTheme="majorBidi" w:hAnsiTheme="majorBidi" w:cstheme="majorBidi"/>
          <w:sz w:val="24"/>
          <w:szCs w:val="24"/>
        </w:rPr>
        <w:t>,</w:t>
      </w:r>
      <w:r w:rsidR="009B787C" w:rsidRPr="00B92144">
        <w:rPr>
          <w:rFonts w:asciiTheme="majorBidi" w:hAnsiTheme="majorBidi" w:cstheme="majorBidi"/>
          <w:sz w:val="24"/>
          <w:szCs w:val="24"/>
        </w:rPr>
        <w:t xml:space="preserve"> results reveal that Islamic banks are more secretive </w:t>
      </w:r>
      <w:r w:rsidR="00403A4C" w:rsidRPr="00B92144">
        <w:rPr>
          <w:rFonts w:asciiTheme="majorBidi" w:hAnsiTheme="majorBidi" w:cstheme="majorBidi"/>
          <w:sz w:val="24"/>
          <w:szCs w:val="24"/>
        </w:rPr>
        <w:t xml:space="preserve">regarding </w:t>
      </w:r>
      <w:r w:rsidR="00D11FF5" w:rsidRPr="00B92144">
        <w:rPr>
          <w:rFonts w:asciiTheme="majorBidi" w:hAnsiTheme="majorBidi" w:cstheme="majorBidi"/>
          <w:sz w:val="24"/>
          <w:szCs w:val="24"/>
        </w:rPr>
        <w:t xml:space="preserve">their exposure to material risk than their conventional peers. </w:t>
      </w:r>
      <w:r w:rsidR="00525E42" w:rsidRPr="00B92144">
        <w:rPr>
          <w:rFonts w:asciiTheme="majorBidi" w:hAnsiTheme="majorBidi" w:cstheme="majorBidi"/>
          <w:sz w:val="24"/>
          <w:szCs w:val="24"/>
        </w:rPr>
        <w:t>In as much,</w:t>
      </w:r>
      <w:r w:rsidR="00403A4C" w:rsidRPr="00B92144">
        <w:rPr>
          <w:rFonts w:asciiTheme="majorBidi" w:hAnsiTheme="majorBidi" w:cstheme="majorBidi"/>
          <w:sz w:val="24"/>
          <w:szCs w:val="24"/>
        </w:rPr>
        <w:t xml:space="preserve"> our findings identify which </w:t>
      </w:r>
      <w:r w:rsidR="00A27684" w:rsidRPr="00B92144">
        <w:rPr>
          <w:rFonts w:asciiTheme="majorBidi" w:hAnsiTheme="majorBidi" w:cstheme="majorBidi"/>
          <w:sz w:val="24"/>
          <w:szCs w:val="24"/>
        </w:rPr>
        <w:t xml:space="preserve">factors </w:t>
      </w:r>
      <w:r w:rsidR="00403A4C" w:rsidRPr="00B92144">
        <w:rPr>
          <w:rFonts w:asciiTheme="majorBidi" w:hAnsiTheme="majorBidi" w:cstheme="majorBidi"/>
          <w:sz w:val="24"/>
          <w:szCs w:val="24"/>
        </w:rPr>
        <w:t xml:space="preserve">among institutional features, ownership structure and board characteristics that yield variation in the risk reporting practices among Islamic and </w:t>
      </w:r>
      <w:r w:rsidR="00F57FF7" w:rsidRPr="00B92144">
        <w:rPr>
          <w:rFonts w:asciiTheme="majorBidi" w:hAnsiTheme="majorBidi" w:cstheme="majorBidi"/>
          <w:sz w:val="24"/>
          <w:szCs w:val="24"/>
        </w:rPr>
        <w:t>conventional</w:t>
      </w:r>
      <w:r w:rsidR="00403A4C" w:rsidRPr="00B92144">
        <w:rPr>
          <w:rFonts w:asciiTheme="majorBidi" w:hAnsiTheme="majorBidi" w:cstheme="majorBidi"/>
          <w:sz w:val="24"/>
          <w:szCs w:val="24"/>
        </w:rPr>
        <w:t xml:space="preserve"> banks. </w:t>
      </w:r>
    </w:p>
    <w:p w14:paraId="2C908FF2" w14:textId="77777777" w:rsidR="00DA0D24" w:rsidRPr="00B92144" w:rsidRDefault="00DA0D24" w:rsidP="00DA0D24">
      <w:pPr>
        <w:autoSpaceDE w:val="0"/>
        <w:autoSpaceDN w:val="0"/>
        <w:adjustRightInd w:val="0"/>
        <w:spacing w:after="0" w:line="240" w:lineRule="auto"/>
        <w:jc w:val="both"/>
        <w:rPr>
          <w:rFonts w:asciiTheme="majorBidi" w:hAnsiTheme="majorBidi" w:cstheme="majorBidi"/>
          <w:sz w:val="24"/>
          <w:szCs w:val="24"/>
        </w:rPr>
      </w:pPr>
    </w:p>
    <w:p w14:paraId="30DD2F89" w14:textId="23C84821" w:rsidR="00E75331" w:rsidRPr="00B92144" w:rsidRDefault="00DA0D24" w:rsidP="00776FDD">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The reminder of the paper is organized as follows.</w:t>
      </w:r>
      <w:r w:rsidR="00A27684" w:rsidRPr="00B92144">
        <w:rPr>
          <w:rFonts w:asciiTheme="majorBidi" w:hAnsiTheme="majorBidi" w:cstheme="majorBidi"/>
          <w:sz w:val="24"/>
          <w:szCs w:val="24"/>
        </w:rPr>
        <w:t xml:space="preserve"> </w:t>
      </w:r>
      <w:r w:rsidR="00F57FF7" w:rsidRPr="00B92144">
        <w:rPr>
          <w:rFonts w:asciiTheme="majorBidi" w:hAnsiTheme="majorBidi" w:cstheme="majorBidi"/>
          <w:sz w:val="24"/>
          <w:szCs w:val="24"/>
        </w:rPr>
        <w:t>The</w:t>
      </w:r>
      <w:r w:rsidR="00A27684" w:rsidRPr="00B92144">
        <w:rPr>
          <w:rFonts w:asciiTheme="majorBidi" w:hAnsiTheme="majorBidi" w:cstheme="majorBidi"/>
          <w:sz w:val="24"/>
          <w:szCs w:val="24"/>
        </w:rPr>
        <w:t xml:space="preserve"> </w:t>
      </w:r>
      <w:r w:rsidR="00776FDD" w:rsidRPr="00B92144">
        <w:rPr>
          <w:rFonts w:asciiTheme="majorBidi" w:hAnsiTheme="majorBidi" w:cstheme="majorBidi"/>
          <w:sz w:val="24"/>
          <w:szCs w:val="24"/>
        </w:rPr>
        <w:t>first</w:t>
      </w:r>
      <w:r w:rsidR="00A27684" w:rsidRPr="00B92144">
        <w:rPr>
          <w:rFonts w:asciiTheme="majorBidi" w:hAnsiTheme="majorBidi" w:cstheme="majorBidi"/>
          <w:sz w:val="24"/>
          <w:szCs w:val="24"/>
        </w:rPr>
        <w:t xml:space="preserve"> section reviews the relevant prior studies and develops testable hypotheses. </w:t>
      </w:r>
      <w:r w:rsidR="00776FDD" w:rsidRPr="00B92144">
        <w:rPr>
          <w:rFonts w:asciiTheme="majorBidi" w:hAnsiTheme="majorBidi" w:cstheme="majorBidi"/>
          <w:sz w:val="24"/>
          <w:szCs w:val="24"/>
        </w:rPr>
        <w:t>The</w:t>
      </w:r>
      <w:r w:rsidR="00A27684" w:rsidRPr="00B92144">
        <w:rPr>
          <w:rFonts w:asciiTheme="majorBidi" w:hAnsiTheme="majorBidi" w:cstheme="majorBidi"/>
          <w:sz w:val="24"/>
          <w:szCs w:val="24"/>
        </w:rPr>
        <w:t xml:space="preserve"> next section describes sample selection, data sources and variables’ definition. </w:t>
      </w:r>
      <w:r w:rsidR="00A273B5" w:rsidRPr="00B92144">
        <w:rPr>
          <w:rFonts w:asciiTheme="majorBidi" w:hAnsiTheme="majorBidi" w:cstheme="majorBidi"/>
          <w:sz w:val="24"/>
          <w:szCs w:val="24"/>
        </w:rPr>
        <w:t>T</w:t>
      </w:r>
      <w:r w:rsidR="00A27684" w:rsidRPr="00B92144">
        <w:rPr>
          <w:rFonts w:asciiTheme="majorBidi" w:hAnsiTheme="majorBidi" w:cstheme="majorBidi"/>
          <w:sz w:val="24"/>
          <w:szCs w:val="24"/>
        </w:rPr>
        <w:t xml:space="preserve">he </w:t>
      </w:r>
      <w:r w:rsidR="00776FDD" w:rsidRPr="00B92144">
        <w:rPr>
          <w:rFonts w:asciiTheme="majorBidi" w:hAnsiTheme="majorBidi" w:cstheme="majorBidi"/>
          <w:sz w:val="24"/>
          <w:szCs w:val="24"/>
        </w:rPr>
        <w:t xml:space="preserve">third </w:t>
      </w:r>
      <w:r w:rsidR="00A27684" w:rsidRPr="00B92144">
        <w:rPr>
          <w:rFonts w:asciiTheme="majorBidi" w:hAnsiTheme="majorBidi" w:cstheme="majorBidi"/>
          <w:sz w:val="24"/>
          <w:szCs w:val="24"/>
        </w:rPr>
        <w:t xml:space="preserve">section </w:t>
      </w:r>
      <w:r w:rsidR="00A7568D" w:rsidRPr="00B92144">
        <w:rPr>
          <w:rFonts w:asciiTheme="majorBidi" w:hAnsiTheme="majorBidi" w:cstheme="majorBidi"/>
          <w:sz w:val="24"/>
          <w:szCs w:val="24"/>
        </w:rPr>
        <w:t xml:space="preserve">highlights the </w:t>
      </w:r>
      <w:r w:rsidR="00A27684" w:rsidRPr="00B92144">
        <w:rPr>
          <w:rFonts w:asciiTheme="majorBidi" w:hAnsiTheme="majorBidi" w:cstheme="majorBidi"/>
          <w:sz w:val="24"/>
          <w:szCs w:val="24"/>
        </w:rPr>
        <w:t>research method</w:t>
      </w:r>
      <w:r w:rsidR="00A7568D" w:rsidRPr="00B92144">
        <w:rPr>
          <w:rFonts w:asciiTheme="majorBidi" w:hAnsiTheme="majorBidi" w:cstheme="majorBidi"/>
          <w:sz w:val="24"/>
          <w:szCs w:val="24"/>
        </w:rPr>
        <w:t>o</w:t>
      </w:r>
      <w:r w:rsidR="00A27684" w:rsidRPr="00B92144">
        <w:rPr>
          <w:rFonts w:asciiTheme="majorBidi" w:hAnsiTheme="majorBidi" w:cstheme="majorBidi"/>
          <w:sz w:val="24"/>
          <w:szCs w:val="24"/>
        </w:rPr>
        <w:t xml:space="preserve">logy. The </w:t>
      </w:r>
      <w:r w:rsidR="00776FDD" w:rsidRPr="00B92144">
        <w:rPr>
          <w:rFonts w:asciiTheme="majorBidi" w:hAnsiTheme="majorBidi" w:cstheme="majorBidi"/>
          <w:sz w:val="24"/>
          <w:szCs w:val="24"/>
        </w:rPr>
        <w:t>fourth</w:t>
      </w:r>
      <w:r w:rsidR="00A27684" w:rsidRPr="00B92144">
        <w:rPr>
          <w:rFonts w:asciiTheme="majorBidi" w:hAnsiTheme="majorBidi" w:cstheme="majorBidi"/>
          <w:sz w:val="24"/>
          <w:szCs w:val="24"/>
        </w:rPr>
        <w:t xml:space="preserve"> section discusses the results</w:t>
      </w:r>
      <w:r w:rsidR="00A273B5" w:rsidRPr="00B92144">
        <w:rPr>
          <w:rFonts w:asciiTheme="majorBidi" w:hAnsiTheme="majorBidi" w:cstheme="majorBidi"/>
          <w:sz w:val="24"/>
          <w:szCs w:val="24"/>
        </w:rPr>
        <w:t xml:space="preserve">. The </w:t>
      </w:r>
      <w:r w:rsidR="00776FDD" w:rsidRPr="00B92144">
        <w:rPr>
          <w:rFonts w:asciiTheme="majorBidi" w:hAnsiTheme="majorBidi" w:cstheme="majorBidi"/>
          <w:sz w:val="24"/>
          <w:szCs w:val="24"/>
        </w:rPr>
        <w:t>fifth</w:t>
      </w:r>
      <w:r w:rsidR="00A273B5" w:rsidRPr="00B92144">
        <w:rPr>
          <w:rFonts w:asciiTheme="majorBidi" w:hAnsiTheme="majorBidi" w:cstheme="majorBidi"/>
          <w:sz w:val="24"/>
          <w:szCs w:val="24"/>
        </w:rPr>
        <w:t xml:space="preserve"> section provides additional tests </w:t>
      </w:r>
      <w:r w:rsidR="00A27684" w:rsidRPr="00B92144">
        <w:rPr>
          <w:rFonts w:asciiTheme="majorBidi" w:hAnsiTheme="majorBidi" w:cstheme="majorBidi"/>
          <w:sz w:val="24"/>
          <w:szCs w:val="24"/>
        </w:rPr>
        <w:t>and the final section concludes the paper.</w:t>
      </w:r>
    </w:p>
    <w:p w14:paraId="2A1B5F0F" w14:textId="77777777" w:rsidR="00DA0D24" w:rsidRPr="00B92144" w:rsidRDefault="00DA0D24" w:rsidP="00DA0D24">
      <w:pPr>
        <w:autoSpaceDE w:val="0"/>
        <w:autoSpaceDN w:val="0"/>
        <w:adjustRightInd w:val="0"/>
        <w:spacing w:after="0" w:line="240" w:lineRule="auto"/>
        <w:jc w:val="both"/>
        <w:rPr>
          <w:rFonts w:asciiTheme="majorBidi" w:hAnsiTheme="majorBidi" w:cstheme="majorBidi"/>
          <w:sz w:val="24"/>
          <w:szCs w:val="24"/>
        </w:rPr>
      </w:pPr>
    </w:p>
    <w:p w14:paraId="55B68BDA" w14:textId="61E408ED" w:rsidR="009504D7" w:rsidRPr="00B92144" w:rsidRDefault="008C23B6" w:rsidP="00A7568D">
      <w:pPr>
        <w:pStyle w:val="ListParagraph"/>
        <w:numPr>
          <w:ilvl w:val="0"/>
          <w:numId w:val="8"/>
        </w:numPr>
        <w:spacing w:line="360" w:lineRule="auto"/>
        <w:jc w:val="both"/>
        <w:rPr>
          <w:rFonts w:asciiTheme="majorBidi" w:hAnsiTheme="majorBidi" w:cstheme="majorBidi"/>
          <w:b/>
          <w:bCs/>
          <w:sz w:val="24"/>
          <w:szCs w:val="24"/>
        </w:rPr>
      </w:pPr>
      <w:r w:rsidRPr="00B92144">
        <w:rPr>
          <w:rFonts w:asciiTheme="majorBidi" w:hAnsiTheme="majorBidi" w:cstheme="majorBidi"/>
          <w:b/>
          <w:bCs/>
          <w:sz w:val="24"/>
          <w:szCs w:val="24"/>
        </w:rPr>
        <w:t>Literature review and hypotheses development</w:t>
      </w:r>
    </w:p>
    <w:p w14:paraId="7004CE17" w14:textId="7F929296" w:rsidR="008E6AD3" w:rsidRPr="00B92144" w:rsidRDefault="001718B7" w:rsidP="00E75331">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T</w:t>
      </w:r>
      <w:r w:rsidR="002A7002" w:rsidRPr="00B92144">
        <w:rPr>
          <w:rFonts w:asciiTheme="majorBidi" w:hAnsiTheme="majorBidi" w:cstheme="majorBidi"/>
          <w:sz w:val="24"/>
          <w:szCs w:val="24"/>
        </w:rPr>
        <w:t xml:space="preserve">wo theoretical </w:t>
      </w:r>
      <w:r w:rsidR="00A37765" w:rsidRPr="00B92144">
        <w:rPr>
          <w:rFonts w:asciiTheme="majorBidi" w:hAnsiTheme="majorBidi" w:cstheme="majorBidi"/>
          <w:sz w:val="24"/>
          <w:szCs w:val="24"/>
        </w:rPr>
        <w:t>approaches</w:t>
      </w:r>
      <w:r w:rsidR="002A7002" w:rsidRPr="00B92144">
        <w:rPr>
          <w:rFonts w:asciiTheme="majorBidi" w:hAnsiTheme="majorBidi" w:cstheme="majorBidi"/>
          <w:sz w:val="24"/>
          <w:szCs w:val="24"/>
        </w:rPr>
        <w:t xml:space="preserve"> </w:t>
      </w:r>
      <w:r w:rsidR="009504D7" w:rsidRPr="00B92144">
        <w:rPr>
          <w:rFonts w:asciiTheme="majorBidi" w:hAnsiTheme="majorBidi" w:cstheme="majorBidi"/>
          <w:sz w:val="24"/>
          <w:szCs w:val="24"/>
        </w:rPr>
        <w:t>have been proposed to justify r</w:t>
      </w:r>
      <w:r w:rsidR="00D92196" w:rsidRPr="00B92144">
        <w:rPr>
          <w:rFonts w:asciiTheme="majorBidi" w:hAnsiTheme="majorBidi" w:cstheme="majorBidi"/>
          <w:sz w:val="24"/>
          <w:szCs w:val="24"/>
        </w:rPr>
        <w:t>isk disclosure practices by non-finance and finance companies. A</w:t>
      </w:r>
      <w:r w:rsidR="002433F0" w:rsidRPr="00B92144">
        <w:rPr>
          <w:rFonts w:asciiTheme="majorBidi" w:hAnsiTheme="majorBidi" w:cstheme="majorBidi"/>
          <w:sz w:val="24"/>
          <w:szCs w:val="24"/>
        </w:rPr>
        <w:t xml:space="preserve">n economic theory approach; and a social and political theory approach. </w:t>
      </w:r>
      <w:r w:rsidR="009F2D66" w:rsidRPr="00B92144">
        <w:rPr>
          <w:rFonts w:asciiTheme="majorBidi" w:hAnsiTheme="majorBidi" w:cstheme="majorBidi"/>
          <w:sz w:val="24"/>
          <w:szCs w:val="24"/>
        </w:rPr>
        <w:t xml:space="preserve">While the former </w:t>
      </w:r>
      <w:r w:rsidR="00240B12" w:rsidRPr="00B92144">
        <w:rPr>
          <w:rFonts w:asciiTheme="majorBidi" w:hAnsiTheme="majorBidi" w:cstheme="majorBidi"/>
          <w:sz w:val="24"/>
          <w:szCs w:val="24"/>
        </w:rPr>
        <w:t xml:space="preserve">relies on </w:t>
      </w:r>
      <w:r w:rsidR="00240B12" w:rsidRPr="00B92144">
        <w:rPr>
          <w:rFonts w:asciiTheme="majorBidi" w:hAnsiTheme="majorBidi" w:cstheme="majorBidi"/>
          <w:color w:val="000000"/>
          <w:sz w:val="24"/>
          <w:szCs w:val="24"/>
        </w:rPr>
        <w:t xml:space="preserve">self-interest and profit maximization of </w:t>
      </w:r>
      <w:r w:rsidR="004C4C87" w:rsidRPr="00B92144">
        <w:rPr>
          <w:rFonts w:asciiTheme="majorBidi" w:hAnsiTheme="majorBidi" w:cstheme="majorBidi"/>
          <w:color w:val="000000"/>
          <w:sz w:val="24"/>
          <w:szCs w:val="24"/>
        </w:rPr>
        <w:t>corporate management</w:t>
      </w:r>
      <w:r w:rsidR="00240B12" w:rsidRPr="00B92144">
        <w:rPr>
          <w:rFonts w:asciiTheme="majorBidi" w:hAnsiTheme="majorBidi" w:cstheme="majorBidi"/>
          <w:color w:val="000000"/>
          <w:sz w:val="24"/>
          <w:szCs w:val="24"/>
        </w:rPr>
        <w:t xml:space="preserve"> (e.g. agency theory, political costs theory, signaling theory, and proprietary costs theory), the latter focuses on the political and social relationships linking </w:t>
      </w:r>
      <w:r w:rsidR="004C4C87" w:rsidRPr="00B92144">
        <w:rPr>
          <w:rFonts w:asciiTheme="majorBidi" w:hAnsiTheme="majorBidi" w:cstheme="majorBidi"/>
          <w:color w:val="000000"/>
          <w:sz w:val="24"/>
          <w:szCs w:val="24"/>
        </w:rPr>
        <w:t xml:space="preserve">companies </w:t>
      </w:r>
      <w:r w:rsidR="00240B12" w:rsidRPr="00B92144">
        <w:rPr>
          <w:rFonts w:asciiTheme="majorBidi" w:hAnsiTheme="majorBidi" w:cstheme="majorBidi"/>
          <w:color w:val="000000"/>
          <w:sz w:val="24"/>
          <w:szCs w:val="24"/>
        </w:rPr>
        <w:t xml:space="preserve">to stakeholders in the society </w:t>
      </w:r>
      <w:r w:rsidR="00240B12" w:rsidRPr="00B92144">
        <w:rPr>
          <w:rFonts w:asciiTheme="majorBidi" w:hAnsiTheme="majorBidi" w:cstheme="majorBidi"/>
          <w:color w:val="000000"/>
          <w:sz w:val="24"/>
          <w:szCs w:val="24"/>
        </w:rPr>
        <w:lastRenderedPageBreak/>
        <w:t xml:space="preserve">(e.g. </w:t>
      </w:r>
      <w:r w:rsidR="00240B12" w:rsidRPr="00B92144">
        <w:rPr>
          <w:rFonts w:asciiTheme="majorBidi" w:hAnsiTheme="majorBidi" w:cstheme="majorBidi"/>
          <w:sz w:val="24"/>
          <w:szCs w:val="24"/>
        </w:rPr>
        <w:t>resources-based perspectives and legitimacy theory)</w:t>
      </w:r>
      <w:r w:rsidR="004D7FE1" w:rsidRPr="00B92144">
        <w:rPr>
          <w:rFonts w:asciiTheme="majorBidi" w:hAnsiTheme="majorBidi" w:cstheme="majorBidi"/>
          <w:sz w:val="24"/>
          <w:szCs w:val="24"/>
        </w:rPr>
        <w:t xml:space="preserve">.  </w:t>
      </w:r>
      <w:r w:rsidR="003F58F5" w:rsidRPr="00B92144">
        <w:rPr>
          <w:rFonts w:asciiTheme="majorBidi" w:hAnsiTheme="majorBidi" w:cstheme="majorBidi"/>
          <w:color w:val="244061" w:themeColor="accent1" w:themeShade="80"/>
          <w:sz w:val="24"/>
          <w:szCs w:val="24"/>
        </w:rPr>
        <w:t>O</w:t>
      </w:r>
      <w:r w:rsidR="00D92196" w:rsidRPr="00B92144">
        <w:rPr>
          <w:rFonts w:asciiTheme="majorBidi" w:hAnsiTheme="majorBidi" w:cstheme="majorBidi"/>
          <w:color w:val="244061" w:themeColor="accent1" w:themeShade="80"/>
          <w:sz w:val="24"/>
          <w:szCs w:val="24"/>
        </w:rPr>
        <w:t>liveira et al (2013)</w:t>
      </w:r>
      <w:r w:rsidR="00D92196" w:rsidRPr="00B92144">
        <w:rPr>
          <w:rFonts w:asciiTheme="majorBidi" w:hAnsiTheme="majorBidi" w:cstheme="majorBidi"/>
          <w:sz w:val="24"/>
          <w:szCs w:val="24"/>
        </w:rPr>
        <w:t xml:space="preserve"> suggest that </w:t>
      </w:r>
      <w:r w:rsidR="003E1B56" w:rsidRPr="00B92144">
        <w:rPr>
          <w:rFonts w:asciiTheme="majorBidi" w:hAnsiTheme="majorBidi" w:cstheme="majorBidi"/>
          <w:sz w:val="24"/>
          <w:szCs w:val="24"/>
        </w:rPr>
        <w:t xml:space="preserve">the use of multi-theoretical </w:t>
      </w:r>
      <w:r w:rsidR="004C4C87" w:rsidRPr="00B92144">
        <w:rPr>
          <w:rFonts w:asciiTheme="majorBidi" w:hAnsiTheme="majorBidi" w:cstheme="majorBidi"/>
          <w:sz w:val="24"/>
          <w:szCs w:val="24"/>
        </w:rPr>
        <w:t>approache</w:t>
      </w:r>
      <w:r w:rsidR="00C851E4" w:rsidRPr="00B92144">
        <w:rPr>
          <w:rFonts w:asciiTheme="majorBidi" w:hAnsiTheme="majorBidi" w:cstheme="majorBidi"/>
          <w:sz w:val="24"/>
          <w:szCs w:val="24"/>
        </w:rPr>
        <w:t>s</w:t>
      </w:r>
      <w:r w:rsidR="003E1B56" w:rsidRPr="00B92144">
        <w:rPr>
          <w:rFonts w:asciiTheme="majorBidi" w:hAnsiTheme="majorBidi" w:cstheme="majorBidi"/>
          <w:sz w:val="24"/>
          <w:szCs w:val="24"/>
        </w:rPr>
        <w:t xml:space="preserve"> seems likely to be fertile and to</w:t>
      </w:r>
      <w:r w:rsidR="00981ADD" w:rsidRPr="00B92144">
        <w:rPr>
          <w:rFonts w:asciiTheme="majorBidi" w:hAnsiTheme="majorBidi" w:cstheme="majorBidi"/>
          <w:sz w:val="24"/>
          <w:szCs w:val="24"/>
        </w:rPr>
        <w:t xml:space="preserve"> </w:t>
      </w:r>
      <w:r w:rsidR="003E1B56" w:rsidRPr="00B92144">
        <w:rPr>
          <w:rFonts w:asciiTheme="majorBidi" w:hAnsiTheme="majorBidi" w:cstheme="majorBidi"/>
          <w:sz w:val="24"/>
          <w:szCs w:val="24"/>
        </w:rPr>
        <w:t xml:space="preserve">produce insights beyond those revealed in </w:t>
      </w:r>
      <w:r w:rsidR="00C851E4" w:rsidRPr="00B92144">
        <w:rPr>
          <w:rFonts w:asciiTheme="majorBidi" w:hAnsiTheme="majorBidi" w:cstheme="majorBidi"/>
          <w:sz w:val="24"/>
          <w:szCs w:val="24"/>
        </w:rPr>
        <w:t xml:space="preserve">the </w:t>
      </w:r>
      <w:r w:rsidR="004C4C87" w:rsidRPr="00B92144">
        <w:rPr>
          <w:rFonts w:asciiTheme="majorBidi" w:hAnsiTheme="majorBidi" w:cstheme="majorBidi"/>
          <w:sz w:val="24"/>
          <w:szCs w:val="24"/>
        </w:rPr>
        <w:t xml:space="preserve">recent </w:t>
      </w:r>
      <w:r w:rsidR="00C851E4" w:rsidRPr="00B92144">
        <w:rPr>
          <w:rFonts w:asciiTheme="majorBidi" w:hAnsiTheme="majorBidi" w:cstheme="majorBidi"/>
          <w:sz w:val="24"/>
          <w:szCs w:val="24"/>
        </w:rPr>
        <w:t xml:space="preserve">risk disclosure </w:t>
      </w:r>
      <w:r w:rsidR="003E1B56" w:rsidRPr="00B92144">
        <w:rPr>
          <w:rFonts w:asciiTheme="majorBidi" w:hAnsiTheme="majorBidi" w:cstheme="majorBidi"/>
          <w:sz w:val="24"/>
          <w:szCs w:val="24"/>
        </w:rPr>
        <w:t>literature</w:t>
      </w:r>
      <w:r w:rsidR="004C4C87" w:rsidRPr="00B92144">
        <w:rPr>
          <w:rFonts w:asciiTheme="majorBidi" w:hAnsiTheme="majorBidi" w:cstheme="majorBidi"/>
          <w:sz w:val="24"/>
          <w:szCs w:val="24"/>
        </w:rPr>
        <w:t>.</w:t>
      </w:r>
      <w:r w:rsidR="003E1B56" w:rsidRPr="00B92144">
        <w:rPr>
          <w:rFonts w:asciiTheme="majorBidi" w:hAnsiTheme="majorBidi" w:cstheme="majorBidi"/>
          <w:sz w:val="24"/>
          <w:szCs w:val="24"/>
        </w:rPr>
        <w:t xml:space="preserve"> </w:t>
      </w:r>
      <w:r w:rsidR="00AB0C67" w:rsidRPr="00B92144">
        <w:rPr>
          <w:rFonts w:asciiTheme="majorBidi" w:hAnsiTheme="majorBidi" w:cstheme="majorBidi"/>
          <w:sz w:val="24"/>
          <w:szCs w:val="24"/>
        </w:rPr>
        <w:t xml:space="preserve"> </w:t>
      </w:r>
      <w:r w:rsidR="004C4C87" w:rsidRPr="00B92144">
        <w:rPr>
          <w:rFonts w:asciiTheme="majorBidi" w:hAnsiTheme="majorBidi" w:cstheme="majorBidi"/>
          <w:sz w:val="24"/>
          <w:szCs w:val="24"/>
        </w:rPr>
        <w:t>S</w:t>
      </w:r>
      <w:r w:rsidR="003E1B56" w:rsidRPr="00B92144">
        <w:rPr>
          <w:rFonts w:asciiTheme="majorBidi" w:hAnsiTheme="majorBidi" w:cstheme="majorBidi"/>
          <w:sz w:val="24"/>
          <w:szCs w:val="24"/>
        </w:rPr>
        <w:t>o far</w:t>
      </w:r>
      <w:r w:rsidR="007E2020" w:rsidRPr="00B92144">
        <w:rPr>
          <w:rFonts w:asciiTheme="majorBidi" w:hAnsiTheme="majorBidi" w:cstheme="majorBidi"/>
          <w:sz w:val="24"/>
          <w:szCs w:val="24"/>
        </w:rPr>
        <w:t xml:space="preserve">, </w:t>
      </w:r>
      <w:r w:rsidR="00833556" w:rsidRPr="00B92144">
        <w:rPr>
          <w:rFonts w:asciiTheme="majorBidi" w:hAnsiTheme="majorBidi" w:cstheme="majorBidi"/>
          <w:sz w:val="24"/>
          <w:szCs w:val="24"/>
        </w:rPr>
        <w:t>our cross-countries study</w:t>
      </w:r>
      <w:r w:rsidR="00A37765" w:rsidRPr="00B92144">
        <w:rPr>
          <w:rFonts w:asciiTheme="majorBidi" w:hAnsiTheme="majorBidi" w:cstheme="majorBidi"/>
          <w:sz w:val="24"/>
          <w:szCs w:val="24"/>
        </w:rPr>
        <w:t xml:space="preserve"> </w:t>
      </w:r>
      <w:r w:rsidR="00833556" w:rsidRPr="00B92144">
        <w:rPr>
          <w:rFonts w:asciiTheme="majorBidi" w:hAnsiTheme="majorBidi" w:cstheme="majorBidi"/>
          <w:sz w:val="24"/>
          <w:szCs w:val="24"/>
        </w:rPr>
        <w:t xml:space="preserve">is grounded </w:t>
      </w:r>
      <w:r w:rsidR="00A37765" w:rsidRPr="00B92144">
        <w:rPr>
          <w:rFonts w:asciiTheme="majorBidi" w:hAnsiTheme="majorBidi" w:cstheme="majorBidi"/>
          <w:sz w:val="24"/>
          <w:szCs w:val="24"/>
        </w:rPr>
        <w:t xml:space="preserve">on agency theory, </w:t>
      </w:r>
      <w:r w:rsidR="000B1EAC" w:rsidRPr="00B92144">
        <w:rPr>
          <w:rFonts w:asciiTheme="majorBidi" w:hAnsiTheme="majorBidi" w:cstheme="majorBidi"/>
          <w:sz w:val="24"/>
          <w:szCs w:val="24"/>
        </w:rPr>
        <w:t xml:space="preserve">political costs theory, </w:t>
      </w:r>
      <w:r w:rsidR="00A37765" w:rsidRPr="00B92144">
        <w:rPr>
          <w:rFonts w:asciiTheme="majorBidi" w:hAnsiTheme="majorBidi" w:cstheme="majorBidi"/>
          <w:sz w:val="24"/>
          <w:szCs w:val="24"/>
        </w:rPr>
        <w:t>resources-based perspectives and legitimacy theory</w:t>
      </w:r>
      <w:r w:rsidR="00B66718" w:rsidRPr="00B92144">
        <w:rPr>
          <w:rFonts w:asciiTheme="majorBidi" w:hAnsiTheme="majorBidi" w:cstheme="majorBidi"/>
          <w:sz w:val="24"/>
          <w:szCs w:val="24"/>
        </w:rPr>
        <w:t xml:space="preserve"> to explore the determinants of risk reporting in the banking sector</w:t>
      </w:r>
      <w:r w:rsidR="00C851E4" w:rsidRPr="00B92144">
        <w:rPr>
          <w:rFonts w:asciiTheme="majorBidi" w:hAnsiTheme="majorBidi" w:cstheme="majorBidi"/>
          <w:sz w:val="24"/>
          <w:szCs w:val="24"/>
        </w:rPr>
        <w:t>.</w:t>
      </w:r>
      <w:r w:rsidR="00AA5416" w:rsidRPr="00B92144">
        <w:rPr>
          <w:rFonts w:asciiTheme="majorBidi" w:hAnsiTheme="majorBidi" w:cstheme="majorBidi"/>
          <w:sz w:val="24"/>
          <w:szCs w:val="24"/>
        </w:rPr>
        <w:t xml:space="preserve"> </w:t>
      </w:r>
      <w:r w:rsidR="0033023F" w:rsidRPr="00B92144">
        <w:rPr>
          <w:rFonts w:asciiTheme="majorBidi" w:hAnsiTheme="majorBidi" w:cstheme="majorBidi"/>
          <w:sz w:val="24"/>
          <w:szCs w:val="24"/>
        </w:rPr>
        <w:t>In the following paragraphs, we briefly</w:t>
      </w:r>
      <w:r w:rsidR="00AA5416" w:rsidRPr="00B92144">
        <w:rPr>
          <w:rFonts w:asciiTheme="majorBidi" w:hAnsiTheme="majorBidi" w:cstheme="majorBidi"/>
          <w:sz w:val="24"/>
          <w:szCs w:val="24"/>
        </w:rPr>
        <w:t xml:space="preserve"> </w:t>
      </w:r>
      <w:r w:rsidR="0033023F" w:rsidRPr="00B92144">
        <w:rPr>
          <w:rFonts w:asciiTheme="majorBidi" w:hAnsiTheme="majorBidi" w:cstheme="majorBidi"/>
          <w:sz w:val="24"/>
          <w:szCs w:val="24"/>
        </w:rPr>
        <w:t xml:space="preserve">explain the definitions and unique aspects of </w:t>
      </w:r>
      <w:r w:rsidR="00AA5416" w:rsidRPr="00B92144">
        <w:rPr>
          <w:rFonts w:asciiTheme="majorBidi" w:hAnsiTheme="majorBidi" w:cstheme="majorBidi"/>
          <w:sz w:val="24"/>
          <w:szCs w:val="24"/>
        </w:rPr>
        <w:t>these</w:t>
      </w:r>
      <w:r w:rsidR="0033023F" w:rsidRPr="00B92144">
        <w:rPr>
          <w:rFonts w:asciiTheme="majorBidi" w:hAnsiTheme="majorBidi" w:cstheme="majorBidi"/>
          <w:sz w:val="24"/>
          <w:szCs w:val="24"/>
        </w:rPr>
        <w:t xml:space="preserve"> theories and how they may apply to the banking industry.</w:t>
      </w:r>
      <w:r w:rsidR="004D22B6" w:rsidRPr="00B92144">
        <w:rPr>
          <w:rFonts w:asciiTheme="majorBidi" w:hAnsiTheme="majorBidi" w:cstheme="majorBidi"/>
          <w:sz w:val="24"/>
          <w:szCs w:val="24"/>
        </w:rPr>
        <w:t xml:space="preserve"> </w:t>
      </w:r>
    </w:p>
    <w:p w14:paraId="10E5DB20" w14:textId="77777777" w:rsidR="00D238A2" w:rsidRPr="00B92144" w:rsidRDefault="008205D9" w:rsidP="00A7568D">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Agency theory </w:t>
      </w:r>
      <w:r w:rsidR="00C83CED" w:rsidRPr="00B92144">
        <w:rPr>
          <w:rFonts w:asciiTheme="majorBidi" w:hAnsiTheme="majorBidi" w:cstheme="majorBidi"/>
          <w:sz w:val="24"/>
          <w:szCs w:val="24"/>
        </w:rPr>
        <w:t>suggest</w:t>
      </w:r>
      <w:r w:rsidR="00174CD1" w:rsidRPr="00B92144">
        <w:rPr>
          <w:rFonts w:asciiTheme="majorBidi" w:hAnsiTheme="majorBidi" w:cstheme="majorBidi"/>
          <w:sz w:val="24"/>
          <w:szCs w:val="24"/>
        </w:rPr>
        <w:t xml:space="preserve">s that the information asymmetry between the agent (shareholders) and the principal (managers) can be </w:t>
      </w:r>
      <w:r w:rsidR="00410323" w:rsidRPr="00B92144">
        <w:rPr>
          <w:rFonts w:asciiTheme="majorBidi" w:hAnsiTheme="majorBidi" w:cstheme="majorBidi"/>
          <w:sz w:val="24"/>
          <w:szCs w:val="24"/>
        </w:rPr>
        <w:t>reduced</w:t>
      </w:r>
      <w:r w:rsidR="00174CD1" w:rsidRPr="00B92144">
        <w:rPr>
          <w:rFonts w:asciiTheme="majorBidi" w:hAnsiTheme="majorBidi" w:cstheme="majorBidi"/>
          <w:sz w:val="24"/>
          <w:szCs w:val="24"/>
        </w:rPr>
        <w:t xml:space="preserve"> </w:t>
      </w:r>
      <w:r w:rsidRPr="00B92144">
        <w:rPr>
          <w:rFonts w:asciiTheme="majorBidi" w:hAnsiTheme="majorBidi" w:cstheme="majorBidi"/>
          <w:sz w:val="24"/>
          <w:szCs w:val="24"/>
        </w:rPr>
        <w:t>through</w:t>
      </w:r>
      <w:r w:rsidR="000969FD" w:rsidRPr="00B92144">
        <w:rPr>
          <w:rFonts w:asciiTheme="majorBidi" w:hAnsiTheme="majorBidi" w:cstheme="majorBidi"/>
          <w:sz w:val="24"/>
          <w:szCs w:val="24"/>
        </w:rPr>
        <w:t xml:space="preserve"> </w:t>
      </w:r>
      <w:r w:rsidR="00630FC5" w:rsidRPr="00B92144">
        <w:rPr>
          <w:rFonts w:asciiTheme="majorBidi" w:hAnsiTheme="majorBidi" w:cstheme="majorBidi"/>
          <w:sz w:val="24"/>
          <w:szCs w:val="24"/>
        </w:rPr>
        <w:t xml:space="preserve">the implementation of </w:t>
      </w:r>
      <w:r w:rsidRPr="00B92144">
        <w:rPr>
          <w:rFonts w:asciiTheme="majorBidi" w:hAnsiTheme="majorBidi" w:cstheme="majorBidi"/>
          <w:sz w:val="24"/>
          <w:szCs w:val="24"/>
        </w:rPr>
        <w:t xml:space="preserve">monitoring mechanisms </w:t>
      </w:r>
      <w:r w:rsidR="00C83CED" w:rsidRPr="00B92144">
        <w:rPr>
          <w:rFonts w:asciiTheme="majorBidi" w:hAnsiTheme="majorBidi" w:cstheme="majorBidi"/>
          <w:sz w:val="24"/>
          <w:szCs w:val="24"/>
        </w:rPr>
        <w:t>likely to</w:t>
      </w:r>
      <w:r w:rsidRPr="00B92144">
        <w:rPr>
          <w:rFonts w:asciiTheme="majorBidi" w:hAnsiTheme="majorBidi" w:cstheme="majorBidi"/>
          <w:sz w:val="24"/>
          <w:szCs w:val="24"/>
        </w:rPr>
        <w:t xml:space="preserve"> </w:t>
      </w:r>
      <w:r w:rsidR="00384A2D" w:rsidRPr="00B92144">
        <w:rPr>
          <w:rFonts w:asciiTheme="majorBidi" w:hAnsiTheme="majorBidi" w:cstheme="majorBidi"/>
          <w:sz w:val="24"/>
          <w:szCs w:val="24"/>
        </w:rPr>
        <w:t>promot</w:t>
      </w:r>
      <w:r w:rsidR="00C83CED" w:rsidRPr="00B92144">
        <w:rPr>
          <w:rFonts w:asciiTheme="majorBidi" w:hAnsiTheme="majorBidi" w:cstheme="majorBidi"/>
          <w:sz w:val="24"/>
          <w:szCs w:val="24"/>
        </w:rPr>
        <w:t>e</w:t>
      </w:r>
      <w:r w:rsidRPr="00B92144">
        <w:rPr>
          <w:rFonts w:asciiTheme="majorBidi" w:hAnsiTheme="majorBidi" w:cstheme="majorBidi"/>
          <w:sz w:val="24"/>
          <w:szCs w:val="24"/>
        </w:rPr>
        <w:t xml:space="preserve"> </w:t>
      </w:r>
      <w:r w:rsidR="00F04117" w:rsidRPr="00B92144">
        <w:rPr>
          <w:rFonts w:asciiTheme="majorBidi" w:hAnsiTheme="majorBidi" w:cstheme="majorBidi"/>
          <w:sz w:val="24"/>
          <w:szCs w:val="24"/>
        </w:rPr>
        <w:t xml:space="preserve">higher </w:t>
      </w:r>
      <w:r w:rsidR="00384A2D" w:rsidRPr="00B92144">
        <w:rPr>
          <w:rFonts w:asciiTheme="majorBidi" w:hAnsiTheme="majorBidi" w:cstheme="majorBidi"/>
          <w:sz w:val="24"/>
          <w:szCs w:val="24"/>
        </w:rPr>
        <w:t>level of information disclosure</w:t>
      </w:r>
      <w:r w:rsidR="00F04117" w:rsidRPr="00B92144">
        <w:rPr>
          <w:rFonts w:asciiTheme="majorBidi" w:hAnsiTheme="majorBidi" w:cstheme="majorBidi"/>
          <w:sz w:val="24"/>
          <w:szCs w:val="24"/>
        </w:rPr>
        <w:t xml:space="preserve"> </w:t>
      </w:r>
      <w:r w:rsidRPr="00B92144">
        <w:rPr>
          <w:rFonts w:asciiTheme="majorBidi" w:hAnsiTheme="majorBidi" w:cstheme="majorBidi"/>
          <w:sz w:val="24"/>
          <w:szCs w:val="24"/>
        </w:rPr>
        <w:t>[</w:t>
      </w:r>
      <w:r w:rsidRPr="00B92144">
        <w:rPr>
          <w:rFonts w:asciiTheme="majorBidi" w:hAnsiTheme="majorBidi" w:cstheme="majorBidi"/>
          <w:color w:val="244061" w:themeColor="accent1" w:themeShade="80"/>
          <w:sz w:val="24"/>
          <w:szCs w:val="24"/>
        </w:rPr>
        <w:t>Jensen &amp; Meckling, 1976</w:t>
      </w:r>
      <w:r w:rsidRPr="00B92144">
        <w:rPr>
          <w:rFonts w:asciiTheme="majorBidi" w:hAnsiTheme="majorBidi" w:cstheme="majorBidi"/>
          <w:sz w:val="24"/>
          <w:szCs w:val="24"/>
        </w:rPr>
        <w:t>].</w:t>
      </w:r>
      <w:r w:rsidR="00384A2D" w:rsidRPr="00B92144">
        <w:rPr>
          <w:rFonts w:asciiTheme="majorBidi" w:hAnsiTheme="majorBidi" w:cstheme="majorBidi"/>
          <w:sz w:val="24"/>
          <w:szCs w:val="24"/>
        </w:rPr>
        <w:t xml:space="preserve"> </w:t>
      </w:r>
      <w:r w:rsidR="00E5458F" w:rsidRPr="00B92144">
        <w:rPr>
          <w:rFonts w:asciiTheme="majorBidi" w:hAnsiTheme="majorBidi" w:cstheme="majorBidi"/>
          <w:sz w:val="24"/>
          <w:szCs w:val="24"/>
        </w:rPr>
        <w:t>Because investors do not play an active role in corporate management and managers tend to serve their own interest</w:t>
      </w:r>
      <w:r w:rsidR="0008126F" w:rsidRPr="00B92144">
        <w:rPr>
          <w:rFonts w:asciiTheme="majorBidi" w:hAnsiTheme="majorBidi" w:cstheme="majorBidi"/>
          <w:sz w:val="24"/>
          <w:szCs w:val="24"/>
        </w:rPr>
        <w:t>s (</w:t>
      </w:r>
      <w:r w:rsidR="00E5458F" w:rsidRPr="00B92144">
        <w:rPr>
          <w:rFonts w:asciiTheme="majorBidi" w:hAnsiTheme="majorBidi" w:cstheme="majorBidi"/>
          <w:sz w:val="24"/>
          <w:szCs w:val="24"/>
        </w:rPr>
        <w:t>rather than maximizing shareholders’ value</w:t>
      </w:r>
      <w:r w:rsidR="0008126F" w:rsidRPr="00B92144">
        <w:rPr>
          <w:rFonts w:asciiTheme="majorBidi" w:hAnsiTheme="majorBidi" w:cstheme="majorBidi"/>
          <w:sz w:val="24"/>
          <w:szCs w:val="24"/>
        </w:rPr>
        <w:t>),</w:t>
      </w:r>
      <w:r w:rsidR="000969FD" w:rsidRPr="00B92144">
        <w:rPr>
          <w:rFonts w:asciiTheme="majorBidi" w:hAnsiTheme="majorBidi" w:cstheme="majorBidi"/>
          <w:sz w:val="24"/>
          <w:szCs w:val="24"/>
        </w:rPr>
        <w:t xml:space="preserve"> information</w:t>
      </w:r>
      <w:r w:rsidR="0058129A" w:rsidRPr="00B92144">
        <w:rPr>
          <w:rFonts w:asciiTheme="majorBidi" w:hAnsiTheme="majorBidi" w:cstheme="majorBidi"/>
          <w:sz w:val="24"/>
          <w:szCs w:val="24"/>
        </w:rPr>
        <w:t xml:space="preserve"> </w:t>
      </w:r>
      <w:r w:rsidR="000969FD" w:rsidRPr="00B92144">
        <w:rPr>
          <w:rFonts w:asciiTheme="majorBidi" w:hAnsiTheme="majorBidi" w:cstheme="majorBidi"/>
          <w:sz w:val="24"/>
          <w:szCs w:val="24"/>
        </w:rPr>
        <w:t xml:space="preserve">about risk would reduce investors’ uncertainties. </w:t>
      </w:r>
      <w:r w:rsidR="0058129A" w:rsidRPr="00B92144">
        <w:rPr>
          <w:rFonts w:asciiTheme="majorBidi" w:hAnsiTheme="majorBidi" w:cstheme="majorBidi"/>
          <w:sz w:val="24"/>
          <w:szCs w:val="24"/>
        </w:rPr>
        <w:t xml:space="preserve"> </w:t>
      </w:r>
    </w:p>
    <w:p w14:paraId="0B49F976" w14:textId="290C55BF" w:rsidR="00E5458F" w:rsidRPr="00B92144" w:rsidRDefault="0008126F" w:rsidP="00D939CC">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B</w:t>
      </w:r>
      <w:r w:rsidR="00E5458F" w:rsidRPr="00B92144">
        <w:rPr>
          <w:rFonts w:asciiTheme="majorBidi" w:hAnsiTheme="majorBidi" w:cstheme="majorBidi"/>
          <w:sz w:val="24"/>
          <w:szCs w:val="24"/>
        </w:rPr>
        <w:t xml:space="preserve">anks are in </w:t>
      </w:r>
      <w:r w:rsidRPr="00B92144">
        <w:rPr>
          <w:rFonts w:asciiTheme="majorBidi" w:hAnsiTheme="majorBidi" w:cstheme="majorBidi"/>
          <w:sz w:val="24"/>
          <w:szCs w:val="24"/>
        </w:rPr>
        <w:t>essence</w:t>
      </w:r>
      <w:r w:rsidR="00E5458F" w:rsidRPr="00B92144">
        <w:rPr>
          <w:rFonts w:asciiTheme="majorBidi" w:hAnsiTheme="majorBidi" w:cstheme="majorBidi"/>
          <w:sz w:val="24"/>
          <w:szCs w:val="24"/>
        </w:rPr>
        <w:t xml:space="preserve"> risk- taking enterprise</w:t>
      </w:r>
      <w:r w:rsidRPr="00B92144">
        <w:rPr>
          <w:rFonts w:asciiTheme="majorBidi" w:hAnsiTheme="majorBidi" w:cstheme="majorBidi"/>
          <w:sz w:val="24"/>
          <w:szCs w:val="24"/>
        </w:rPr>
        <w:t>s</w:t>
      </w:r>
      <w:r w:rsidR="00E5458F" w:rsidRPr="00B92144">
        <w:rPr>
          <w:rFonts w:asciiTheme="majorBidi" w:hAnsiTheme="majorBidi" w:cstheme="majorBidi"/>
          <w:sz w:val="24"/>
          <w:szCs w:val="24"/>
        </w:rPr>
        <w:t xml:space="preserve">, </w:t>
      </w:r>
      <w:r w:rsidRPr="00B92144">
        <w:rPr>
          <w:rFonts w:asciiTheme="majorBidi" w:hAnsiTheme="majorBidi" w:cstheme="majorBidi"/>
          <w:sz w:val="24"/>
          <w:szCs w:val="24"/>
        </w:rPr>
        <w:t>and therefore, as a part of good risk management system, they are expected to insure an appropriate flow of risk reporting to the marketplace</w:t>
      </w:r>
      <w:r w:rsidR="000969FD" w:rsidRPr="00B92144">
        <w:rPr>
          <w:rFonts w:asciiTheme="majorBidi" w:hAnsiTheme="majorBidi" w:cstheme="majorBidi"/>
          <w:sz w:val="24"/>
          <w:szCs w:val="24"/>
        </w:rPr>
        <w:t xml:space="preserve"> [</w:t>
      </w:r>
      <w:r w:rsidR="00E5458F" w:rsidRPr="00B92144">
        <w:rPr>
          <w:rFonts w:asciiTheme="majorBidi" w:hAnsiTheme="majorBidi" w:cstheme="majorBidi"/>
          <w:color w:val="244061" w:themeColor="accent1" w:themeShade="80"/>
          <w:sz w:val="24"/>
          <w:szCs w:val="24"/>
        </w:rPr>
        <w:t>Linsley &amp; Shrives, 200</w:t>
      </w:r>
      <w:r w:rsidR="00D939CC" w:rsidRPr="00B92144">
        <w:rPr>
          <w:rFonts w:asciiTheme="majorBidi" w:hAnsiTheme="majorBidi" w:cstheme="majorBidi"/>
          <w:color w:val="244061" w:themeColor="accent1" w:themeShade="80"/>
          <w:sz w:val="24"/>
          <w:szCs w:val="24"/>
        </w:rPr>
        <w:t>6</w:t>
      </w:r>
      <w:r w:rsidR="000969FD" w:rsidRPr="00B92144">
        <w:rPr>
          <w:rFonts w:asciiTheme="majorBidi" w:hAnsiTheme="majorBidi" w:cstheme="majorBidi"/>
          <w:sz w:val="24"/>
          <w:szCs w:val="24"/>
        </w:rPr>
        <w:t>]. Such system</w:t>
      </w:r>
      <w:r w:rsidR="00551A76" w:rsidRPr="00B92144">
        <w:rPr>
          <w:rFonts w:asciiTheme="majorBidi" w:hAnsiTheme="majorBidi" w:cstheme="majorBidi"/>
          <w:sz w:val="24"/>
          <w:szCs w:val="24"/>
        </w:rPr>
        <w:t xml:space="preserve"> </w:t>
      </w:r>
      <w:r w:rsidR="00E5458F" w:rsidRPr="00B92144">
        <w:rPr>
          <w:rFonts w:asciiTheme="majorBidi" w:hAnsiTheme="majorBidi" w:cstheme="majorBidi"/>
          <w:sz w:val="24"/>
          <w:szCs w:val="24"/>
        </w:rPr>
        <w:t>would</w:t>
      </w:r>
      <w:r w:rsidR="00551A76" w:rsidRPr="00B92144">
        <w:rPr>
          <w:rFonts w:asciiTheme="majorBidi" w:hAnsiTheme="majorBidi" w:cstheme="majorBidi"/>
          <w:sz w:val="24"/>
          <w:szCs w:val="24"/>
        </w:rPr>
        <w:t xml:space="preserve"> </w:t>
      </w:r>
      <w:r w:rsidR="000969FD" w:rsidRPr="00B92144">
        <w:rPr>
          <w:rFonts w:asciiTheme="majorBidi" w:hAnsiTheme="majorBidi" w:cstheme="majorBidi"/>
          <w:sz w:val="24"/>
          <w:szCs w:val="24"/>
        </w:rPr>
        <w:t>help monitor the</w:t>
      </w:r>
      <w:r w:rsidR="0058129A" w:rsidRPr="00B92144">
        <w:rPr>
          <w:rFonts w:asciiTheme="majorBidi" w:hAnsiTheme="majorBidi" w:cstheme="majorBidi"/>
          <w:sz w:val="24"/>
          <w:szCs w:val="24"/>
        </w:rPr>
        <w:t xml:space="preserve"> </w:t>
      </w:r>
      <w:r w:rsidR="000969FD" w:rsidRPr="00B92144">
        <w:rPr>
          <w:rFonts w:asciiTheme="majorBidi" w:hAnsiTheme="majorBidi" w:cstheme="majorBidi"/>
          <w:sz w:val="24"/>
          <w:szCs w:val="24"/>
        </w:rPr>
        <w:t>attitudes of managers towards risk</w:t>
      </w:r>
      <w:r w:rsidRPr="00B92144">
        <w:rPr>
          <w:rFonts w:asciiTheme="majorBidi" w:hAnsiTheme="majorBidi" w:cstheme="majorBidi"/>
          <w:sz w:val="24"/>
          <w:szCs w:val="24"/>
        </w:rPr>
        <w:t xml:space="preserve"> exposure, foster banks’ transparency and decrease the information gap between both sides</w:t>
      </w:r>
      <w:r w:rsidR="000969FD" w:rsidRPr="00B92144">
        <w:rPr>
          <w:rFonts w:asciiTheme="majorBidi" w:hAnsiTheme="majorBidi" w:cstheme="majorBidi"/>
          <w:sz w:val="24"/>
          <w:szCs w:val="24"/>
        </w:rPr>
        <w:t xml:space="preserve"> [</w:t>
      </w:r>
      <w:r w:rsidR="000969FD" w:rsidRPr="00B92144">
        <w:rPr>
          <w:rFonts w:asciiTheme="majorBidi" w:hAnsiTheme="majorBidi" w:cstheme="majorBidi"/>
          <w:color w:val="244061" w:themeColor="accent1" w:themeShade="80"/>
          <w:sz w:val="24"/>
          <w:szCs w:val="24"/>
        </w:rPr>
        <w:t>Jensen &amp; Meckling, 1976; Linsley &amp; Shrives, 2003</w:t>
      </w:r>
      <w:r w:rsidR="00551A76" w:rsidRPr="00B92144">
        <w:rPr>
          <w:rFonts w:asciiTheme="majorBidi" w:hAnsiTheme="majorBidi" w:cstheme="majorBidi"/>
          <w:color w:val="244061" w:themeColor="accent1" w:themeShade="80"/>
          <w:sz w:val="24"/>
          <w:szCs w:val="24"/>
        </w:rPr>
        <w:t>; Oliveira et al, 2013</w:t>
      </w:r>
      <w:r w:rsidR="000969FD" w:rsidRPr="00B92144">
        <w:rPr>
          <w:rFonts w:asciiTheme="majorBidi" w:hAnsiTheme="majorBidi" w:cstheme="majorBidi"/>
          <w:sz w:val="24"/>
          <w:szCs w:val="24"/>
        </w:rPr>
        <w:t>].</w:t>
      </w:r>
    </w:p>
    <w:p w14:paraId="4CF7DC59" w14:textId="5D140675" w:rsidR="00E323E8" w:rsidRPr="00B92144" w:rsidRDefault="00337F55" w:rsidP="00D238A2">
      <w:pPr>
        <w:autoSpaceDE w:val="0"/>
        <w:autoSpaceDN w:val="0"/>
        <w:adjustRightInd w:val="0"/>
        <w:spacing w:before="120" w:after="12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The </w:t>
      </w:r>
      <w:r w:rsidR="000B1EAC" w:rsidRPr="00B92144">
        <w:rPr>
          <w:rFonts w:asciiTheme="majorBidi" w:hAnsiTheme="majorBidi" w:cstheme="majorBidi"/>
          <w:sz w:val="24"/>
          <w:szCs w:val="24"/>
        </w:rPr>
        <w:t xml:space="preserve">political costs theory </w:t>
      </w:r>
      <w:r w:rsidRPr="00B92144">
        <w:rPr>
          <w:rFonts w:asciiTheme="majorBidi" w:hAnsiTheme="majorBidi" w:cstheme="majorBidi"/>
          <w:sz w:val="24"/>
          <w:szCs w:val="24"/>
        </w:rPr>
        <w:t>states that</w:t>
      </w:r>
      <w:r w:rsidR="00AC490F" w:rsidRPr="00B92144">
        <w:rPr>
          <w:rFonts w:asciiTheme="majorBidi" w:hAnsiTheme="majorBidi" w:cstheme="majorBidi"/>
          <w:sz w:val="24"/>
          <w:szCs w:val="24"/>
        </w:rPr>
        <w:t xml:space="preserve"> some</w:t>
      </w:r>
      <w:r w:rsidRPr="00B92144">
        <w:rPr>
          <w:rFonts w:asciiTheme="majorBidi" w:hAnsiTheme="majorBidi" w:cstheme="majorBidi"/>
          <w:sz w:val="24"/>
          <w:szCs w:val="24"/>
        </w:rPr>
        <w:t xml:space="preserve"> </w:t>
      </w:r>
      <w:r w:rsidR="00AC490F" w:rsidRPr="00B92144">
        <w:rPr>
          <w:rFonts w:asciiTheme="majorBidi" w:hAnsiTheme="majorBidi" w:cstheme="majorBidi"/>
          <w:sz w:val="24"/>
          <w:szCs w:val="24"/>
        </w:rPr>
        <w:t>companies may be</w:t>
      </w:r>
      <w:r w:rsidRPr="00B92144">
        <w:rPr>
          <w:rFonts w:asciiTheme="majorBidi" w:hAnsiTheme="majorBidi" w:cstheme="majorBidi"/>
          <w:sz w:val="24"/>
          <w:szCs w:val="24"/>
        </w:rPr>
        <w:t xml:space="preserve"> subject to </w:t>
      </w:r>
      <w:r w:rsidR="00AC490F" w:rsidRPr="00B92144">
        <w:rPr>
          <w:rFonts w:asciiTheme="majorBidi" w:hAnsiTheme="majorBidi" w:cstheme="majorBidi"/>
          <w:sz w:val="24"/>
          <w:szCs w:val="24"/>
        </w:rPr>
        <w:t>deep scrutiny</w:t>
      </w:r>
      <w:r w:rsidRPr="00B92144">
        <w:rPr>
          <w:rFonts w:asciiTheme="majorBidi" w:hAnsiTheme="majorBidi" w:cstheme="majorBidi"/>
          <w:sz w:val="24"/>
          <w:szCs w:val="24"/>
        </w:rPr>
        <w:t xml:space="preserve"> </w:t>
      </w:r>
      <w:r w:rsidR="00AC490F" w:rsidRPr="00B92144">
        <w:rPr>
          <w:rFonts w:asciiTheme="majorBidi" w:hAnsiTheme="majorBidi" w:cstheme="majorBidi"/>
          <w:sz w:val="24"/>
          <w:szCs w:val="24"/>
        </w:rPr>
        <w:t>from</w:t>
      </w:r>
      <w:r w:rsidRPr="00B92144">
        <w:rPr>
          <w:rFonts w:asciiTheme="majorBidi" w:hAnsiTheme="majorBidi" w:cstheme="majorBidi"/>
          <w:sz w:val="24"/>
          <w:szCs w:val="24"/>
        </w:rPr>
        <w:t xml:space="preserve"> politics, public and media (</w:t>
      </w:r>
      <w:r w:rsidRPr="00B92144">
        <w:rPr>
          <w:rFonts w:asciiTheme="majorBidi" w:hAnsiTheme="majorBidi" w:cstheme="majorBidi"/>
          <w:color w:val="244061" w:themeColor="accent1" w:themeShade="80"/>
          <w:sz w:val="24"/>
          <w:szCs w:val="24"/>
        </w:rPr>
        <w:t>Watts and Zimmerman, 19</w:t>
      </w:r>
      <w:r w:rsidR="00AC490F" w:rsidRPr="00B92144">
        <w:rPr>
          <w:rFonts w:asciiTheme="majorBidi" w:hAnsiTheme="majorBidi" w:cstheme="majorBidi"/>
          <w:color w:val="244061" w:themeColor="accent1" w:themeShade="80"/>
          <w:sz w:val="24"/>
          <w:szCs w:val="24"/>
        </w:rPr>
        <w:t>78</w:t>
      </w:r>
      <w:r w:rsidRPr="00B92144">
        <w:rPr>
          <w:rFonts w:asciiTheme="majorBidi" w:hAnsiTheme="majorBidi" w:cstheme="majorBidi"/>
          <w:sz w:val="24"/>
          <w:szCs w:val="24"/>
        </w:rPr>
        <w:t xml:space="preserve">). </w:t>
      </w:r>
      <w:r w:rsidR="00AC490F" w:rsidRPr="00B92144">
        <w:rPr>
          <w:rFonts w:asciiTheme="majorBidi" w:hAnsiTheme="majorBidi" w:cstheme="majorBidi"/>
          <w:sz w:val="24"/>
          <w:szCs w:val="24"/>
        </w:rPr>
        <w:t xml:space="preserve">In such a situation, politically visible </w:t>
      </w:r>
      <w:r w:rsidR="009C2F78" w:rsidRPr="00B92144">
        <w:rPr>
          <w:rFonts w:asciiTheme="majorBidi" w:hAnsiTheme="majorBidi" w:cstheme="majorBidi"/>
          <w:sz w:val="24"/>
          <w:szCs w:val="24"/>
        </w:rPr>
        <w:t>firms</w:t>
      </w:r>
      <w:r w:rsidRPr="00B92144">
        <w:rPr>
          <w:rFonts w:asciiTheme="majorBidi" w:hAnsiTheme="majorBidi" w:cstheme="majorBidi"/>
          <w:sz w:val="24"/>
          <w:szCs w:val="24"/>
        </w:rPr>
        <w:t xml:space="preserve"> will make accounting choices to </w:t>
      </w:r>
      <w:r w:rsidR="009C2F78" w:rsidRPr="00B92144">
        <w:rPr>
          <w:rFonts w:asciiTheme="majorBidi" w:hAnsiTheme="majorBidi" w:cstheme="majorBidi"/>
          <w:sz w:val="24"/>
          <w:szCs w:val="24"/>
        </w:rPr>
        <w:t xml:space="preserve">counter unwanted attention and </w:t>
      </w:r>
      <w:r w:rsidRPr="00B92144">
        <w:rPr>
          <w:rFonts w:asciiTheme="majorBidi" w:hAnsiTheme="majorBidi" w:cstheme="majorBidi"/>
          <w:sz w:val="24"/>
          <w:szCs w:val="24"/>
        </w:rPr>
        <w:t xml:space="preserve">avoid costs associated with </w:t>
      </w:r>
      <w:r w:rsidR="009C2F78" w:rsidRPr="00B92144">
        <w:rPr>
          <w:rFonts w:asciiTheme="majorBidi" w:hAnsiTheme="majorBidi" w:cstheme="majorBidi"/>
          <w:sz w:val="24"/>
          <w:szCs w:val="24"/>
        </w:rPr>
        <w:t xml:space="preserve">regulatory interventions </w:t>
      </w:r>
      <w:r w:rsidRPr="00B92144">
        <w:rPr>
          <w:rFonts w:asciiTheme="majorBidi" w:hAnsiTheme="majorBidi" w:cstheme="majorBidi"/>
          <w:sz w:val="24"/>
          <w:szCs w:val="24"/>
        </w:rPr>
        <w:t>(</w:t>
      </w:r>
      <w:r w:rsidRPr="00B92144">
        <w:rPr>
          <w:rFonts w:asciiTheme="majorBidi" w:hAnsiTheme="majorBidi" w:cstheme="majorBidi"/>
          <w:color w:val="244061" w:themeColor="accent1" w:themeShade="80"/>
          <w:sz w:val="24"/>
          <w:szCs w:val="24"/>
        </w:rPr>
        <w:t>Watts and Zimmerman, 19</w:t>
      </w:r>
      <w:r w:rsidR="00AC490F" w:rsidRPr="00B92144">
        <w:rPr>
          <w:rFonts w:asciiTheme="majorBidi" w:hAnsiTheme="majorBidi" w:cstheme="majorBidi"/>
          <w:color w:val="244061" w:themeColor="accent1" w:themeShade="80"/>
          <w:sz w:val="24"/>
          <w:szCs w:val="24"/>
        </w:rPr>
        <w:t>86</w:t>
      </w:r>
      <w:r w:rsidRPr="00B92144">
        <w:rPr>
          <w:rFonts w:asciiTheme="majorBidi" w:hAnsiTheme="majorBidi" w:cstheme="majorBidi"/>
          <w:sz w:val="24"/>
          <w:szCs w:val="24"/>
        </w:rPr>
        <w:t xml:space="preserve">). </w:t>
      </w:r>
      <w:r w:rsidR="00F03C65" w:rsidRPr="00B92144">
        <w:rPr>
          <w:rFonts w:asciiTheme="majorBidi" w:hAnsiTheme="majorBidi" w:cstheme="majorBidi"/>
          <w:sz w:val="24"/>
          <w:szCs w:val="24"/>
        </w:rPr>
        <w:t xml:space="preserve">According to </w:t>
      </w:r>
      <w:r w:rsidR="00F03C65" w:rsidRPr="00B92144">
        <w:rPr>
          <w:rFonts w:asciiTheme="majorBidi" w:hAnsiTheme="majorBidi" w:cstheme="majorBidi"/>
          <w:color w:val="244061" w:themeColor="accent1" w:themeShade="80"/>
          <w:sz w:val="24"/>
          <w:szCs w:val="24"/>
        </w:rPr>
        <w:t>Healy and Palepu (2001)</w:t>
      </w:r>
      <w:r w:rsidR="00F03C65" w:rsidRPr="00B92144">
        <w:rPr>
          <w:rFonts w:asciiTheme="majorBidi" w:hAnsiTheme="majorBidi" w:cstheme="majorBidi"/>
          <w:sz w:val="24"/>
          <w:szCs w:val="24"/>
        </w:rPr>
        <w:t>, earlier</w:t>
      </w:r>
      <w:r w:rsidRPr="00B92144">
        <w:rPr>
          <w:rFonts w:asciiTheme="majorBidi" w:hAnsiTheme="majorBidi" w:cstheme="majorBidi"/>
          <w:sz w:val="24"/>
          <w:szCs w:val="24"/>
        </w:rPr>
        <w:t xml:space="preserve"> research su</w:t>
      </w:r>
      <w:r w:rsidR="00F03C65" w:rsidRPr="00B92144">
        <w:rPr>
          <w:rFonts w:asciiTheme="majorBidi" w:hAnsiTheme="majorBidi" w:cstheme="majorBidi"/>
          <w:sz w:val="24"/>
          <w:szCs w:val="24"/>
        </w:rPr>
        <w:t xml:space="preserve">stains </w:t>
      </w:r>
      <w:r w:rsidRPr="00B92144">
        <w:rPr>
          <w:rFonts w:asciiTheme="majorBidi" w:hAnsiTheme="majorBidi" w:cstheme="majorBidi"/>
          <w:sz w:val="24"/>
          <w:szCs w:val="24"/>
        </w:rPr>
        <w:t xml:space="preserve">the </w:t>
      </w:r>
      <w:r w:rsidR="00F03C65" w:rsidRPr="00B92144">
        <w:rPr>
          <w:rFonts w:asciiTheme="majorBidi" w:hAnsiTheme="majorBidi" w:cstheme="majorBidi"/>
          <w:sz w:val="24"/>
          <w:szCs w:val="24"/>
        </w:rPr>
        <w:t xml:space="preserve">view </w:t>
      </w:r>
      <w:r w:rsidRPr="00B92144">
        <w:rPr>
          <w:rFonts w:asciiTheme="majorBidi" w:hAnsiTheme="majorBidi" w:cstheme="majorBidi"/>
          <w:sz w:val="24"/>
          <w:szCs w:val="24"/>
        </w:rPr>
        <w:t>that</w:t>
      </w:r>
      <w:r w:rsidR="00F03C65" w:rsidRPr="00B92144">
        <w:rPr>
          <w:rFonts w:asciiTheme="majorBidi" w:hAnsiTheme="majorBidi" w:cstheme="majorBidi"/>
          <w:sz w:val="24"/>
          <w:szCs w:val="24"/>
        </w:rPr>
        <w:t xml:space="preserve"> information</w:t>
      </w:r>
      <w:r w:rsidRPr="00B92144">
        <w:rPr>
          <w:rFonts w:asciiTheme="majorBidi" w:hAnsiTheme="majorBidi" w:cstheme="majorBidi"/>
          <w:sz w:val="24"/>
          <w:szCs w:val="24"/>
        </w:rPr>
        <w:t xml:space="preserve"> disclosure choices </w:t>
      </w:r>
      <w:r w:rsidR="00F03C65" w:rsidRPr="00B92144">
        <w:rPr>
          <w:rFonts w:asciiTheme="majorBidi" w:hAnsiTheme="majorBidi" w:cstheme="majorBidi"/>
          <w:sz w:val="24"/>
          <w:szCs w:val="24"/>
        </w:rPr>
        <w:t>can be</w:t>
      </w:r>
      <w:r w:rsidRPr="00B92144">
        <w:rPr>
          <w:rFonts w:asciiTheme="majorBidi" w:hAnsiTheme="majorBidi" w:cstheme="majorBidi"/>
          <w:sz w:val="24"/>
          <w:szCs w:val="24"/>
        </w:rPr>
        <w:t xml:space="preserve"> </w:t>
      </w:r>
      <w:r w:rsidR="00F03C65" w:rsidRPr="00B92144">
        <w:rPr>
          <w:rFonts w:asciiTheme="majorBidi" w:hAnsiTheme="majorBidi" w:cstheme="majorBidi"/>
          <w:sz w:val="24"/>
          <w:szCs w:val="24"/>
        </w:rPr>
        <w:t>associated with</w:t>
      </w:r>
      <w:r w:rsidRPr="00B92144">
        <w:rPr>
          <w:rFonts w:asciiTheme="majorBidi" w:hAnsiTheme="majorBidi" w:cstheme="majorBidi"/>
          <w:sz w:val="24"/>
          <w:szCs w:val="24"/>
        </w:rPr>
        <w:t xml:space="preserve"> political costs</w:t>
      </w:r>
      <w:r w:rsidR="00F03C65"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consideration. Companies </w:t>
      </w:r>
      <w:r w:rsidR="00F03C65" w:rsidRPr="00B92144">
        <w:rPr>
          <w:rFonts w:asciiTheme="majorBidi" w:hAnsiTheme="majorBidi" w:cstheme="majorBidi"/>
          <w:sz w:val="24"/>
          <w:szCs w:val="24"/>
        </w:rPr>
        <w:t>will manage to</w:t>
      </w:r>
      <w:r w:rsidRPr="00B92144">
        <w:rPr>
          <w:rFonts w:asciiTheme="majorBidi" w:hAnsiTheme="majorBidi" w:cstheme="majorBidi"/>
          <w:sz w:val="24"/>
          <w:szCs w:val="24"/>
        </w:rPr>
        <w:t xml:space="preserve"> overcome such pressure or attention, by disclosing additional information</w:t>
      </w:r>
      <w:r w:rsidR="00AC490F" w:rsidRPr="00B92144">
        <w:rPr>
          <w:rFonts w:asciiTheme="majorBidi" w:hAnsiTheme="majorBidi" w:cstheme="majorBidi"/>
          <w:sz w:val="24"/>
          <w:szCs w:val="24"/>
        </w:rPr>
        <w:t xml:space="preserve"> so as to manipulate their image positively and to distract attention [</w:t>
      </w:r>
      <w:r w:rsidR="00AC490F" w:rsidRPr="00B92144">
        <w:rPr>
          <w:rFonts w:asciiTheme="majorBidi" w:hAnsiTheme="majorBidi" w:cstheme="majorBidi"/>
          <w:color w:val="244061" w:themeColor="accent1" w:themeShade="80"/>
          <w:sz w:val="24"/>
          <w:szCs w:val="24"/>
        </w:rPr>
        <w:t>Birt et al., 2006; Deegan &amp; Gordon 1996</w:t>
      </w:r>
      <w:r w:rsidR="00AC490F" w:rsidRPr="00B92144">
        <w:rPr>
          <w:rFonts w:asciiTheme="majorBidi" w:hAnsiTheme="majorBidi" w:cstheme="majorBidi"/>
          <w:sz w:val="24"/>
          <w:szCs w:val="24"/>
        </w:rPr>
        <w:t>]</w:t>
      </w:r>
      <w:r w:rsidRPr="00B92144">
        <w:rPr>
          <w:rFonts w:asciiTheme="majorBidi" w:hAnsiTheme="majorBidi" w:cstheme="majorBidi"/>
          <w:sz w:val="24"/>
          <w:szCs w:val="24"/>
        </w:rPr>
        <w:t xml:space="preserve">. </w:t>
      </w:r>
      <w:r w:rsidR="009C2F78" w:rsidRPr="00B92144">
        <w:rPr>
          <w:rFonts w:asciiTheme="majorBidi" w:hAnsiTheme="majorBidi" w:cstheme="majorBidi"/>
          <w:sz w:val="24"/>
          <w:szCs w:val="24"/>
        </w:rPr>
        <w:t>This</w:t>
      </w:r>
      <w:r w:rsidR="00F03C65" w:rsidRPr="00B92144">
        <w:rPr>
          <w:rFonts w:asciiTheme="majorBidi" w:hAnsiTheme="majorBidi" w:cstheme="majorBidi"/>
          <w:sz w:val="24"/>
          <w:szCs w:val="24"/>
        </w:rPr>
        <w:t xml:space="preserve"> argument could be </w:t>
      </w:r>
      <w:r w:rsidR="009C2F78" w:rsidRPr="00B92144">
        <w:rPr>
          <w:rFonts w:asciiTheme="majorBidi" w:hAnsiTheme="majorBidi" w:cstheme="majorBidi"/>
          <w:sz w:val="24"/>
          <w:szCs w:val="24"/>
        </w:rPr>
        <w:t xml:space="preserve">particularly </w:t>
      </w:r>
      <w:r w:rsidR="00F03C65" w:rsidRPr="00B92144">
        <w:rPr>
          <w:rFonts w:asciiTheme="majorBidi" w:hAnsiTheme="majorBidi" w:cstheme="majorBidi"/>
          <w:sz w:val="24"/>
          <w:szCs w:val="24"/>
        </w:rPr>
        <w:t>applied</w:t>
      </w:r>
      <w:r w:rsidR="009C2F78" w:rsidRPr="00B92144">
        <w:rPr>
          <w:rFonts w:asciiTheme="majorBidi" w:hAnsiTheme="majorBidi" w:cstheme="majorBidi"/>
          <w:sz w:val="24"/>
          <w:szCs w:val="24"/>
        </w:rPr>
        <w:t xml:space="preserve"> </w:t>
      </w:r>
      <w:r w:rsidR="00F03C65" w:rsidRPr="00B92144">
        <w:rPr>
          <w:rFonts w:asciiTheme="majorBidi" w:hAnsiTheme="majorBidi" w:cstheme="majorBidi"/>
          <w:sz w:val="24"/>
          <w:szCs w:val="24"/>
        </w:rPr>
        <w:t xml:space="preserve">to interpret banks’ risk disclosure practice. Financial institutions operate indeed </w:t>
      </w:r>
      <w:r w:rsidR="009C2F78" w:rsidRPr="00B92144">
        <w:rPr>
          <w:rFonts w:asciiTheme="majorBidi" w:hAnsiTheme="majorBidi" w:cstheme="majorBidi"/>
          <w:sz w:val="24"/>
          <w:szCs w:val="24"/>
        </w:rPr>
        <w:t>in highly regulated and visible industr</w:t>
      </w:r>
      <w:r w:rsidR="00F03C65" w:rsidRPr="00B92144">
        <w:rPr>
          <w:rFonts w:asciiTheme="majorBidi" w:hAnsiTheme="majorBidi" w:cstheme="majorBidi"/>
          <w:sz w:val="24"/>
          <w:szCs w:val="24"/>
        </w:rPr>
        <w:t>y</w:t>
      </w:r>
      <w:r w:rsidR="009C2F78" w:rsidRPr="00B92144">
        <w:rPr>
          <w:rFonts w:asciiTheme="majorBidi" w:hAnsiTheme="majorBidi" w:cstheme="majorBidi"/>
          <w:sz w:val="24"/>
          <w:szCs w:val="24"/>
        </w:rPr>
        <w:t xml:space="preserve">. </w:t>
      </w:r>
      <w:r w:rsidR="00F03C65" w:rsidRPr="00B92144">
        <w:rPr>
          <w:rFonts w:asciiTheme="majorBidi" w:hAnsiTheme="majorBidi" w:cstheme="majorBidi"/>
          <w:sz w:val="24"/>
          <w:szCs w:val="24"/>
        </w:rPr>
        <w:t>Such regulations may include, for example, minimum capital requirements for banks and financial performance constraints for insurance firms. Risk disclosure could be an effective tool to</w:t>
      </w:r>
      <w:r w:rsidR="00181A7D" w:rsidRPr="00B92144">
        <w:rPr>
          <w:rFonts w:asciiTheme="majorBidi" w:hAnsiTheme="majorBidi" w:cstheme="majorBidi"/>
          <w:sz w:val="24"/>
          <w:szCs w:val="24"/>
        </w:rPr>
        <w:t xml:space="preserve"> influence public opinion about banks’ risk profile, signal their compliance with Basel II </w:t>
      </w:r>
      <w:r w:rsidR="00181A7D" w:rsidRPr="00B92144">
        <w:rPr>
          <w:rFonts w:asciiTheme="majorBidi" w:hAnsiTheme="majorBidi" w:cstheme="majorBidi"/>
          <w:sz w:val="24"/>
          <w:szCs w:val="24"/>
        </w:rPr>
        <w:lastRenderedPageBreak/>
        <w:t>requirements and to restore their reputations and credibility after the occurrence of global financial crisis.</w:t>
      </w:r>
    </w:p>
    <w:p w14:paraId="2099774C" w14:textId="46E0D395" w:rsidR="008D5DB4" w:rsidRPr="00B92144" w:rsidRDefault="00FD17E3" w:rsidP="00395646">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Legitimacy theory </w:t>
      </w:r>
      <w:r w:rsidR="00583B4E" w:rsidRPr="00B92144">
        <w:rPr>
          <w:rFonts w:asciiTheme="majorBidi" w:hAnsiTheme="majorBidi" w:cstheme="majorBidi"/>
          <w:sz w:val="24"/>
          <w:szCs w:val="24"/>
        </w:rPr>
        <w:t>[</w:t>
      </w:r>
      <w:r w:rsidRPr="00B92144">
        <w:rPr>
          <w:rFonts w:asciiTheme="majorBidi" w:hAnsiTheme="majorBidi" w:cstheme="majorBidi"/>
          <w:color w:val="244061" w:themeColor="accent1" w:themeShade="80"/>
          <w:sz w:val="24"/>
          <w:szCs w:val="24"/>
        </w:rPr>
        <w:t xml:space="preserve">Dowling &amp; Pfeffer, 1975; </w:t>
      </w:r>
      <w:r w:rsidR="00583B4E" w:rsidRPr="00B92144">
        <w:rPr>
          <w:rFonts w:asciiTheme="majorBidi" w:hAnsiTheme="majorBidi" w:cstheme="majorBidi"/>
          <w:color w:val="244061" w:themeColor="accent1" w:themeShade="80"/>
          <w:sz w:val="24"/>
          <w:szCs w:val="24"/>
        </w:rPr>
        <w:t xml:space="preserve">Kaplan and Ruland, 1991; </w:t>
      </w:r>
      <w:r w:rsidRPr="00B92144">
        <w:rPr>
          <w:rFonts w:asciiTheme="majorBidi" w:hAnsiTheme="majorBidi" w:cstheme="majorBidi"/>
          <w:color w:val="244061" w:themeColor="accent1" w:themeShade="80"/>
          <w:sz w:val="24"/>
          <w:szCs w:val="24"/>
        </w:rPr>
        <w:t>Lindblom, 1994; Suchman, 1995</w:t>
      </w:r>
      <w:r w:rsidR="00B15D95" w:rsidRPr="00B92144">
        <w:rPr>
          <w:rFonts w:asciiTheme="majorBidi" w:hAnsiTheme="majorBidi" w:cstheme="majorBidi"/>
          <w:color w:val="244061" w:themeColor="accent1" w:themeShade="80"/>
          <w:sz w:val="24"/>
          <w:szCs w:val="24"/>
        </w:rPr>
        <w:t>; Deegan, 2002; Magness, 2006</w:t>
      </w:r>
      <w:r w:rsidR="00583B4E" w:rsidRPr="00B92144">
        <w:rPr>
          <w:rFonts w:asciiTheme="majorBidi" w:hAnsiTheme="majorBidi" w:cstheme="majorBidi"/>
          <w:sz w:val="24"/>
          <w:szCs w:val="24"/>
        </w:rPr>
        <w:t>]</w:t>
      </w:r>
      <w:r w:rsidRPr="00B92144">
        <w:rPr>
          <w:rFonts w:asciiTheme="majorBidi" w:hAnsiTheme="majorBidi" w:cstheme="majorBidi"/>
          <w:sz w:val="24"/>
          <w:szCs w:val="24"/>
        </w:rPr>
        <w:t xml:space="preserve"> </w:t>
      </w:r>
      <w:r w:rsidR="00B15D95" w:rsidRPr="00B92144">
        <w:rPr>
          <w:rFonts w:asciiTheme="majorBidi" w:hAnsiTheme="majorBidi" w:cstheme="majorBidi"/>
          <w:sz w:val="24"/>
          <w:szCs w:val="24"/>
        </w:rPr>
        <w:t xml:space="preserve">explains that an organization has no right to exist unless it adheres to the system of values of one society within which the organization operates. </w:t>
      </w:r>
      <w:r w:rsidR="00D4687A" w:rsidRPr="00B92144">
        <w:rPr>
          <w:rFonts w:asciiTheme="majorBidi" w:hAnsiTheme="majorBidi" w:cstheme="majorBidi"/>
          <w:sz w:val="24"/>
          <w:szCs w:val="24"/>
        </w:rPr>
        <w:t xml:space="preserve">To meet these social expectations, an organization would alter its activities </w:t>
      </w:r>
      <w:r w:rsidR="003259D0" w:rsidRPr="00B92144">
        <w:rPr>
          <w:rFonts w:asciiTheme="majorBidi" w:hAnsiTheme="majorBidi" w:cstheme="majorBidi"/>
          <w:sz w:val="24"/>
          <w:szCs w:val="24"/>
        </w:rPr>
        <w:t>and</w:t>
      </w:r>
      <w:r w:rsidR="00D4687A" w:rsidRPr="00B92144">
        <w:rPr>
          <w:rFonts w:asciiTheme="majorBidi" w:hAnsiTheme="majorBidi" w:cstheme="majorBidi"/>
          <w:sz w:val="24"/>
          <w:szCs w:val="24"/>
        </w:rPr>
        <w:t xml:space="preserve"> comply with outsiders ’values as a part of its legitimation process (</w:t>
      </w:r>
      <w:r w:rsidR="00D4687A" w:rsidRPr="00B92144">
        <w:rPr>
          <w:rFonts w:asciiTheme="majorBidi" w:hAnsiTheme="majorBidi" w:cstheme="majorBidi"/>
          <w:color w:val="244061" w:themeColor="accent1" w:themeShade="80"/>
          <w:sz w:val="24"/>
          <w:szCs w:val="24"/>
        </w:rPr>
        <w:t>Linsley and Kajüter, 2008</w:t>
      </w:r>
      <w:r w:rsidR="00D4687A" w:rsidRPr="00B92144">
        <w:rPr>
          <w:rFonts w:asciiTheme="majorBidi" w:hAnsiTheme="majorBidi" w:cstheme="majorBidi"/>
          <w:sz w:val="24"/>
          <w:szCs w:val="24"/>
        </w:rPr>
        <w:t>).</w:t>
      </w:r>
      <w:r w:rsidR="00E82F83" w:rsidRPr="00B92144">
        <w:rPr>
          <w:rFonts w:asciiTheme="majorBidi" w:hAnsiTheme="majorBidi" w:cstheme="majorBidi"/>
          <w:sz w:val="24"/>
          <w:szCs w:val="24"/>
        </w:rPr>
        <w:t xml:space="preserve"> According to this theory, banks might knuckle under institutional pressures (such as adherence to Basel II requirements) to gain enhanced social support from stakeholders; and i</w:t>
      </w:r>
      <w:r w:rsidR="003259D0" w:rsidRPr="00B92144">
        <w:rPr>
          <w:rFonts w:asciiTheme="majorBidi" w:hAnsiTheme="majorBidi" w:cstheme="majorBidi"/>
          <w:sz w:val="24"/>
          <w:szCs w:val="24"/>
        </w:rPr>
        <w:t xml:space="preserve">mproved </w:t>
      </w:r>
      <w:r w:rsidR="00E82F83" w:rsidRPr="00B92144">
        <w:rPr>
          <w:rFonts w:asciiTheme="majorBidi" w:hAnsiTheme="majorBidi" w:cstheme="majorBidi"/>
          <w:sz w:val="24"/>
          <w:szCs w:val="24"/>
        </w:rPr>
        <w:t>legitimacy, resources, and survival capabilities (</w:t>
      </w:r>
      <w:r w:rsidR="00E82F83" w:rsidRPr="00B92144">
        <w:rPr>
          <w:rFonts w:asciiTheme="majorBidi" w:hAnsiTheme="majorBidi" w:cstheme="majorBidi"/>
          <w:color w:val="244061" w:themeColor="accent1" w:themeShade="80"/>
          <w:sz w:val="24"/>
          <w:szCs w:val="24"/>
        </w:rPr>
        <w:t>Carpenter an</w:t>
      </w:r>
      <w:r w:rsidR="00F64ED3" w:rsidRPr="00B92144">
        <w:rPr>
          <w:rFonts w:asciiTheme="majorBidi" w:hAnsiTheme="majorBidi" w:cstheme="majorBidi"/>
          <w:color w:val="244061" w:themeColor="accent1" w:themeShade="80"/>
          <w:sz w:val="24"/>
          <w:szCs w:val="24"/>
        </w:rPr>
        <w:t>d Feroz, 2001; Ferna</w:t>
      </w:r>
      <w:r w:rsidR="00E82F83" w:rsidRPr="00B92144">
        <w:rPr>
          <w:rFonts w:asciiTheme="majorBidi" w:hAnsiTheme="majorBidi" w:cstheme="majorBidi"/>
          <w:color w:val="244061" w:themeColor="accent1" w:themeShade="80"/>
          <w:sz w:val="24"/>
          <w:szCs w:val="24"/>
        </w:rPr>
        <w:t>ndez-Alles and Valle-Cabrera, 2006</w:t>
      </w:r>
      <w:r w:rsidR="00E82F83" w:rsidRPr="00B92144">
        <w:rPr>
          <w:rFonts w:asciiTheme="majorBidi" w:hAnsiTheme="majorBidi" w:cstheme="majorBidi"/>
          <w:sz w:val="24"/>
          <w:szCs w:val="24"/>
        </w:rPr>
        <w:t>).</w:t>
      </w:r>
      <w:r w:rsidR="003259D0" w:rsidRPr="00B92144">
        <w:rPr>
          <w:rFonts w:asciiTheme="majorBidi" w:hAnsiTheme="majorBidi" w:cstheme="majorBidi"/>
          <w:sz w:val="24"/>
          <w:szCs w:val="24"/>
        </w:rPr>
        <w:t xml:space="preserve"> Banks might also exhibit their compliance and conform </w:t>
      </w:r>
      <w:r w:rsidR="00670838" w:rsidRPr="00B92144">
        <w:rPr>
          <w:rFonts w:asciiTheme="majorBidi" w:hAnsiTheme="majorBidi" w:cstheme="majorBidi"/>
          <w:sz w:val="24"/>
          <w:szCs w:val="24"/>
        </w:rPr>
        <w:t>to</w:t>
      </w:r>
      <w:r w:rsidR="003259D0" w:rsidRPr="00B92144">
        <w:rPr>
          <w:rFonts w:asciiTheme="majorBidi" w:hAnsiTheme="majorBidi" w:cstheme="majorBidi"/>
          <w:sz w:val="24"/>
          <w:szCs w:val="24"/>
        </w:rPr>
        <w:t xml:space="preserve"> any minimum risk disclosure requirements </w:t>
      </w:r>
      <w:r w:rsidR="00A658B9" w:rsidRPr="00B92144">
        <w:rPr>
          <w:rFonts w:asciiTheme="majorBidi" w:hAnsiTheme="majorBidi" w:cstheme="majorBidi"/>
          <w:sz w:val="24"/>
          <w:szCs w:val="24"/>
        </w:rPr>
        <w:t xml:space="preserve">to </w:t>
      </w:r>
      <w:r w:rsidR="003060CE" w:rsidRPr="00B92144">
        <w:rPr>
          <w:rFonts w:asciiTheme="majorBidi" w:hAnsiTheme="majorBidi" w:cstheme="majorBidi"/>
          <w:sz w:val="24"/>
          <w:szCs w:val="24"/>
        </w:rPr>
        <w:t>enhance</w:t>
      </w:r>
      <w:r w:rsidR="00A658B9" w:rsidRPr="00B92144">
        <w:rPr>
          <w:rFonts w:asciiTheme="majorBidi" w:hAnsiTheme="majorBidi" w:cstheme="majorBidi"/>
          <w:sz w:val="24"/>
          <w:szCs w:val="24"/>
        </w:rPr>
        <w:t xml:space="preserve"> their reputations and</w:t>
      </w:r>
      <w:r w:rsidR="003060CE" w:rsidRPr="00B92144">
        <w:rPr>
          <w:rFonts w:asciiTheme="majorBidi" w:hAnsiTheme="majorBidi" w:cstheme="majorBidi"/>
          <w:sz w:val="24"/>
          <w:szCs w:val="24"/>
        </w:rPr>
        <w:t xml:space="preserve"> widen their customer basis</w:t>
      </w:r>
      <w:r w:rsidR="003259D0" w:rsidRPr="00B92144">
        <w:rPr>
          <w:rFonts w:asciiTheme="majorBidi" w:hAnsiTheme="majorBidi" w:cstheme="majorBidi"/>
          <w:sz w:val="24"/>
          <w:szCs w:val="24"/>
        </w:rPr>
        <w:t xml:space="preserve">. </w:t>
      </w:r>
      <w:r w:rsidRPr="00B92144">
        <w:rPr>
          <w:rFonts w:asciiTheme="majorBidi" w:hAnsiTheme="majorBidi" w:cstheme="majorBidi"/>
          <w:color w:val="244061" w:themeColor="accent1" w:themeShade="80"/>
          <w:sz w:val="24"/>
          <w:szCs w:val="24"/>
        </w:rPr>
        <w:t xml:space="preserve">Chen and Roberts (2010) </w:t>
      </w:r>
      <w:r w:rsidR="003259D0" w:rsidRPr="00B92144">
        <w:rPr>
          <w:rFonts w:asciiTheme="majorBidi" w:hAnsiTheme="majorBidi" w:cstheme="majorBidi"/>
          <w:sz w:val="24"/>
          <w:szCs w:val="24"/>
        </w:rPr>
        <w:t>argue</w:t>
      </w:r>
      <w:r w:rsidRPr="00B92144">
        <w:rPr>
          <w:rFonts w:asciiTheme="majorBidi" w:hAnsiTheme="majorBidi" w:cstheme="majorBidi"/>
          <w:sz w:val="24"/>
          <w:szCs w:val="24"/>
        </w:rPr>
        <w:t xml:space="preserve"> </w:t>
      </w:r>
      <w:r w:rsidR="00670838" w:rsidRPr="00B92144">
        <w:rPr>
          <w:rFonts w:asciiTheme="majorBidi" w:hAnsiTheme="majorBidi" w:cstheme="majorBidi"/>
          <w:sz w:val="24"/>
          <w:szCs w:val="24"/>
        </w:rPr>
        <w:t>however,</w:t>
      </w:r>
      <w:r w:rsidR="003259D0"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that, </w:t>
      </w:r>
      <w:r w:rsidR="003259D0" w:rsidRPr="00B92144">
        <w:rPr>
          <w:rFonts w:asciiTheme="majorBidi" w:hAnsiTheme="majorBidi" w:cstheme="majorBidi"/>
          <w:sz w:val="24"/>
          <w:szCs w:val="24"/>
        </w:rPr>
        <w:t>despite its importance,</w:t>
      </w:r>
      <w:r w:rsidRPr="00B92144">
        <w:rPr>
          <w:rFonts w:asciiTheme="majorBidi" w:hAnsiTheme="majorBidi" w:cstheme="majorBidi"/>
          <w:sz w:val="24"/>
          <w:szCs w:val="24"/>
        </w:rPr>
        <w:t xml:space="preserve"> legitimacy theory has abstract </w:t>
      </w:r>
      <w:r w:rsidR="00670838" w:rsidRPr="00B92144">
        <w:rPr>
          <w:rFonts w:asciiTheme="majorBidi" w:hAnsiTheme="majorBidi" w:cstheme="majorBidi"/>
          <w:sz w:val="24"/>
          <w:szCs w:val="24"/>
        </w:rPr>
        <w:t>underpinnings, which</w:t>
      </w:r>
      <w:r w:rsidRPr="00B92144">
        <w:rPr>
          <w:rFonts w:asciiTheme="majorBidi" w:hAnsiTheme="majorBidi" w:cstheme="majorBidi"/>
          <w:sz w:val="24"/>
          <w:szCs w:val="24"/>
        </w:rPr>
        <w:t xml:space="preserve"> can be further operationalized using resource dependence theor</w:t>
      </w:r>
      <w:r w:rsidR="003259D0" w:rsidRPr="00B92144">
        <w:rPr>
          <w:rFonts w:asciiTheme="majorBidi" w:hAnsiTheme="majorBidi" w:cstheme="majorBidi"/>
          <w:sz w:val="24"/>
          <w:szCs w:val="24"/>
        </w:rPr>
        <w:t>y</w:t>
      </w:r>
      <w:r w:rsidRPr="00B92144">
        <w:rPr>
          <w:rFonts w:asciiTheme="majorBidi" w:hAnsiTheme="majorBidi" w:cstheme="majorBidi"/>
          <w:sz w:val="24"/>
          <w:szCs w:val="24"/>
        </w:rPr>
        <w:t>.</w:t>
      </w:r>
    </w:p>
    <w:p w14:paraId="6BA632E7" w14:textId="65381854" w:rsidR="002907F5" w:rsidRPr="00B92144" w:rsidRDefault="009C4002" w:rsidP="00670838">
      <w:pPr>
        <w:autoSpaceDE w:val="0"/>
        <w:autoSpaceDN w:val="0"/>
        <w:adjustRightInd w:val="0"/>
        <w:spacing w:before="120" w:after="0" w:line="360" w:lineRule="auto"/>
        <w:jc w:val="both"/>
        <w:rPr>
          <w:rFonts w:asciiTheme="majorBidi" w:hAnsiTheme="majorBidi" w:cstheme="majorBidi"/>
          <w:sz w:val="24"/>
          <w:szCs w:val="24"/>
        </w:rPr>
      </w:pPr>
      <w:r w:rsidRPr="00B92144">
        <w:rPr>
          <w:rFonts w:asciiTheme="majorBidi" w:hAnsiTheme="majorBidi" w:cstheme="majorBidi"/>
          <w:sz w:val="24"/>
          <w:szCs w:val="24"/>
        </w:rPr>
        <w:t>The r</w:t>
      </w:r>
      <w:r w:rsidR="003202FE" w:rsidRPr="00B92144">
        <w:rPr>
          <w:rFonts w:asciiTheme="majorBidi" w:hAnsiTheme="majorBidi" w:cstheme="majorBidi"/>
          <w:sz w:val="24"/>
          <w:szCs w:val="24"/>
        </w:rPr>
        <w:t>esource dependence theory</w:t>
      </w:r>
      <w:r w:rsidR="00951CA6" w:rsidRPr="00B92144">
        <w:rPr>
          <w:rFonts w:asciiTheme="majorBidi" w:hAnsiTheme="majorBidi" w:cstheme="majorBidi"/>
          <w:sz w:val="24"/>
          <w:szCs w:val="24"/>
        </w:rPr>
        <w:t xml:space="preserve"> is built upon a few </w:t>
      </w:r>
      <w:r w:rsidR="00760D7B" w:rsidRPr="00B92144">
        <w:rPr>
          <w:rFonts w:asciiTheme="majorBidi" w:hAnsiTheme="majorBidi" w:cstheme="majorBidi"/>
          <w:sz w:val="24"/>
          <w:szCs w:val="24"/>
        </w:rPr>
        <w:t>clear-cut</w:t>
      </w:r>
      <w:r w:rsidR="00951CA6" w:rsidRPr="00B92144">
        <w:rPr>
          <w:rFonts w:asciiTheme="majorBidi" w:hAnsiTheme="majorBidi" w:cstheme="majorBidi"/>
          <w:sz w:val="24"/>
          <w:szCs w:val="24"/>
        </w:rPr>
        <w:t xml:space="preserve"> principles. First, an organization needs important resources to survive, grow and pursue its strategies. Second, an organization </w:t>
      </w:r>
      <w:r w:rsidR="008F3B26" w:rsidRPr="00B92144">
        <w:rPr>
          <w:rFonts w:asciiTheme="majorBidi" w:hAnsiTheme="majorBidi" w:cstheme="majorBidi"/>
          <w:sz w:val="24"/>
          <w:szCs w:val="24"/>
        </w:rPr>
        <w:t>should compete</w:t>
      </w:r>
      <w:r w:rsidR="007E4E3F" w:rsidRPr="00B92144">
        <w:rPr>
          <w:rFonts w:asciiTheme="majorBidi" w:hAnsiTheme="majorBidi" w:cstheme="majorBidi"/>
          <w:sz w:val="24"/>
          <w:szCs w:val="24"/>
        </w:rPr>
        <w:t xml:space="preserve"> </w:t>
      </w:r>
      <w:r w:rsidR="008F3B26" w:rsidRPr="00B92144">
        <w:rPr>
          <w:rFonts w:asciiTheme="majorBidi" w:hAnsiTheme="majorBidi" w:cstheme="majorBidi"/>
          <w:sz w:val="24"/>
          <w:szCs w:val="24"/>
        </w:rPr>
        <w:t xml:space="preserve">to obtain </w:t>
      </w:r>
      <w:r w:rsidR="00717D2C" w:rsidRPr="00B92144">
        <w:rPr>
          <w:rFonts w:asciiTheme="majorBidi" w:hAnsiTheme="majorBidi" w:cstheme="majorBidi"/>
          <w:sz w:val="24"/>
          <w:szCs w:val="24"/>
        </w:rPr>
        <w:t xml:space="preserve">and control </w:t>
      </w:r>
      <w:r w:rsidR="008F3B26" w:rsidRPr="00B92144">
        <w:rPr>
          <w:rFonts w:asciiTheme="majorBidi" w:hAnsiTheme="majorBidi" w:cstheme="majorBidi"/>
          <w:sz w:val="24"/>
          <w:szCs w:val="24"/>
        </w:rPr>
        <w:t>these resources from its outside environment</w:t>
      </w:r>
      <w:r w:rsidR="00A637A9" w:rsidRPr="00B92144">
        <w:rPr>
          <w:rFonts w:asciiTheme="majorBidi" w:hAnsiTheme="majorBidi" w:cstheme="majorBidi"/>
          <w:sz w:val="24"/>
          <w:szCs w:val="24"/>
        </w:rPr>
        <w:t xml:space="preserve"> and from rivals</w:t>
      </w:r>
      <w:r w:rsidR="008F3B26" w:rsidRPr="00B92144">
        <w:rPr>
          <w:rFonts w:asciiTheme="majorBidi" w:hAnsiTheme="majorBidi" w:cstheme="majorBidi"/>
          <w:sz w:val="24"/>
          <w:szCs w:val="24"/>
        </w:rPr>
        <w:t>. Third, power</w:t>
      </w:r>
      <w:r w:rsidR="00760D7B" w:rsidRPr="00B92144">
        <w:rPr>
          <w:rFonts w:asciiTheme="majorBidi" w:hAnsiTheme="majorBidi" w:cstheme="majorBidi"/>
          <w:sz w:val="24"/>
          <w:szCs w:val="24"/>
        </w:rPr>
        <w:t xml:space="preserve"> (</w:t>
      </w:r>
      <w:r w:rsidR="005E6F56" w:rsidRPr="00B92144">
        <w:rPr>
          <w:rFonts w:asciiTheme="majorBidi" w:hAnsiTheme="majorBidi" w:cstheme="majorBidi"/>
          <w:sz w:val="24"/>
          <w:szCs w:val="24"/>
        </w:rPr>
        <w:t>Organizations possessing necessary resources</w:t>
      </w:r>
      <w:r w:rsidR="00760D7B" w:rsidRPr="00B92144">
        <w:rPr>
          <w:rFonts w:asciiTheme="majorBidi" w:hAnsiTheme="majorBidi" w:cstheme="majorBidi"/>
          <w:sz w:val="24"/>
          <w:szCs w:val="24"/>
        </w:rPr>
        <w:t>)</w:t>
      </w:r>
      <w:r w:rsidR="008F3B26" w:rsidRPr="00B92144">
        <w:rPr>
          <w:rFonts w:asciiTheme="majorBidi" w:hAnsiTheme="majorBidi" w:cstheme="majorBidi"/>
          <w:sz w:val="24"/>
          <w:szCs w:val="24"/>
        </w:rPr>
        <w:t xml:space="preserve"> and its inverse, dependence</w:t>
      </w:r>
      <w:r w:rsidR="00760D7B" w:rsidRPr="00B92144">
        <w:rPr>
          <w:rFonts w:asciiTheme="majorBidi" w:hAnsiTheme="majorBidi" w:cstheme="majorBidi"/>
          <w:sz w:val="24"/>
          <w:szCs w:val="24"/>
        </w:rPr>
        <w:t xml:space="preserve"> (</w:t>
      </w:r>
      <w:r w:rsidR="005E6F56" w:rsidRPr="00B92144">
        <w:rPr>
          <w:rFonts w:asciiTheme="majorBidi" w:hAnsiTheme="majorBidi" w:cstheme="majorBidi"/>
          <w:sz w:val="24"/>
          <w:szCs w:val="24"/>
        </w:rPr>
        <w:t>organizations depending on others for resources</w:t>
      </w:r>
      <w:r w:rsidR="00760D7B" w:rsidRPr="00B92144">
        <w:rPr>
          <w:rFonts w:asciiTheme="majorBidi" w:hAnsiTheme="majorBidi" w:cstheme="majorBidi"/>
          <w:sz w:val="24"/>
          <w:szCs w:val="24"/>
        </w:rPr>
        <w:t>)</w:t>
      </w:r>
      <w:r w:rsidR="008F3B26" w:rsidRPr="00B92144">
        <w:rPr>
          <w:rFonts w:asciiTheme="majorBidi" w:hAnsiTheme="majorBidi" w:cstheme="majorBidi"/>
          <w:sz w:val="24"/>
          <w:szCs w:val="24"/>
        </w:rPr>
        <w:t>, play key roles in understanding</w:t>
      </w:r>
      <w:r w:rsidR="005E6F56" w:rsidRPr="00B92144">
        <w:rPr>
          <w:rFonts w:asciiTheme="majorBidi" w:hAnsiTheme="majorBidi" w:cstheme="majorBidi"/>
          <w:sz w:val="24"/>
          <w:szCs w:val="24"/>
        </w:rPr>
        <w:t xml:space="preserve"> </w:t>
      </w:r>
      <w:r w:rsidR="008F3B26" w:rsidRPr="00B92144">
        <w:rPr>
          <w:rFonts w:asciiTheme="majorBidi" w:hAnsiTheme="majorBidi" w:cstheme="majorBidi"/>
          <w:sz w:val="24"/>
          <w:szCs w:val="24"/>
        </w:rPr>
        <w:t>inter</w:t>
      </w:r>
      <w:r w:rsidR="00670838" w:rsidRPr="00B92144">
        <w:rPr>
          <w:rFonts w:asciiTheme="majorBidi" w:hAnsiTheme="majorBidi" w:cstheme="majorBidi"/>
          <w:sz w:val="24"/>
          <w:szCs w:val="24"/>
        </w:rPr>
        <w:t>-</w:t>
      </w:r>
      <w:r w:rsidR="008F3B26" w:rsidRPr="00B92144">
        <w:rPr>
          <w:rFonts w:asciiTheme="majorBidi" w:hAnsiTheme="majorBidi" w:cstheme="majorBidi"/>
          <w:sz w:val="24"/>
          <w:szCs w:val="24"/>
        </w:rPr>
        <w:t>organi</w:t>
      </w:r>
      <w:r w:rsidR="00670838" w:rsidRPr="00B92144">
        <w:rPr>
          <w:rFonts w:asciiTheme="majorBidi" w:hAnsiTheme="majorBidi" w:cstheme="majorBidi"/>
          <w:sz w:val="24"/>
          <w:szCs w:val="24"/>
        </w:rPr>
        <w:t>z</w:t>
      </w:r>
      <w:r w:rsidR="008F3B26" w:rsidRPr="00B92144">
        <w:rPr>
          <w:rFonts w:asciiTheme="majorBidi" w:hAnsiTheme="majorBidi" w:cstheme="majorBidi"/>
          <w:sz w:val="24"/>
          <w:szCs w:val="24"/>
        </w:rPr>
        <w:t xml:space="preserve">ational relationships </w:t>
      </w:r>
      <w:r w:rsidR="009B67C6" w:rsidRPr="00B92144">
        <w:rPr>
          <w:rFonts w:asciiTheme="majorBidi" w:hAnsiTheme="majorBidi" w:cstheme="majorBidi"/>
          <w:sz w:val="24"/>
          <w:szCs w:val="24"/>
        </w:rPr>
        <w:t>[</w:t>
      </w:r>
      <w:r w:rsidR="008F3B26" w:rsidRPr="00B92144">
        <w:rPr>
          <w:rFonts w:asciiTheme="majorBidi" w:hAnsiTheme="majorBidi" w:cstheme="majorBidi"/>
          <w:color w:val="244061" w:themeColor="accent1" w:themeShade="80"/>
          <w:sz w:val="24"/>
          <w:szCs w:val="24"/>
        </w:rPr>
        <w:t>Pfeffer, 1972; Pfeffer &amp; Salancik, 1978, 2003</w:t>
      </w:r>
      <w:r w:rsidR="005E6F56" w:rsidRPr="00B92144">
        <w:rPr>
          <w:rFonts w:asciiTheme="majorBidi" w:hAnsiTheme="majorBidi" w:cstheme="majorBidi"/>
          <w:color w:val="244061" w:themeColor="accent1" w:themeShade="80"/>
          <w:sz w:val="24"/>
          <w:szCs w:val="24"/>
        </w:rPr>
        <w:t>; Malatesta &amp; Smith, 2014</w:t>
      </w:r>
      <w:r w:rsidR="009B67C6" w:rsidRPr="00B92144">
        <w:rPr>
          <w:rFonts w:asciiTheme="majorBidi" w:hAnsiTheme="majorBidi" w:cstheme="majorBidi"/>
          <w:sz w:val="24"/>
          <w:szCs w:val="24"/>
        </w:rPr>
        <w:t>]</w:t>
      </w:r>
      <w:r w:rsidR="008F3B26" w:rsidRPr="00B92144">
        <w:rPr>
          <w:rFonts w:asciiTheme="majorBidi" w:hAnsiTheme="majorBidi" w:cstheme="majorBidi"/>
          <w:sz w:val="24"/>
          <w:szCs w:val="24"/>
        </w:rPr>
        <w:t>.</w:t>
      </w:r>
      <w:r w:rsidR="005E6F56" w:rsidRPr="00B92144">
        <w:rPr>
          <w:rFonts w:asciiTheme="majorBidi" w:hAnsiTheme="majorBidi" w:cstheme="majorBidi"/>
          <w:sz w:val="24"/>
          <w:szCs w:val="24"/>
        </w:rPr>
        <w:t xml:space="preserve"> Such resources can</w:t>
      </w:r>
      <w:r w:rsidR="00B14CB8" w:rsidRPr="00B92144">
        <w:rPr>
          <w:rFonts w:asciiTheme="majorBidi" w:hAnsiTheme="majorBidi" w:cstheme="majorBidi"/>
          <w:sz w:val="24"/>
          <w:szCs w:val="24"/>
        </w:rPr>
        <w:t xml:space="preserve"> </w:t>
      </w:r>
      <w:r w:rsidR="005E6F56" w:rsidRPr="00B92144">
        <w:rPr>
          <w:rFonts w:asciiTheme="majorBidi" w:hAnsiTheme="majorBidi" w:cstheme="majorBidi"/>
          <w:sz w:val="24"/>
          <w:szCs w:val="24"/>
        </w:rPr>
        <w:t xml:space="preserve">be in the form of </w:t>
      </w:r>
      <w:r w:rsidR="00B14CB8" w:rsidRPr="00B92144">
        <w:rPr>
          <w:rFonts w:asciiTheme="majorBidi" w:hAnsiTheme="majorBidi" w:cstheme="majorBidi"/>
          <w:sz w:val="24"/>
          <w:szCs w:val="24"/>
        </w:rPr>
        <w:t xml:space="preserve">experienced labor, </w:t>
      </w:r>
      <w:r w:rsidR="00507711" w:rsidRPr="00B92144">
        <w:rPr>
          <w:rFonts w:asciiTheme="majorBidi" w:hAnsiTheme="majorBidi" w:cstheme="majorBidi"/>
          <w:sz w:val="24"/>
          <w:szCs w:val="24"/>
        </w:rPr>
        <w:t>financial funds</w:t>
      </w:r>
      <w:r w:rsidR="00B14CB8" w:rsidRPr="00B92144">
        <w:rPr>
          <w:rFonts w:asciiTheme="majorBidi" w:hAnsiTheme="majorBidi" w:cstheme="majorBidi"/>
          <w:sz w:val="24"/>
          <w:szCs w:val="24"/>
        </w:rPr>
        <w:t xml:space="preserve">, loyal customers, and reputation. According to this theory, banks might </w:t>
      </w:r>
      <w:r w:rsidR="005E6F56" w:rsidRPr="00B92144">
        <w:rPr>
          <w:rFonts w:asciiTheme="majorBidi" w:hAnsiTheme="majorBidi" w:cstheme="majorBidi"/>
          <w:sz w:val="24"/>
          <w:szCs w:val="24"/>
        </w:rPr>
        <w:t>rely on</w:t>
      </w:r>
      <w:r w:rsidR="00B14CB8" w:rsidRPr="00B92144">
        <w:rPr>
          <w:rFonts w:asciiTheme="majorBidi" w:hAnsiTheme="majorBidi" w:cstheme="majorBidi"/>
          <w:sz w:val="24"/>
          <w:szCs w:val="24"/>
        </w:rPr>
        <w:t xml:space="preserve"> risk disclosures as an effective tool </w:t>
      </w:r>
      <w:r w:rsidR="005E6F56" w:rsidRPr="00B92144">
        <w:rPr>
          <w:rFonts w:asciiTheme="majorBidi" w:hAnsiTheme="majorBidi" w:cstheme="majorBidi"/>
          <w:sz w:val="24"/>
          <w:szCs w:val="24"/>
        </w:rPr>
        <w:t xml:space="preserve">to raise capital at a </w:t>
      </w:r>
      <w:r w:rsidR="0012755B" w:rsidRPr="00B92144">
        <w:rPr>
          <w:rFonts w:asciiTheme="majorBidi" w:hAnsiTheme="majorBidi" w:cstheme="majorBidi"/>
          <w:sz w:val="24"/>
          <w:szCs w:val="24"/>
        </w:rPr>
        <w:t xml:space="preserve">cheaper </w:t>
      </w:r>
      <w:r w:rsidR="005E6F56" w:rsidRPr="00B92144">
        <w:rPr>
          <w:rFonts w:asciiTheme="majorBidi" w:hAnsiTheme="majorBidi" w:cstheme="majorBidi"/>
          <w:sz w:val="24"/>
          <w:szCs w:val="24"/>
        </w:rPr>
        <w:t xml:space="preserve">cost </w:t>
      </w:r>
      <w:r w:rsidR="0012755B" w:rsidRPr="00B92144">
        <w:rPr>
          <w:rFonts w:asciiTheme="majorBidi" w:hAnsiTheme="majorBidi" w:cstheme="majorBidi"/>
          <w:sz w:val="24"/>
          <w:szCs w:val="24"/>
        </w:rPr>
        <w:t xml:space="preserve">of capital </w:t>
      </w:r>
      <w:r w:rsidR="005E6F56" w:rsidRPr="00B92144">
        <w:rPr>
          <w:rFonts w:asciiTheme="majorBidi" w:hAnsiTheme="majorBidi" w:cstheme="majorBidi"/>
          <w:sz w:val="24"/>
          <w:szCs w:val="24"/>
        </w:rPr>
        <w:t xml:space="preserve">from the market </w:t>
      </w:r>
      <w:r w:rsidR="00507711" w:rsidRPr="00B92144">
        <w:rPr>
          <w:rFonts w:asciiTheme="majorBidi" w:hAnsiTheme="majorBidi" w:cstheme="majorBidi"/>
          <w:sz w:val="24"/>
          <w:szCs w:val="24"/>
        </w:rPr>
        <w:t xml:space="preserve">while </w:t>
      </w:r>
      <w:r w:rsidR="005E6F56" w:rsidRPr="00B92144">
        <w:rPr>
          <w:rFonts w:asciiTheme="majorBidi" w:hAnsiTheme="majorBidi" w:cstheme="majorBidi"/>
          <w:sz w:val="24"/>
          <w:szCs w:val="24"/>
        </w:rPr>
        <w:t>minimi</w:t>
      </w:r>
      <w:r w:rsidR="00515332" w:rsidRPr="00B92144">
        <w:rPr>
          <w:rFonts w:asciiTheme="majorBidi" w:hAnsiTheme="majorBidi" w:cstheme="majorBidi"/>
          <w:sz w:val="24"/>
          <w:szCs w:val="24"/>
        </w:rPr>
        <w:t>z</w:t>
      </w:r>
      <w:r w:rsidR="005E6F56" w:rsidRPr="00B92144">
        <w:rPr>
          <w:rFonts w:asciiTheme="majorBidi" w:hAnsiTheme="majorBidi" w:cstheme="majorBidi"/>
          <w:sz w:val="24"/>
          <w:szCs w:val="24"/>
        </w:rPr>
        <w:t xml:space="preserve">ing political costs through improved corporate image and reputation </w:t>
      </w:r>
      <w:r w:rsidR="009B67C6" w:rsidRPr="00B92144">
        <w:rPr>
          <w:rFonts w:asciiTheme="majorBidi" w:hAnsiTheme="majorBidi" w:cstheme="majorBidi"/>
          <w:sz w:val="24"/>
          <w:szCs w:val="24"/>
        </w:rPr>
        <w:t>[</w:t>
      </w:r>
      <w:r w:rsidR="005E6F56" w:rsidRPr="00B92144">
        <w:rPr>
          <w:rFonts w:asciiTheme="majorBidi" w:hAnsiTheme="majorBidi" w:cstheme="majorBidi"/>
          <w:color w:val="244061" w:themeColor="accent1" w:themeShade="80"/>
          <w:sz w:val="24"/>
          <w:szCs w:val="24"/>
        </w:rPr>
        <w:t>Pfeffer &amp; Salancik, 1978; Branco &amp; Rodrigues, 2006</w:t>
      </w:r>
      <w:r w:rsidR="00507711" w:rsidRPr="00B92144">
        <w:rPr>
          <w:rFonts w:asciiTheme="majorBidi" w:hAnsiTheme="majorBidi" w:cstheme="majorBidi"/>
          <w:color w:val="244061" w:themeColor="accent1" w:themeShade="80"/>
          <w:sz w:val="24"/>
          <w:szCs w:val="24"/>
        </w:rPr>
        <w:t xml:space="preserve">; </w:t>
      </w:r>
      <w:r w:rsidR="0047558A" w:rsidRPr="00B92144">
        <w:rPr>
          <w:rFonts w:asciiTheme="majorBidi" w:hAnsiTheme="majorBidi" w:cstheme="majorBidi"/>
          <w:color w:val="244061" w:themeColor="accent1" w:themeShade="80"/>
          <w:sz w:val="24"/>
          <w:szCs w:val="24"/>
        </w:rPr>
        <w:t>Oliveira, Rodrigues, &amp; Craig</w:t>
      </w:r>
      <w:r w:rsidR="00507711" w:rsidRPr="00B92144">
        <w:rPr>
          <w:rFonts w:asciiTheme="majorBidi" w:hAnsiTheme="majorBidi" w:cstheme="majorBidi"/>
          <w:color w:val="244061" w:themeColor="accent1" w:themeShade="80"/>
          <w:sz w:val="24"/>
          <w:szCs w:val="24"/>
        </w:rPr>
        <w:t>., 2011</w:t>
      </w:r>
      <w:r w:rsidR="0047558A" w:rsidRPr="00B92144">
        <w:rPr>
          <w:rFonts w:asciiTheme="majorBidi" w:hAnsiTheme="majorBidi" w:cstheme="majorBidi"/>
          <w:color w:val="244061" w:themeColor="accent1" w:themeShade="80"/>
          <w:sz w:val="24"/>
          <w:szCs w:val="24"/>
        </w:rPr>
        <w:t>b</w:t>
      </w:r>
      <w:r w:rsidR="00507711" w:rsidRPr="00B92144">
        <w:rPr>
          <w:rFonts w:asciiTheme="majorBidi" w:hAnsiTheme="majorBidi" w:cstheme="majorBidi"/>
          <w:color w:val="244061" w:themeColor="accent1" w:themeShade="80"/>
          <w:sz w:val="24"/>
          <w:szCs w:val="24"/>
        </w:rPr>
        <w:t>; Pirson &amp; Turnbull, 2011</w:t>
      </w:r>
      <w:r w:rsidR="009B67C6" w:rsidRPr="00B92144">
        <w:rPr>
          <w:rFonts w:asciiTheme="majorBidi" w:hAnsiTheme="majorBidi" w:cstheme="majorBidi"/>
          <w:sz w:val="24"/>
          <w:szCs w:val="24"/>
        </w:rPr>
        <w:t>]</w:t>
      </w:r>
      <w:r w:rsidR="005E6F56" w:rsidRPr="00B92144">
        <w:rPr>
          <w:rFonts w:asciiTheme="majorBidi" w:hAnsiTheme="majorBidi" w:cstheme="majorBidi"/>
          <w:sz w:val="24"/>
          <w:szCs w:val="24"/>
        </w:rPr>
        <w:t>.</w:t>
      </w:r>
    </w:p>
    <w:p w14:paraId="15B5E16F" w14:textId="1A29E3A9" w:rsidR="002672A5" w:rsidRPr="00B92144" w:rsidRDefault="00660270" w:rsidP="00A7568D">
      <w:pPr>
        <w:pStyle w:val="ListParagraph"/>
        <w:numPr>
          <w:ilvl w:val="1"/>
          <w:numId w:val="8"/>
        </w:numPr>
        <w:autoSpaceDE w:val="0"/>
        <w:autoSpaceDN w:val="0"/>
        <w:adjustRightInd w:val="0"/>
        <w:spacing w:before="120" w:after="120" w:line="360" w:lineRule="auto"/>
        <w:jc w:val="both"/>
        <w:rPr>
          <w:rFonts w:asciiTheme="majorBidi" w:hAnsiTheme="majorBidi" w:cstheme="majorBidi"/>
          <w:b/>
          <w:bCs/>
          <w:sz w:val="24"/>
          <w:szCs w:val="24"/>
        </w:rPr>
      </w:pPr>
      <w:r w:rsidRPr="00B92144">
        <w:rPr>
          <w:rFonts w:asciiTheme="majorBidi" w:hAnsiTheme="majorBidi" w:cstheme="majorBidi"/>
          <w:b/>
          <w:bCs/>
          <w:sz w:val="24"/>
          <w:szCs w:val="24"/>
        </w:rPr>
        <w:t>Islamic versus conventional banks</w:t>
      </w:r>
    </w:p>
    <w:p w14:paraId="5054A071" w14:textId="7C082CA0" w:rsidR="00D238A2" w:rsidRPr="00B92144" w:rsidRDefault="00B5516F" w:rsidP="0063545D">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The recent financial crisis </w:t>
      </w:r>
      <w:r w:rsidR="00774FB6" w:rsidRPr="00B92144">
        <w:rPr>
          <w:rFonts w:asciiTheme="majorBidi" w:hAnsiTheme="majorBidi" w:cstheme="majorBidi"/>
          <w:sz w:val="24"/>
          <w:szCs w:val="24"/>
        </w:rPr>
        <w:t>has dr</w:t>
      </w:r>
      <w:r w:rsidR="00626080" w:rsidRPr="00B92144">
        <w:rPr>
          <w:rFonts w:asciiTheme="majorBidi" w:hAnsiTheme="majorBidi" w:cstheme="majorBidi"/>
          <w:sz w:val="24"/>
          <w:szCs w:val="24"/>
        </w:rPr>
        <w:t>a</w:t>
      </w:r>
      <w:r w:rsidR="00774FB6" w:rsidRPr="00B92144">
        <w:rPr>
          <w:rFonts w:asciiTheme="majorBidi" w:hAnsiTheme="majorBidi" w:cstheme="majorBidi"/>
          <w:sz w:val="24"/>
          <w:szCs w:val="24"/>
        </w:rPr>
        <w:t>w</w:t>
      </w:r>
      <w:r w:rsidR="00626080" w:rsidRPr="00B92144">
        <w:rPr>
          <w:rFonts w:asciiTheme="majorBidi" w:hAnsiTheme="majorBidi" w:cstheme="majorBidi"/>
          <w:sz w:val="24"/>
          <w:szCs w:val="24"/>
        </w:rPr>
        <w:t>n</w:t>
      </w:r>
      <w:r w:rsidR="00774FB6" w:rsidRPr="00B92144">
        <w:rPr>
          <w:rFonts w:asciiTheme="majorBidi" w:hAnsiTheme="majorBidi" w:cstheme="majorBidi"/>
          <w:sz w:val="24"/>
          <w:szCs w:val="24"/>
        </w:rPr>
        <w:t xml:space="preserve"> the world’s attention to Islamic </w:t>
      </w:r>
      <w:r w:rsidR="00626080" w:rsidRPr="00B92144">
        <w:rPr>
          <w:rFonts w:asciiTheme="majorBidi" w:hAnsiTheme="majorBidi" w:cstheme="majorBidi"/>
          <w:sz w:val="24"/>
          <w:szCs w:val="24"/>
        </w:rPr>
        <w:t>banking</w:t>
      </w:r>
      <w:r w:rsidR="00C44519" w:rsidRPr="00B92144">
        <w:rPr>
          <w:rFonts w:asciiTheme="majorBidi" w:hAnsiTheme="majorBidi" w:cstheme="majorBidi"/>
          <w:color w:val="000000"/>
          <w:sz w:val="24"/>
          <w:szCs w:val="24"/>
        </w:rPr>
        <w:t xml:space="preserve">, </w:t>
      </w:r>
      <w:r w:rsidR="001F4BB4" w:rsidRPr="00B92144">
        <w:rPr>
          <w:rFonts w:asciiTheme="majorBidi" w:hAnsiTheme="majorBidi" w:cstheme="majorBidi"/>
          <w:sz w:val="24"/>
          <w:szCs w:val="24"/>
        </w:rPr>
        <w:t xml:space="preserve">which, unlike the conventional banking industry, has been </w:t>
      </w:r>
      <w:r w:rsidR="004E02F5" w:rsidRPr="00B92144">
        <w:rPr>
          <w:rFonts w:asciiTheme="majorBidi" w:hAnsiTheme="majorBidi" w:cstheme="majorBidi"/>
          <w:sz w:val="24"/>
          <w:szCs w:val="24"/>
        </w:rPr>
        <w:t>more resilient to shocks</w:t>
      </w:r>
      <w:r w:rsidR="001F4BB4" w:rsidRPr="00B92144">
        <w:rPr>
          <w:rFonts w:asciiTheme="majorBidi" w:hAnsiTheme="majorBidi" w:cstheme="majorBidi"/>
          <w:sz w:val="24"/>
          <w:szCs w:val="24"/>
        </w:rPr>
        <w:t xml:space="preserve"> (</w:t>
      </w:r>
      <w:r w:rsidR="001F4BB4" w:rsidRPr="00B92144">
        <w:rPr>
          <w:rFonts w:asciiTheme="majorBidi" w:hAnsiTheme="majorBidi" w:cstheme="majorBidi"/>
          <w:color w:val="244061" w:themeColor="accent1" w:themeShade="80"/>
          <w:sz w:val="24"/>
          <w:szCs w:val="24"/>
        </w:rPr>
        <w:t>Beck et al</w:t>
      </w:r>
      <w:r w:rsidR="0063545D" w:rsidRPr="00B92144">
        <w:rPr>
          <w:rFonts w:asciiTheme="majorBidi" w:hAnsiTheme="majorBidi" w:cstheme="majorBidi"/>
          <w:color w:val="244061" w:themeColor="accent1" w:themeShade="80"/>
          <w:sz w:val="24"/>
          <w:szCs w:val="24"/>
        </w:rPr>
        <w:t>.</w:t>
      </w:r>
      <w:r w:rsidR="001F4BB4" w:rsidRPr="00B92144">
        <w:rPr>
          <w:rFonts w:asciiTheme="majorBidi" w:hAnsiTheme="majorBidi" w:cstheme="majorBidi"/>
          <w:color w:val="244061" w:themeColor="accent1" w:themeShade="80"/>
          <w:sz w:val="24"/>
          <w:szCs w:val="24"/>
        </w:rPr>
        <w:t>, 2013</w:t>
      </w:r>
      <w:r w:rsidR="001F4BB4" w:rsidRPr="00B92144">
        <w:rPr>
          <w:rFonts w:asciiTheme="majorBidi" w:hAnsiTheme="majorBidi" w:cstheme="majorBidi"/>
          <w:sz w:val="24"/>
          <w:szCs w:val="24"/>
        </w:rPr>
        <w:t>).</w:t>
      </w:r>
      <w:r w:rsidR="004D737C" w:rsidRPr="00B92144">
        <w:rPr>
          <w:rFonts w:asciiTheme="majorBidi" w:hAnsiTheme="majorBidi" w:cstheme="majorBidi"/>
          <w:sz w:val="24"/>
          <w:szCs w:val="24"/>
        </w:rPr>
        <w:t xml:space="preserve"> </w:t>
      </w:r>
      <w:r w:rsidR="00E00C7A" w:rsidRPr="00B92144">
        <w:rPr>
          <w:rFonts w:asciiTheme="majorBidi" w:hAnsiTheme="majorBidi" w:cstheme="majorBidi"/>
          <w:color w:val="000000"/>
          <w:sz w:val="24"/>
          <w:szCs w:val="24"/>
        </w:rPr>
        <w:t>In</w:t>
      </w:r>
      <w:r w:rsidR="009A7B0B" w:rsidRPr="00B92144">
        <w:rPr>
          <w:rFonts w:asciiTheme="majorBidi" w:hAnsiTheme="majorBidi" w:cstheme="majorBidi"/>
          <w:color w:val="000000"/>
          <w:sz w:val="24"/>
          <w:szCs w:val="24"/>
        </w:rPr>
        <w:t xml:space="preserve"> recognition of the growing i</w:t>
      </w:r>
      <w:r w:rsidR="00E00C7A" w:rsidRPr="00B92144">
        <w:rPr>
          <w:rFonts w:asciiTheme="majorBidi" w:hAnsiTheme="majorBidi" w:cstheme="majorBidi"/>
          <w:color w:val="000000"/>
          <w:sz w:val="24"/>
          <w:szCs w:val="24"/>
        </w:rPr>
        <w:t>nterest</w:t>
      </w:r>
      <w:r w:rsidR="009A7B0B" w:rsidRPr="00B92144">
        <w:rPr>
          <w:rFonts w:asciiTheme="majorBidi" w:hAnsiTheme="majorBidi" w:cstheme="majorBidi"/>
          <w:color w:val="000000"/>
          <w:sz w:val="24"/>
          <w:szCs w:val="24"/>
        </w:rPr>
        <w:t xml:space="preserve"> </w:t>
      </w:r>
      <w:r w:rsidR="00E00C7A" w:rsidRPr="00B92144">
        <w:rPr>
          <w:rFonts w:asciiTheme="majorBidi" w:hAnsiTheme="majorBidi" w:cstheme="majorBidi"/>
          <w:color w:val="000000"/>
          <w:sz w:val="24"/>
          <w:szCs w:val="24"/>
        </w:rPr>
        <w:t>in</w:t>
      </w:r>
      <w:r w:rsidR="009A7B0B" w:rsidRPr="00B92144">
        <w:rPr>
          <w:rFonts w:asciiTheme="majorBidi" w:hAnsiTheme="majorBidi" w:cstheme="majorBidi"/>
          <w:color w:val="000000"/>
          <w:sz w:val="24"/>
          <w:szCs w:val="24"/>
        </w:rPr>
        <w:t xml:space="preserve"> Islamic finance, many key financial institutions worldwide revamped their conventional products as </w:t>
      </w:r>
      <w:r w:rsidR="009A7B0B" w:rsidRPr="00B92144">
        <w:rPr>
          <w:rFonts w:asciiTheme="majorBidi" w:hAnsiTheme="majorBidi" w:cstheme="majorBidi"/>
          <w:i/>
          <w:iCs/>
          <w:color w:val="000000"/>
          <w:sz w:val="24"/>
          <w:szCs w:val="24"/>
        </w:rPr>
        <w:t>Sharia</w:t>
      </w:r>
      <w:r w:rsidR="009A7B0B" w:rsidRPr="00B92144">
        <w:rPr>
          <w:rFonts w:asciiTheme="majorBidi" w:hAnsiTheme="majorBidi" w:cstheme="majorBidi"/>
          <w:color w:val="000000"/>
          <w:sz w:val="24"/>
          <w:szCs w:val="24"/>
        </w:rPr>
        <w:t>-compliant products</w:t>
      </w:r>
      <w:r w:rsidR="004A2FD7" w:rsidRPr="00B92144">
        <w:rPr>
          <w:rFonts w:asciiTheme="majorBidi" w:hAnsiTheme="majorBidi" w:cstheme="majorBidi"/>
          <w:color w:val="000000"/>
          <w:sz w:val="24"/>
          <w:szCs w:val="24"/>
        </w:rPr>
        <w:t xml:space="preserve"> (</w:t>
      </w:r>
      <w:r w:rsidR="004A2FD7" w:rsidRPr="00B92144">
        <w:rPr>
          <w:rFonts w:asciiTheme="majorBidi" w:hAnsiTheme="majorBidi" w:cstheme="majorBidi"/>
          <w:color w:val="244061" w:themeColor="accent1" w:themeShade="80"/>
          <w:sz w:val="24"/>
          <w:szCs w:val="24"/>
        </w:rPr>
        <w:t>Nasr, 2011</w:t>
      </w:r>
      <w:r w:rsidR="004A2FD7" w:rsidRPr="00B92144">
        <w:rPr>
          <w:rFonts w:asciiTheme="majorBidi" w:hAnsiTheme="majorBidi" w:cstheme="majorBidi"/>
          <w:color w:val="000000"/>
          <w:sz w:val="24"/>
          <w:szCs w:val="24"/>
        </w:rPr>
        <w:t>)</w:t>
      </w:r>
      <w:r w:rsidR="009A7B0B" w:rsidRPr="00B92144">
        <w:rPr>
          <w:rFonts w:asciiTheme="majorBidi" w:hAnsiTheme="majorBidi" w:cstheme="majorBidi"/>
          <w:color w:val="000000"/>
          <w:sz w:val="24"/>
          <w:szCs w:val="24"/>
        </w:rPr>
        <w:t>.</w:t>
      </w:r>
      <w:r w:rsidR="004D737C" w:rsidRPr="00B92144">
        <w:rPr>
          <w:rFonts w:asciiTheme="majorBidi" w:hAnsiTheme="majorBidi" w:cstheme="majorBidi"/>
          <w:color w:val="000000"/>
          <w:sz w:val="24"/>
          <w:szCs w:val="24"/>
        </w:rPr>
        <w:t xml:space="preserve"> </w:t>
      </w:r>
      <w:r w:rsidR="00E00C7A" w:rsidRPr="00B92144">
        <w:rPr>
          <w:rFonts w:asciiTheme="majorBidi" w:hAnsiTheme="majorBidi" w:cstheme="majorBidi"/>
          <w:sz w:val="24"/>
          <w:szCs w:val="24"/>
        </w:rPr>
        <w:t xml:space="preserve">As between 2009 and </w:t>
      </w:r>
      <w:r w:rsidR="00E00C7A" w:rsidRPr="00B92144">
        <w:rPr>
          <w:rFonts w:asciiTheme="majorBidi" w:hAnsiTheme="majorBidi" w:cstheme="majorBidi"/>
          <w:sz w:val="24"/>
          <w:szCs w:val="24"/>
        </w:rPr>
        <w:lastRenderedPageBreak/>
        <w:t xml:space="preserve">2016, total assets in Sharia-compliant financial institutions have jumped to US$2.293 trillion with a significant growth potential of at least </w:t>
      </w:r>
      <w:r w:rsidR="00E00C7A" w:rsidRPr="00B92144">
        <w:rPr>
          <w:rFonts w:asciiTheme="majorBidi" w:eastAsia="Times New Roman" w:hAnsiTheme="majorBidi" w:cstheme="majorBidi"/>
          <w:color w:val="231F20"/>
          <w:sz w:val="24"/>
          <w:szCs w:val="24"/>
          <w:lang w:eastAsia="fr-FR"/>
        </w:rPr>
        <w:t>10% annually.</w:t>
      </w:r>
      <w:r w:rsidR="004A2FD7" w:rsidRPr="00B92144">
        <w:rPr>
          <w:rFonts w:asciiTheme="majorBidi" w:hAnsiTheme="majorBidi" w:cstheme="majorBidi"/>
          <w:color w:val="000000"/>
          <w:sz w:val="24"/>
          <w:szCs w:val="24"/>
        </w:rPr>
        <w:t xml:space="preserve"> Several factors have contributed to </w:t>
      </w:r>
      <w:r w:rsidR="006E76DE" w:rsidRPr="00B92144">
        <w:rPr>
          <w:rFonts w:asciiTheme="majorBidi" w:hAnsiTheme="majorBidi" w:cstheme="majorBidi"/>
          <w:color w:val="000000"/>
          <w:sz w:val="24"/>
          <w:szCs w:val="24"/>
        </w:rPr>
        <w:t>such</w:t>
      </w:r>
      <w:r w:rsidR="004A2FD7" w:rsidRPr="00B92144">
        <w:rPr>
          <w:rFonts w:asciiTheme="majorBidi" w:hAnsiTheme="majorBidi" w:cstheme="majorBidi"/>
          <w:color w:val="000000"/>
          <w:sz w:val="24"/>
          <w:szCs w:val="24"/>
        </w:rPr>
        <w:t xml:space="preserve"> </w:t>
      </w:r>
      <w:r w:rsidR="008F72C1" w:rsidRPr="00B92144">
        <w:rPr>
          <w:rFonts w:asciiTheme="majorBidi" w:hAnsiTheme="majorBidi" w:cstheme="majorBidi"/>
          <w:color w:val="000000"/>
          <w:sz w:val="24"/>
          <w:szCs w:val="24"/>
        </w:rPr>
        <w:t>substantial</w:t>
      </w:r>
      <w:r w:rsidR="004A2FD7" w:rsidRPr="00B92144">
        <w:rPr>
          <w:rFonts w:asciiTheme="majorBidi" w:hAnsiTheme="majorBidi" w:cstheme="majorBidi"/>
          <w:color w:val="000000"/>
          <w:sz w:val="24"/>
          <w:szCs w:val="24"/>
        </w:rPr>
        <w:t xml:space="preserve"> growth, </w:t>
      </w:r>
      <w:r w:rsidR="008F72C1" w:rsidRPr="00B92144">
        <w:rPr>
          <w:rFonts w:asciiTheme="majorBidi" w:hAnsiTheme="majorBidi" w:cstheme="majorBidi"/>
          <w:color w:val="000000"/>
          <w:sz w:val="24"/>
          <w:szCs w:val="24"/>
        </w:rPr>
        <w:t xml:space="preserve">mainly its inherent financial stability </w:t>
      </w:r>
      <w:r w:rsidR="006E76DE" w:rsidRPr="00B92144">
        <w:rPr>
          <w:rFonts w:asciiTheme="majorBidi" w:hAnsiTheme="majorBidi" w:cstheme="majorBidi"/>
          <w:color w:val="000000"/>
          <w:sz w:val="24"/>
          <w:szCs w:val="24"/>
        </w:rPr>
        <w:t>since</w:t>
      </w:r>
      <w:r w:rsidR="004A2FD7" w:rsidRPr="00B92144">
        <w:rPr>
          <w:rFonts w:asciiTheme="majorBidi" w:hAnsiTheme="majorBidi" w:cstheme="majorBidi"/>
          <w:color w:val="000000"/>
          <w:sz w:val="24"/>
          <w:szCs w:val="24"/>
        </w:rPr>
        <w:t xml:space="preserve"> </w:t>
      </w:r>
      <w:r w:rsidR="006E76DE" w:rsidRPr="00B92144">
        <w:rPr>
          <w:rFonts w:asciiTheme="majorBidi" w:hAnsiTheme="majorBidi" w:cstheme="majorBidi"/>
          <w:color w:val="000000"/>
          <w:sz w:val="24"/>
          <w:szCs w:val="24"/>
        </w:rPr>
        <w:t>Islamic banks</w:t>
      </w:r>
      <w:r w:rsidR="004A2FD7" w:rsidRPr="00B92144">
        <w:rPr>
          <w:rFonts w:asciiTheme="majorBidi" w:hAnsiTheme="majorBidi" w:cstheme="majorBidi"/>
          <w:color w:val="000000"/>
          <w:sz w:val="24"/>
          <w:szCs w:val="24"/>
        </w:rPr>
        <w:t xml:space="preserve"> </w:t>
      </w:r>
      <w:r w:rsidR="008F72C1" w:rsidRPr="00B92144">
        <w:rPr>
          <w:rFonts w:asciiTheme="majorBidi" w:hAnsiTheme="majorBidi" w:cstheme="majorBidi"/>
          <w:color w:val="000000"/>
          <w:sz w:val="24"/>
          <w:szCs w:val="24"/>
        </w:rPr>
        <w:t>prohibit</w:t>
      </w:r>
      <w:r w:rsidR="004A2FD7" w:rsidRPr="00B92144">
        <w:rPr>
          <w:rFonts w:asciiTheme="majorBidi" w:hAnsiTheme="majorBidi" w:cstheme="majorBidi"/>
          <w:color w:val="000000"/>
          <w:sz w:val="24"/>
          <w:szCs w:val="24"/>
        </w:rPr>
        <w:t xml:space="preserve"> interest and interest</w:t>
      </w:r>
      <w:r w:rsidR="008F72C1" w:rsidRPr="00B92144">
        <w:rPr>
          <w:rFonts w:asciiTheme="majorBidi" w:hAnsiTheme="majorBidi" w:cstheme="majorBidi"/>
          <w:color w:val="000000"/>
          <w:sz w:val="24"/>
          <w:szCs w:val="24"/>
        </w:rPr>
        <w:t>-</w:t>
      </w:r>
      <w:r w:rsidR="004A2FD7" w:rsidRPr="00B92144">
        <w:rPr>
          <w:rFonts w:asciiTheme="majorBidi" w:hAnsiTheme="majorBidi" w:cstheme="majorBidi"/>
          <w:color w:val="000000"/>
          <w:sz w:val="24"/>
          <w:szCs w:val="24"/>
        </w:rPr>
        <w:t>based assets, focus on equity as opposed to debt, and restrict speculation</w:t>
      </w:r>
      <w:r w:rsidR="008F72C1" w:rsidRPr="00B92144">
        <w:rPr>
          <w:rFonts w:asciiTheme="majorBidi" w:hAnsiTheme="majorBidi" w:cstheme="majorBidi"/>
          <w:color w:val="000000"/>
          <w:sz w:val="24"/>
          <w:szCs w:val="24"/>
        </w:rPr>
        <w:t>.</w:t>
      </w:r>
      <w:r w:rsidR="002B3C67" w:rsidRPr="00B92144">
        <w:rPr>
          <w:rFonts w:asciiTheme="majorBidi" w:hAnsiTheme="majorBidi" w:cstheme="majorBidi"/>
          <w:color w:val="000000"/>
          <w:sz w:val="24"/>
          <w:szCs w:val="24"/>
        </w:rPr>
        <w:t xml:space="preserve"> Indeed, Sharia- compliant banks differ from their conventional counterparts in several ways.</w:t>
      </w:r>
      <w:r w:rsidR="00A273B5" w:rsidRPr="00B92144">
        <w:rPr>
          <w:rFonts w:asciiTheme="majorBidi" w:hAnsiTheme="majorBidi" w:cstheme="majorBidi"/>
          <w:color w:val="000000"/>
          <w:sz w:val="24"/>
          <w:szCs w:val="24"/>
        </w:rPr>
        <w:t xml:space="preserve"> </w:t>
      </w:r>
      <w:r w:rsidR="006E76DE" w:rsidRPr="00B92144">
        <w:rPr>
          <w:rFonts w:asciiTheme="majorBidi" w:hAnsiTheme="majorBidi" w:cstheme="majorBidi"/>
          <w:sz w:val="24"/>
          <w:szCs w:val="24"/>
        </w:rPr>
        <w:t>Islamic banks are guided by the rules of Islamic law whereby the primary goal</w:t>
      </w:r>
      <w:r w:rsidR="009A731A" w:rsidRPr="00B92144">
        <w:rPr>
          <w:rFonts w:asciiTheme="majorBidi" w:hAnsiTheme="majorBidi" w:cstheme="majorBidi"/>
          <w:sz w:val="24"/>
          <w:szCs w:val="24"/>
        </w:rPr>
        <w:t>s</w:t>
      </w:r>
      <w:r w:rsidR="006E76DE" w:rsidRPr="00B92144">
        <w:rPr>
          <w:rFonts w:asciiTheme="majorBidi" w:hAnsiTheme="majorBidi" w:cstheme="majorBidi"/>
          <w:sz w:val="24"/>
          <w:szCs w:val="24"/>
        </w:rPr>
        <w:t xml:space="preserve"> are to ensure wealth sharing, general well-being and justice, principles that often conflict with the free market focus on profit maximization (</w:t>
      </w:r>
      <w:r w:rsidR="006E76DE" w:rsidRPr="00B92144">
        <w:rPr>
          <w:rFonts w:asciiTheme="majorBidi" w:hAnsiTheme="majorBidi" w:cstheme="majorBidi"/>
          <w:color w:val="244061" w:themeColor="accent1" w:themeShade="80"/>
          <w:sz w:val="24"/>
          <w:szCs w:val="24"/>
        </w:rPr>
        <w:t>Rahman</w:t>
      </w:r>
      <w:r w:rsidR="00C8180A" w:rsidRPr="00B92144">
        <w:rPr>
          <w:rFonts w:asciiTheme="majorBidi" w:hAnsiTheme="majorBidi" w:cstheme="majorBidi"/>
          <w:color w:val="244061" w:themeColor="accent1" w:themeShade="80"/>
          <w:sz w:val="24"/>
          <w:szCs w:val="24"/>
        </w:rPr>
        <w:t xml:space="preserve"> &amp;</w:t>
      </w:r>
      <w:r w:rsidR="00C8180A" w:rsidRPr="00B92144">
        <w:rPr>
          <w:rFonts w:asciiTheme="majorBidi" w:hAnsiTheme="majorBidi" w:cstheme="majorBidi"/>
          <w:color w:val="244061" w:themeColor="accent1" w:themeShade="80"/>
          <w:sz w:val="20"/>
          <w:szCs w:val="20"/>
        </w:rPr>
        <w:t xml:space="preserve"> Salehnejad</w:t>
      </w:r>
      <w:r w:rsidR="006E76DE" w:rsidRPr="00B92144">
        <w:rPr>
          <w:rFonts w:asciiTheme="majorBidi" w:hAnsiTheme="majorBidi" w:cstheme="majorBidi"/>
          <w:color w:val="244061" w:themeColor="accent1" w:themeShade="80"/>
          <w:sz w:val="24"/>
          <w:szCs w:val="24"/>
        </w:rPr>
        <w:t>, 200</w:t>
      </w:r>
      <w:r w:rsidR="00C8180A" w:rsidRPr="00B92144">
        <w:rPr>
          <w:rFonts w:asciiTheme="majorBidi" w:hAnsiTheme="majorBidi" w:cstheme="majorBidi"/>
          <w:color w:val="244061" w:themeColor="accent1" w:themeShade="80"/>
          <w:sz w:val="24"/>
          <w:szCs w:val="24"/>
        </w:rPr>
        <w:t>5</w:t>
      </w:r>
      <w:r w:rsidR="006E76DE" w:rsidRPr="00B92144">
        <w:rPr>
          <w:rFonts w:asciiTheme="majorBidi" w:hAnsiTheme="majorBidi" w:cstheme="majorBidi"/>
          <w:sz w:val="24"/>
          <w:szCs w:val="24"/>
        </w:rPr>
        <w:t>).</w:t>
      </w:r>
      <w:r w:rsidR="009A731A" w:rsidRPr="00B92144">
        <w:rPr>
          <w:rFonts w:asciiTheme="majorBidi" w:hAnsiTheme="majorBidi" w:cstheme="majorBidi"/>
          <w:sz w:val="24"/>
          <w:szCs w:val="24"/>
        </w:rPr>
        <w:t xml:space="preserve"> </w:t>
      </w:r>
      <w:r w:rsidR="00202137" w:rsidRPr="00B92144">
        <w:rPr>
          <w:rFonts w:asciiTheme="majorBidi" w:hAnsiTheme="majorBidi" w:cstheme="majorBidi"/>
          <w:sz w:val="24"/>
          <w:szCs w:val="24"/>
        </w:rPr>
        <w:t xml:space="preserve">This legal context is naturally conservative in that it inflicts </w:t>
      </w:r>
      <w:r w:rsidR="00163E13" w:rsidRPr="00B92144">
        <w:rPr>
          <w:rFonts w:asciiTheme="majorBidi" w:hAnsiTheme="majorBidi" w:cstheme="majorBidi"/>
          <w:sz w:val="24"/>
          <w:szCs w:val="24"/>
        </w:rPr>
        <w:t>restriction</w:t>
      </w:r>
      <w:r w:rsidR="00202137" w:rsidRPr="00B92144">
        <w:rPr>
          <w:rFonts w:asciiTheme="majorBidi" w:hAnsiTheme="majorBidi" w:cstheme="majorBidi"/>
          <w:sz w:val="24"/>
          <w:szCs w:val="24"/>
        </w:rPr>
        <w:t xml:space="preserve">s on Islamic </w:t>
      </w:r>
      <w:r w:rsidR="003D2B82" w:rsidRPr="00B92144">
        <w:rPr>
          <w:rFonts w:asciiTheme="majorBidi" w:hAnsiTheme="majorBidi" w:cstheme="majorBidi"/>
          <w:sz w:val="24"/>
          <w:szCs w:val="24"/>
        </w:rPr>
        <w:t>banks</w:t>
      </w:r>
      <w:r w:rsidR="00202137" w:rsidRPr="00B92144">
        <w:rPr>
          <w:rFonts w:asciiTheme="majorBidi" w:hAnsiTheme="majorBidi" w:cstheme="majorBidi"/>
          <w:sz w:val="24"/>
          <w:szCs w:val="24"/>
        </w:rPr>
        <w:t xml:space="preserve"> that conventional </w:t>
      </w:r>
      <w:r w:rsidR="003D2B82" w:rsidRPr="00B92144">
        <w:rPr>
          <w:rFonts w:asciiTheme="majorBidi" w:hAnsiTheme="majorBidi" w:cstheme="majorBidi"/>
          <w:sz w:val="24"/>
          <w:szCs w:val="24"/>
        </w:rPr>
        <w:t>banks</w:t>
      </w:r>
      <w:r w:rsidR="00202137" w:rsidRPr="00B92144">
        <w:rPr>
          <w:rFonts w:asciiTheme="majorBidi" w:hAnsiTheme="majorBidi" w:cstheme="majorBidi"/>
          <w:sz w:val="24"/>
          <w:szCs w:val="24"/>
        </w:rPr>
        <w:t xml:space="preserve"> are not subject to (</w:t>
      </w:r>
      <w:r w:rsidR="00202137" w:rsidRPr="00B92144">
        <w:rPr>
          <w:rFonts w:asciiTheme="majorBidi" w:hAnsiTheme="majorBidi" w:cstheme="majorBidi"/>
          <w:color w:val="244061" w:themeColor="accent1" w:themeShade="80"/>
          <w:sz w:val="24"/>
          <w:szCs w:val="24"/>
        </w:rPr>
        <w:t>Abdallah</w:t>
      </w:r>
      <w:r w:rsidR="0063545D" w:rsidRPr="00B92144">
        <w:rPr>
          <w:rFonts w:asciiTheme="majorBidi" w:hAnsiTheme="majorBidi" w:cstheme="majorBidi"/>
          <w:color w:val="244061" w:themeColor="accent1" w:themeShade="80"/>
          <w:sz w:val="24"/>
          <w:szCs w:val="24"/>
        </w:rPr>
        <w:t>,</w:t>
      </w:r>
      <w:r w:rsidR="00202137" w:rsidRPr="00B92144">
        <w:rPr>
          <w:rFonts w:asciiTheme="majorBidi" w:hAnsiTheme="majorBidi" w:cstheme="majorBidi"/>
          <w:color w:val="244061" w:themeColor="accent1" w:themeShade="80"/>
          <w:sz w:val="24"/>
          <w:szCs w:val="24"/>
        </w:rPr>
        <w:t xml:space="preserve"> </w:t>
      </w:r>
      <w:r w:rsidR="0063545D" w:rsidRPr="00B92144">
        <w:rPr>
          <w:rFonts w:asciiTheme="majorBidi" w:hAnsiTheme="majorBidi" w:cstheme="majorBidi"/>
          <w:color w:val="244061" w:themeColor="accent1" w:themeShade="80"/>
          <w:sz w:val="24"/>
          <w:szCs w:val="24"/>
        </w:rPr>
        <w:t>Hassan, and McClelland</w:t>
      </w:r>
      <w:r w:rsidR="00202137" w:rsidRPr="00B92144">
        <w:rPr>
          <w:rFonts w:asciiTheme="majorBidi" w:hAnsiTheme="majorBidi" w:cstheme="majorBidi"/>
          <w:color w:val="244061" w:themeColor="accent1" w:themeShade="80"/>
          <w:sz w:val="24"/>
          <w:szCs w:val="24"/>
        </w:rPr>
        <w:t>, 2015</w:t>
      </w:r>
      <w:r w:rsidR="00202137" w:rsidRPr="00B92144">
        <w:rPr>
          <w:rFonts w:asciiTheme="majorBidi" w:hAnsiTheme="majorBidi" w:cstheme="majorBidi"/>
          <w:sz w:val="24"/>
          <w:szCs w:val="24"/>
        </w:rPr>
        <w:t xml:space="preserve">). </w:t>
      </w:r>
      <w:r w:rsidR="002A2147" w:rsidRPr="00B92144">
        <w:rPr>
          <w:rFonts w:asciiTheme="majorBidi" w:hAnsiTheme="majorBidi" w:cstheme="majorBidi"/>
          <w:sz w:val="24"/>
          <w:szCs w:val="24"/>
        </w:rPr>
        <w:t>On the one hand, t</w:t>
      </w:r>
      <w:r w:rsidR="000E4EB0" w:rsidRPr="00B92144">
        <w:rPr>
          <w:rFonts w:asciiTheme="majorBidi" w:hAnsiTheme="majorBidi" w:cstheme="majorBidi"/>
          <w:sz w:val="24"/>
          <w:szCs w:val="24"/>
        </w:rPr>
        <w:t xml:space="preserve">here </w:t>
      </w:r>
      <w:r w:rsidR="002A2147" w:rsidRPr="00B92144">
        <w:rPr>
          <w:rFonts w:asciiTheme="majorBidi" w:hAnsiTheme="majorBidi" w:cstheme="majorBidi"/>
          <w:sz w:val="24"/>
          <w:szCs w:val="24"/>
        </w:rPr>
        <w:t>are prohibitions</w:t>
      </w:r>
      <w:r w:rsidR="000E4EB0" w:rsidRPr="00B92144">
        <w:rPr>
          <w:rFonts w:asciiTheme="majorBidi" w:hAnsiTheme="majorBidi" w:cstheme="majorBidi"/>
          <w:sz w:val="24"/>
          <w:szCs w:val="24"/>
        </w:rPr>
        <w:t xml:space="preserve"> on</w:t>
      </w:r>
      <w:r w:rsidR="002A2147" w:rsidRPr="00B92144">
        <w:rPr>
          <w:rFonts w:asciiTheme="majorBidi" w:hAnsiTheme="majorBidi" w:cstheme="majorBidi"/>
          <w:sz w:val="24"/>
          <w:szCs w:val="24"/>
        </w:rPr>
        <w:t>: (1) paying or receiving</w:t>
      </w:r>
      <w:r w:rsidR="000E4EB0" w:rsidRPr="00B92144">
        <w:rPr>
          <w:rFonts w:asciiTheme="majorBidi" w:hAnsiTheme="majorBidi" w:cstheme="majorBidi"/>
          <w:sz w:val="24"/>
          <w:szCs w:val="24"/>
        </w:rPr>
        <w:t xml:space="preserve"> riba (usury, defined as interest or excessive interest), </w:t>
      </w:r>
      <w:r w:rsidR="002A2147" w:rsidRPr="00B92144">
        <w:rPr>
          <w:rFonts w:asciiTheme="majorBidi" w:hAnsiTheme="majorBidi" w:cstheme="majorBidi"/>
          <w:sz w:val="24"/>
          <w:szCs w:val="24"/>
        </w:rPr>
        <w:t xml:space="preserve">(2) engaging in </w:t>
      </w:r>
      <w:r w:rsidR="000E4EB0" w:rsidRPr="00B92144">
        <w:rPr>
          <w:rFonts w:asciiTheme="majorBidi" w:hAnsiTheme="majorBidi" w:cstheme="majorBidi"/>
          <w:sz w:val="24"/>
          <w:szCs w:val="24"/>
        </w:rPr>
        <w:t xml:space="preserve">gharar (risk or uncertainty, </w:t>
      </w:r>
      <w:r w:rsidR="002A2147" w:rsidRPr="00B92144">
        <w:rPr>
          <w:rFonts w:asciiTheme="majorBidi" w:hAnsiTheme="majorBidi" w:cstheme="majorBidi"/>
          <w:sz w:val="24"/>
          <w:szCs w:val="24"/>
        </w:rPr>
        <w:t>known</w:t>
      </w:r>
      <w:r w:rsidR="000E4EB0" w:rsidRPr="00B92144">
        <w:rPr>
          <w:rFonts w:asciiTheme="majorBidi" w:hAnsiTheme="majorBidi" w:cstheme="majorBidi"/>
          <w:sz w:val="24"/>
          <w:szCs w:val="24"/>
        </w:rPr>
        <w:t xml:space="preserve"> as speculation), and </w:t>
      </w:r>
      <w:r w:rsidR="002A2147" w:rsidRPr="00B92144">
        <w:rPr>
          <w:rFonts w:asciiTheme="majorBidi" w:hAnsiTheme="majorBidi" w:cstheme="majorBidi"/>
          <w:sz w:val="24"/>
          <w:szCs w:val="24"/>
        </w:rPr>
        <w:t>(3)</w:t>
      </w:r>
      <w:r w:rsidR="000E4EB0" w:rsidRPr="00B92144">
        <w:rPr>
          <w:rFonts w:asciiTheme="majorBidi" w:hAnsiTheme="majorBidi" w:cstheme="majorBidi"/>
          <w:sz w:val="24"/>
          <w:szCs w:val="24"/>
        </w:rPr>
        <w:t xml:space="preserve"> </w:t>
      </w:r>
      <w:r w:rsidR="002A2147" w:rsidRPr="00B92144">
        <w:rPr>
          <w:rFonts w:asciiTheme="majorBidi" w:hAnsiTheme="majorBidi" w:cstheme="majorBidi"/>
          <w:sz w:val="24"/>
          <w:szCs w:val="24"/>
        </w:rPr>
        <w:t>funding</w:t>
      </w:r>
      <w:r w:rsidR="000E4EB0" w:rsidRPr="00B92144">
        <w:rPr>
          <w:rFonts w:asciiTheme="majorBidi" w:hAnsiTheme="majorBidi" w:cstheme="majorBidi"/>
          <w:sz w:val="24"/>
          <w:szCs w:val="24"/>
        </w:rPr>
        <w:t xml:space="preserve"> illicit sectors (</w:t>
      </w:r>
      <w:r w:rsidR="00202137" w:rsidRPr="00B92144">
        <w:rPr>
          <w:rFonts w:asciiTheme="majorBidi" w:hAnsiTheme="majorBidi" w:cstheme="majorBidi"/>
          <w:sz w:val="24"/>
          <w:szCs w:val="24"/>
        </w:rPr>
        <w:t xml:space="preserve">e.g. </w:t>
      </w:r>
      <w:r w:rsidR="000E4EB0" w:rsidRPr="00B92144">
        <w:rPr>
          <w:rFonts w:asciiTheme="majorBidi" w:hAnsiTheme="majorBidi" w:cstheme="majorBidi"/>
          <w:sz w:val="24"/>
          <w:szCs w:val="24"/>
        </w:rPr>
        <w:t>weapons, drugs</w:t>
      </w:r>
      <w:r w:rsidR="002A2147" w:rsidRPr="00B92144">
        <w:rPr>
          <w:rFonts w:asciiTheme="majorBidi" w:hAnsiTheme="majorBidi" w:cstheme="majorBidi"/>
          <w:sz w:val="24"/>
          <w:szCs w:val="24"/>
        </w:rPr>
        <w:t xml:space="preserve"> and</w:t>
      </w:r>
      <w:r w:rsidR="000E4EB0" w:rsidRPr="00B92144">
        <w:rPr>
          <w:rFonts w:asciiTheme="majorBidi" w:hAnsiTheme="majorBidi" w:cstheme="majorBidi"/>
          <w:sz w:val="24"/>
          <w:szCs w:val="24"/>
        </w:rPr>
        <w:t xml:space="preserve"> alcohol</w:t>
      </w:r>
      <w:r w:rsidR="002A2147" w:rsidRPr="00B92144">
        <w:rPr>
          <w:rFonts w:asciiTheme="majorBidi" w:hAnsiTheme="majorBidi" w:cstheme="majorBidi"/>
          <w:sz w:val="24"/>
          <w:szCs w:val="24"/>
        </w:rPr>
        <w:t>…etc.</w:t>
      </w:r>
      <w:r w:rsidR="000E4EB0" w:rsidRPr="00B92144">
        <w:rPr>
          <w:rFonts w:asciiTheme="majorBidi" w:hAnsiTheme="majorBidi" w:cstheme="majorBidi"/>
          <w:sz w:val="24"/>
          <w:szCs w:val="24"/>
        </w:rPr>
        <w:t xml:space="preserve">). On the other hand, </w:t>
      </w:r>
      <w:r w:rsidR="002A2147" w:rsidRPr="00B92144">
        <w:rPr>
          <w:rFonts w:asciiTheme="majorBidi" w:hAnsiTheme="majorBidi" w:cstheme="majorBidi"/>
          <w:sz w:val="24"/>
          <w:szCs w:val="24"/>
        </w:rPr>
        <w:t xml:space="preserve">Islamic </w:t>
      </w:r>
      <w:r w:rsidR="003D2B82" w:rsidRPr="00B92144">
        <w:rPr>
          <w:rFonts w:asciiTheme="majorBidi" w:hAnsiTheme="majorBidi" w:cstheme="majorBidi"/>
          <w:sz w:val="24"/>
          <w:szCs w:val="24"/>
        </w:rPr>
        <w:t>bank</w:t>
      </w:r>
      <w:r w:rsidR="002A2147" w:rsidRPr="00B92144">
        <w:rPr>
          <w:rFonts w:asciiTheme="majorBidi" w:hAnsiTheme="majorBidi" w:cstheme="majorBidi"/>
          <w:sz w:val="24"/>
          <w:szCs w:val="24"/>
        </w:rPr>
        <w:t>s rely on</w:t>
      </w:r>
      <w:r w:rsidR="000E4EB0" w:rsidRPr="00B92144">
        <w:rPr>
          <w:rFonts w:asciiTheme="majorBidi" w:hAnsiTheme="majorBidi" w:cstheme="majorBidi"/>
          <w:sz w:val="24"/>
          <w:szCs w:val="24"/>
        </w:rPr>
        <w:t xml:space="preserve"> the profit- and loss sharing </w:t>
      </w:r>
      <w:r w:rsidR="002A2147" w:rsidRPr="00B92144">
        <w:rPr>
          <w:rFonts w:asciiTheme="majorBidi" w:hAnsiTheme="majorBidi" w:cstheme="majorBidi"/>
          <w:sz w:val="24"/>
          <w:szCs w:val="24"/>
        </w:rPr>
        <w:t>system</w:t>
      </w:r>
      <w:r w:rsidR="00202137" w:rsidRPr="00B92144">
        <w:rPr>
          <w:rFonts w:asciiTheme="majorBidi" w:hAnsiTheme="majorBidi" w:cstheme="majorBidi"/>
          <w:sz w:val="24"/>
          <w:szCs w:val="24"/>
        </w:rPr>
        <w:t xml:space="preserve"> when funding debtors.</w:t>
      </w:r>
      <w:r w:rsidR="000E4EB0" w:rsidRPr="00B92144">
        <w:rPr>
          <w:rFonts w:asciiTheme="majorBidi" w:hAnsiTheme="majorBidi" w:cstheme="majorBidi"/>
          <w:sz w:val="24"/>
          <w:szCs w:val="24"/>
        </w:rPr>
        <w:t xml:space="preserve"> </w:t>
      </w:r>
      <w:r w:rsidR="00202137" w:rsidRPr="00B92144">
        <w:rPr>
          <w:rFonts w:asciiTheme="majorBidi" w:hAnsiTheme="majorBidi" w:cstheme="majorBidi"/>
          <w:sz w:val="24"/>
          <w:szCs w:val="24"/>
        </w:rPr>
        <w:t xml:space="preserve">They also </w:t>
      </w:r>
      <w:r w:rsidR="002A2147" w:rsidRPr="00B92144">
        <w:rPr>
          <w:rFonts w:asciiTheme="majorBidi" w:hAnsiTheme="majorBidi" w:cstheme="majorBidi"/>
          <w:sz w:val="24"/>
          <w:szCs w:val="24"/>
        </w:rPr>
        <w:t>require</w:t>
      </w:r>
      <w:r w:rsidR="000E4EB0" w:rsidRPr="00B92144">
        <w:rPr>
          <w:rFonts w:asciiTheme="majorBidi" w:hAnsiTheme="majorBidi" w:cstheme="majorBidi"/>
          <w:sz w:val="24"/>
          <w:szCs w:val="24"/>
        </w:rPr>
        <w:t xml:space="preserve"> that all transactions </w:t>
      </w:r>
      <w:r w:rsidR="002A2147" w:rsidRPr="00B92144">
        <w:rPr>
          <w:rFonts w:asciiTheme="majorBidi" w:hAnsiTheme="majorBidi" w:cstheme="majorBidi"/>
          <w:sz w:val="24"/>
          <w:szCs w:val="24"/>
        </w:rPr>
        <w:t>should</w:t>
      </w:r>
      <w:r w:rsidR="000E4EB0" w:rsidRPr="00B92144">
        <w:rPr>
          <w:rFonts w:asciiTheme="majorBidi" w:hAnsiTheme="majorBidi" w:cstheme="majorBidi"/>
          <w:sz w:val="24"/>
          <w:szCs w:val="24"/>
        </w:rPr>
        <w:t xml:space="preserve"> be </w:t>
      </w:r>
      <w:r w:rsidR="00FF115B" w:rsidRPr="00B92144">
        <w:rPr>
          <w:rFonts w:asciiTheme="majorBidi" w:hAnsiTheme="majorBidi" w:cstheme="majorBidi"/>
          <w:sz w:val="24"/>
          <w:szCs w:val="24"/>
        </w:rPr>
        <w:t>supported</w:t>
      </w:r>
      <w:r w:rsidR="000E4EB0" w:rsidRPr="00B92144">
        <w:rPr>
          <w:rFonts w:asciiTheme="majorBidi" w:hAnsiTheme="majorBidi" w:cstheme="majorBidi"/>
          <w:sz w:val="24"/>
          <w:szCs w:val="24"/>
        </w:rPr>
        <w:t xml:space="preserve"> by a real economic transaction that involves a tangible asset</w:t>
      </w:r>
      <w:r w:rsidR="002B3C67" w:rsidRPr="00B92144">
        <w:rPr>
          <w:rFonts w:asciiTheme="majorBidi" w:hAnsiTheme="majorBidi" w:cstheme="majorBidi"/>
          <w:sz w:val="24"/>
          <w:szCs w:val="24"/>
        </w:rPr>
        <w:t xml:space="preserve"> (</w:t>
      </w:r>
      <w:r w:rsidR="002B3C67" w:rsidRPr="00B92144">
        <w:rPr>
          <w:rFonts w:asciiTheme="majorBidi" w:hAnsiTheme="majorBidi" w:cstheme="majorBidi"/>
          <w:color w:val="244061" w:themeColor="accent1" w:themeShade="80"/>
          <w:sz w:val="24"/>
          <w:szCs w:val="24"/>
        </w:rPr>
        <w:t>Beck et al, 2013</w:t>
      </w:r>
      <w:r w:rsidR="002B3C67" w:rsidRPr="00B92144">
        <w:rPr>
          <w:rFonts w:asciiTheme="majorBidi" w:hAnsiTheme="majorBidi" w:cstheme="majorBidi"/>
          <w:sz w:val="24"/>
          <w:szCs w:val="24"/>
        </w:rPr>
        <w:t>)</w:t>
      </w:r>
      <w:r w:rsidR="000E4EB0" w:rsidRPr="00B92144">
        <w:rPr>
          <w:rFonts w:asciiTheme="majorBidi" w:hAnsiTheme="majorBidi" w:cstheme="majorBidi"/>
          <w:sz w:val="24"/>
          <w:szCs w:val="24"/>
        </w:rPr>
        <w:t>.</w:t>
      </w:r>
      <w:r w:rsidR="006E76DE" w:rsidRPr="00B92144">
        <w:rPr>
          <w:rFonts w:asciiTheme="majorBidi" w:hAnsiTheme="majorBidi" w:cstheme="majorBidi"/>
          <w:sz w:val="24"/>
          <w:szCs w:val="24"/>
        </w:rPr>
        <w:t xml:space="preserve"> </w:t>
      </w:r>
    </w:p>
    <w:p w14:paraId="5B8FE46A" w14:textId="64489A4E" w:rsidR="00A7568D" w:rsidRPr="00B92144" w:rsidRDefault="00202137" w:rsidP="00E75331">
      <w:pPr>
        <w:autoSpaceDE w:val="0"/>
        <w:autoSpaceDN w:val="0"/>
        <w:adjustRightInd w:val="0"/>
        <w:spacing w:after="0" w:line="360" w:lineRule="auto"/>
        <w:jc w:val="both"/>
        <w:rPr>
          <w:rFonts w:asciiTheme="majorBidi" w:hAnsiTheme="majorBidi" w:cstheme="majorBidi"/>
          <w:color w:val="000000"/>
          <w:sz w:val="24"/>
          <w:szCs w:val="24"/>
        </w:rPr>
      </w:pPr>
      <w:r w:rsidRPr="00B92144">
        <w:rPr>
          <w:rFonts w:asciiTheme="majorBidi" w:hAnsiTheme="majorBidi" w:cstheme="majorBidi"/>
          <w:sz w:val="24"/>
          <w:szCs w:val="24"/>
        </w:rPr>
        <w:t xml:space="preserve">Unlike </w:t>
      </w:r>
      <w:r w:rsidR="00987874" w:rsidRPr="00B92144">
        <w:rPr>
          <w:rFonts w:asciiTheme="majorBidi" w:hAnsiTheme="majorBidi" w:cstheme="majorBidi"/>
          <w:sz w:val="24"/>
          <w:szCs w:val="24"/>
        </w:rPr>
        <w:t xml:space="preserve">the </w:t>
      </w:r>
      <w:r w:rsidR="006A6EFA" w:rsidRPr="00B92144">
        <w:rPr>
          <w:rFonts w:asciiTheme="majorBidi" w:hAnsiTheme="majorBidi" w:cstheme="majorBidi"/>
          <w:sz w:val="24"/>
          <w:szCs w:val="24"/>
        </w:rPr>
        <w:t>sharia law system</w:t>
      </w:r>
      <w:r w:rsidR="00987874" w:rsidRPr="00B92144">
        <w:rPr>
          <w:rFonts w:asciiTheme="majorBidi" w:hAnsiTheme="majorBidi" w:cstheme="majorBidi"/>
          <w:sz w:val="24"/>
          <w:szCs w:val="24"/>
        </w:rPr>
        <w:t xml:space="preserve"> under which Islamic </w:t>
      </w:r>
      <w:r w:rsidRPr="00B92144">
        <w:rPr>
          <w:rFonts w:asciiTheme="majorBidi" w:hAnsiTheme="majorBidi" w:cstheme="majorBidi"/>
          <w:sz w:val="24"/>
          <w:szCs w:val="24"/>
        </w:rPr>
        <w:t>bank</w:t>
      </w:r>
      <w:r w:rsidR="00987874" w:rsidRPr="00B92144">
        <w:rPr>
          <w:rFonts w:asciiTheme="majorBidi" w:hAnsiTheme="majorBidi" w:cstheme="majorBidi"/>
          <w:sz w:val="24"/>
          <w:szCs w:val="24"/>
        </w:rPr>
        <w:t>s operate, conve</w:t>
      </w:r>
      <w:r w:rsidRPr="00B92144">
        <w:rPr>
          <w:rFonts w:asciiTheme="majorBidi" w:hAnsiTheme="majorBidi" w:cstheme="majorBidi"/>
          <w:sz w:val="24"/>
          <w:szCs w:val="24"/>
        </w:rPr>
        <w:t>ntional bank</w:t>
      </w:r>
      <w:r w:rsidR="00987874" w:rsidRPr="00B92144">
        <w:rPr>
          <w:rFonts w:asciiTheme="majorBidi" w:hAnsiTheme="majorBidi" w:cstheme="majorBidi"/>
          <w:sz w:val="24"/>
          <w:szCs w:val="24"/>
        </w:rPr>
        <w:t xml:space="preserve">s </w:t>
      </w:r>
      <w:r w:rsidR="00C12A93" w:rsidRPr="00B92144">
        <w:rPr>
          <w:rFonts w:asciiTheme="majorBidi" w:hAnsiTheme="majorBidi" w:cstheme="majorBidi"/>
          <w:sz w:val="24"/>
          <w:szCs w:val="24"/>
        </w:rPr>
        <w:t>work</w:t>
      </w:r>
      <w:r w:rsidR="00987874" w:rsidRPr="00B92144">
        <w:rPr>
          <w:rFonts w:asciiTheme="majorBidi" w:hAnsiTheme="majorBidi" w:cstheme="majorBidi"/>
          <w:sz w:val="24"/>
          <w:szCs w:val="24"/>
        </w:rPr>
        <w:t xml:space="preserve"> under more </w:t>
      </w:r>
      <w:r w:rsidR="00C12A93" w:rsidRPr="00B92144">
        <w:rPr>
          <w:rFonts w:asciiTheme="majorBidi" w:hAnsiTheme="majorBidi" w:cstheme="majorBidi"/>
          <w:sz w:val="24"/>
          <w:szCs w:val="24"/>
        </w:rPr>
        <w:t xml:space="preserve">lenient </w:t>
      </w:r>
      <w:r w:rsidR="00987874" w:rsidRPr="00B92144">
        <w:rPr>
          <w:rFonts w:asciiTheme="majorBidi" w:hAnsiTheme="majorBidi" w:cstheme="majorBidi"/>
          <w:sz w:val="24"/>
          <w:szCs w:val="24"/>
        </w:rPr>
        <w:t>legal</w:t>
      </w:r>
      <w:r w:rsidR="00C12A93" w:rsidRPr="00B92144">
        <w:rPr>
          <w:rFonts w:asciiTheme="majorBidi" w:hAnsiTheme="majorBidi" w:cstheme="majorBidi"/>
          <w:sz w:val="24"/>
          <w:szCs w:val="24"/>
        </w:rPr>
        <w:t xml:space="preserve"> </w:t>
      </w:r>
      <w:r w:rsidR="006A6EFA" w:rsidRPr="00B92144">
        <w:rPr>
          <w:rFonts w:asciiTheme="majorBidi" w:hAnsiTheme="majorBidi" w:cstheme="majorBidi"/>
          <w:sz w:val="24"/>
          <w:szCs w:val="24"/>
        </w:rPr>
        <w:t>provisions</w:t>
      </w:r>
      <w:r w:rsidR="00987874" w:rsidRPr="00B92144">
        <w:rPr>
          <w:rFonts w:asciiTheme="majorBidi" w:hAnsiTheme="majorBidi" w:cstheme="majorBidi"/>
          <w:sz w:val="24"/>
          <w:szCs w:val="24"/>
        </w:rPr>
        <w:t xml:space="preserve"> in their efforts to</w:t>
      </w:r>
      <w:r w:rsidR="001E7A3C" w:rsidRPr="00B92144">
        <w:rPr>
          <w:rFonts w:asciiTheme="majorBidi" w:hAnsiTheme="majorBidi" w:cstheme="majorBidi"/>
          <w:sz w:val="24"/>
          <w:szCs w:val="24"/>
        </w:rPr>
        <w:t xml:space="preserve"> maximize earnings</w:t>
      </w:r>
      <w:r w:rsidR="00987874" w:rsidRPr="00B92144">
        <w:rPr>
          <w:rFonts w:asciiTheme="majorBidi" w:hAnsiTheme="majorBidi" w:cstheme="majorBidi"/>
          <w:sz w:val="24"/>
          <w:szCs w:val="24"/>
        </w:rPr>
        <w:t xml:space="preserve">. </w:t>
      </w:r>
      <w:r w:rsidR="00837C33" w:rsidRPr="00B92144">
        <w:rPr>
          <w:rFonts w:asciiTheme="majorBidi" w:hAnsiTheme="majorBidi" w:cstheme="majorBidi"/>
          <w:sz w:val="24"/>
          <w:szCs w:val="24"/>
        </w:rPr>
        <w:t>C</w:t>
      </w:r>
      <w:r w:rsidR="00987874" w:rsidRPr="00B92144">
        <w:rPr>
          <w:rFonts w:asciiTheme="majorBidi" w:hAnsiTheme="majorBidi" w:cstheme="majorBidi"/>
          <w:sz w:val="24"/>
          <w:szCs w:val="24"/>
        </w:rPr>
        <w:t xml:space="preserve">onventional </w:t>
      </w:r>
      <w:r w:rsidR="00D213FC" w:rsidRPr="00B92144">
        <w:rPr>
          <w:rFonts w:asciiTheme="majorBidi" w:hAnsiTheme="majorBidi" w:cstheme="majorBidi"/>
          <w:sz w:val="24"/>
          <w:szCs w:val="24"/>
        </w:rPr>
        <w:t>banks</w:t>
      </w:r>
      <w:r w:rsidR="00987874" w:rsidRPr="00B92144">
        <w:rPr>
          <w:rFonts w:asciiTheme="majorBidi" w:hAnsiTheme="majorBidi" w:cstheme="majorBidi"/>
          <w:sz w:val="24"/>
          <w:szCs w:val="24"/>
        </w:rPr>
        <w:t xml:space="preserve"> </w:t>
      </w:r>
      <w:r w:rsidR="00D213FC" w:rsidRPr="00B92144">
        <w:rPr>
          <w:rFonts w:asciiTheme="majorBidi" w:hAnsiTheme="majorBidi" w:cstheme="majorBidi"/>
          <w:sz w:val="24"/>
          <w:szCs w:val="24"/>
        </w:rPr>
        <w:t>commonl</w:t>
      </w:r>
      <w:r w:rsidR="00987874" w:rsidRPr="00B92144">
        <w:rPr>
          <w:rFonts w:asciiTheme="majorBidi" w:hAnsiTheme="majorBidi" w:cstheme="majorBidi"/>
          <w:sz w:val="24"/>
          <w:szCs w:val="24"/>
        </w:rPr>
        <w:t xml:space="preserve">y generate </w:t>
      </w:r>
      <w:r w:rsidR="00D213FC" w:rsidRPr="00B92144">
        <w:rPr>
          <w:rFonts w:asciiTheme="majorBidi" w:hAnsiTheme="majorBidi" w:cstheme="majorBidi"/>
          <w:sz w:val="24"/>
          <w:szCs w:val="24"/>
        </w:rPr>
        <w:t>profit</w:t>
      </w:r>
      <w:r w:rsidR="00987874" w:rsidRPr="00B92144">
        <w:rPr>
          <w:rFonts w:asciiTheme="majorBidi" w:hAnsiTheme="majorBidi" w:cstheme="majorBidi"/>
          <w:sz w:val="24"/>
          <w:szCs w:val="24"/>
        </w:rPr>
        <w:t xml:space="preserve"> from the </w:t>
      </w:r>
      <w:r w:rsidR="003D2B82" w:rsidRPr="00B92144">
        <w:rPr>
          <w:rFonts w:asciiTheme="majorBidi" w:hAnsiTheme="majorBidi" w:cstheme="majorBidi"/>
          <w:sz w:val="24"/>
          <w:szCs w:val="24"/>
        </w:rPr>
        <w:t xml:space="preserve">spread </w:t>
      </w:r>
      <w:r w:rsidR="00987874" w:rsidRPr="00B92144">
        <w:rPr>
          <w:rFonts w:asciiTheme="majorBidi" w:hAnsiTheme="majorBidi" w:cstheme="majorBidi"/>
          <w:sz w:val="24"/>
          <w:szCs w:val="24"/>
        </w:rPr>
        <w:t xml:space="preserve">between the interest </w:t>
      </w:r>
      <w:r w:rsidR="00987901" w:rsidRPr="00B92144">
        <w:rPr>
          <w:rFonts w:asciiTheme="majorBidi" w:hAnsiTheme="majorBidi" w:cstheme="majorBidi"/>
          <w:sz w:val="24"/>
          <w:szCs w:val="24"/>
        </w:rPr>
        <w:t>incurred by</w:t>
      </w:r>
      <w:r w:rsidR="00987874" w:rsidRPr="00B92144">
        <w:rPr>
          <w:rFonts w:asciiTheme="majorBidi" w:hAnsiTheme="majorBidi" w:cstheme="majorBidi"/>
          <w:sz w:val="24"/>
          <w:szCs w:val="24"/>
        </w:rPr>
        <w:t xml:space="preserve"> debtors and the interest paid to depositors whereby the </w:t>
      </w:r>
      <w:r w:rsidR="00D75AAE" w:rsidRPr="00B92144">
        <w:rPr>
          <w:rFonts w:asciiTheme="majorBidi" w:hAnsiTheme="majorBidi" w:cstheme="majorBidi"/>
          <w:sz w:val="24"/>
          <w:szCs w:val="24"/>
        </w:rPr>
        <w:t>fluctuat</w:t>
      </w:r>
      <w:r w:rsidR="00987874" w:rsidRPr="00B92144">
        <w:rPr>
          <w:rFonts w:asciiTheme="majorBidi" w:hAnsiTheme="majorBidi" w:cstheme="majorBidi"/>
          <w:sz w:val="24"/>
          <w:szCs w:val="24"/>
        </w:rPr>
        <w:t xml:space="preserve">ing rates of interest charged to debtors is </w:t>
      </w:r>
      <w:r w:rsidR="00D213FC" w:rsidRPr="00B92144">
        <w:rPr>
          <w:rFonts w:asciiTheme="majorBidi" w:hAnsiTheme="majorBidi" w:cstheme="majorBidi"/>
          <w:sz w:val="24"/>
          <w:szCs w:val="24"/>
        </w:rPr>
        <w:t>related to</w:t>
      </w:r>
      <w:r w:rsidR="00987874" w:rsidRPr="00B92144">
        <w:rPr>
          <w:rFonts w:asciiTheme="majorBidi" w:hAnsiTheme="majorBidi" w:cstheme="majorBidi"/>
          <w:sz w:val="24"/>
          <w:szCs w:val="24"/>
        </w:rPr>
        <w:t xml:space="preserve"> the risk of the underlying investment (</w:t>
      </w:r>
      <w:r w:rsidR="00D75AAE" w:rsidRPr="00B92144">
        <w:rPr>
          <w:rFonts w:asciiTheme="majorBidi" w:hAnsiTheme="majorBidi" w:cstheme="majorBidi"/>
          <w:color w:val="244061" w:themeColor="accent1" w:themeShade="80"/>
          <w:sz w:val="24"/>
          <w:szCs w:val="24"/>
        </w:rPr>
        <w:t xml:space="preserve">Abdallah </w:t>
      </w:r>
      <w:r w:rsidR="00987874" w:rsidRPr="00B92144">
        <w:rPr>
          <w:rFonts w:asciiTheme="majorBidi" w:hAnsiTheme="majorBidi" w:cstheme="majorBidi"/>
          <w:color w:val="244061" w:themeColor="accent1" w:themeShade="80"/>
          <w:sz w:val="24"/>
          <w:szCs w:val="24"/>
        </w:rPr>
        <w:t>et al., 20</w:t>
      </w:r>
      <w:r w:rsidR="00D75AAE" w:rsidRPr="00B92144">
        <w:rPr>
          <w:rFonts w:asciiTheme="majorBidi" w:hAnsiTheme="majorBidi" w:cstheme="majorBidi"/>
          <w:color w:val="244061" w:themeColor="accent1" w:themeShade="80"/>
          <w:sz w:val="24"/>
          <w:szCs w:val="24"/>
        </w:rPr>
        <w:t>15</w:t>
      </w:r>
      <w:r w:rsidR="00987874" w:rsidRPr="00B92144">
        <w:rPr>
          <w:rFonts w:asciiTheme="majorBidi" w:hAnsiTheme="majorBidi" w:cstheme="majorBidi"/>
          <w:sz w:val="24"/>
          <w:szCs w:val="24"/>
        </w:rPr>
        <w:t xml:space="preserve">). </w:t>
      </w:r>
      <w:r w:rsidR="00D75AAE" w:rsidRPr="00B92144">
        <w:rPr>
          <w:rFonts w:asciiTheme="majorBidi" w:hAnsiTheme="majorBidi" w:cstheme="majorBidi"/>
          <w:sz w:val="24"/>
          <w:szCs w:val="24"/>
        </w:rPr>
        <w:t xml:space="preserve">It follows, then, that </w:t>
      </w:r>
      <w:r w:rsidR="00987874" w:rsidRPr="00B92144">
        <w:rPr>
          <w:rFonts w:asciiTheme="majorBidi" w:hAnsiTheme="majorBidi" w:cstheme="majorBidi"/>
          <w:sz w:val="24"/>
          <w:szCs w:val="24"/>
        </w:rPr>
        <w:t>the</w:t>
      </w:r>
      <w:r w:rsidR="00085CF7" w:rsidRPr="00B92144">
        <w:rPr>
          <w:rFonts w:asciiTheme="majorBidi" w:hAnsiTheme="majorBidi" w:cstheme="majorBidi"/>
          <w:sz w:val="24"/>
          <w:szCs w:val="24"/>
        </w:rPr>
        <w:t xml:space="preserve"> </w:t>
      </w:r>
      <w:r w:rsidR="00987874" w:rsidRPr="00B92144">
        <w:rPr>
          <w:rFonts w:asciiTheme="majorBidi" w:hAnsiTheme="majorBidi" w:cstheme="majorBidi"/>
          <w:sz w:val="24"/>
          <w:szCs w:val="24"/>
        </w:rPr>
        <w:t xml:space="preserve">principles </w:t>
      </w:r>
      <w:r w:rsidR="00D75AAE" w:rsidRPr="00B92144">
        <w:rPr>
          <w:rFonts w:asciiTheme="majorBidi" w:hAnsiTheme="majorBidi" w:cstheme="majorBidi"/>
          <w:sz w:val="24"/>
          <w:szCs w:val="24"/>
        </w:rPr>
        <w:t>which</w:t>
      </w:r>
      <w:r w:rsidR="00987874" w:rsidRPr="00B92144">
        <w:rPr>
          <w:rFonts w:asciiTheme="majorBidi" w:hAnsiTheme="majorBidi" w:cstheme="majorBidi"/>
          <w:sz w:val="24"/>
          <w:szCs w:val="24"/>
        </w:rPr>
        <w:t xml:space="preserve"> guide Islamic financial </w:t>
      </w:r>
      <w:r w:rsidR="00D213FC" w:rsidRPr="00B92144">
        <w:rPr>
          <w:rFonts w:asciiTheme="majorBidi" w:hAnsiTheme="majorBidi" w:cstheme="majorBidi"/>
          <w:sz w:val="24"/>
          <w:szCs w:val="24"/>
        </w:rPr>
        <w:t>bank</w:t>
      </w:r>
      <w:r w:rsidR="00987874" w:rsidRPr="00B92144">
        <w:rPr>
          <w:rFonts w:asciiTheme="majorBidi" w:hAnsiTheme="majorBidi" w:cstheme="majorBidi"/>
          <w:sz w:val="24"/>
          <w:szCs w:val="24"/>
        </w:rPr>
        <w:t>s are more conservative</w:t>
      </w:r>
      <w:r w:rsidR="00D75AAE" w:rsidRPr="00B92144">
        <w:rPr>
          <w:rFonts w:asciiTheme="majorBidi" w:hAnsiTheme="majorBidi" w:cstheme="majorBidi"/>
          <w:sz w:val="24"/>
          <w:szCs w:val="24"/>
        </w:rPr>
        <w:t xml:space="preserve"> and rigid</w:t>
      </w:r>
      <w:r w:rsidR="00987874" w:rsidRPr="00B92144">
        <w:rPr>
          <w:rFonts w:asciiTheme="majorBidi" w:hAnsiTheme="majorBidi" w:cstheme="majorBidi"/>
          <w:sz w:val="24"/>
          <w:szCs w:val="24"/>
        </w:rPr>
        <w:t xml:space="preserve"> than are those </w:t>
      </w:r>
      <w:r w:rsidR="00260C18" w:rsidRPr="00B92144">
        <w:rPr>
          <w:rFonts w:asciiTheme="majorBidi" w:hAnsiTheme="majorBidi" w:cstheme="majorBidi"/>
          <w:sz w:val="24"/>
          <w:szCs w:val="24"/>
        </w:rPr>
        <w:t xml:space="preserve">which </w:t>
      </w:r>
      <w:r w:rsidR="00987874" w:rsidRPr="00B92144">
        <w:rPr>
          <w:rFonts w:asciiTheme="majorBidi" w:hAnsiTheme="majorBidi" w:cstheme="majorBidi"/>
          <w:sz w:val="24"/>
          <w:szCs w:val="24"/>
        </w:rPr>
        <w:t xml:space="preserve">govern conventional </w:t>
      </w:r>
      <w:r w:rsidR="00D75AAE" w:rsidRPr="00B92144">
        <w:rPr>
          <w:rFonts w:asciiTheme="majorBidi" w:hAnsiTheme="majorBidi" w:cstheme="majorBidi"/>
          <w:sz w:val="24"/>
          <w:szCs w:val="24"/>
        </w:rPr>
        <w:t>banks.</w:t>
      </w:r>
      <w:r w:rsidR="00987874" w:rsidRPr="00B92144">
        <w:rPr>
          <w:rFonts w:asciiTheme="majorBidi" w:hAnsiTheme="majorBidi" w:cstheme="majorBidi"/>
          <w:sz w:val="24"/>
          <w:szCs w:val="24"/>
        </w:rPr>
        <w:t xml:space="preserve"> </w:t>
      </w:r>
      <w:r w:rsidR="00D75AAE" w:rsidRPr="00B92144">
        <w:rPr>
          <w:rFonts w:asciiTheme="majorBidi" w:hAnsiTheme="majorBidi" w:cstheme="majorBidi"/>
          <w:sz w:val="24"/>
          <w:szCs w:val="24"/>
        </w:rPr>
        <w:t xml:space="preserve">For instance, </w:t>
      </w:r>
      <w:r w:rsidR="00260C18" w:rsidRPr="00B92144">
        <w:rPr>
          <w:rFonts w:asciiTheme="majorBidi" w:hAnsiTheme="majorBidi" w:cstheme="majorBidi"/>
          <w:sz w:val="24"/>
          <w:szCs w:val="24"/>
        </w:rPr>
        <w:t>Islamic</w:t>
      </w:r>
      <w:r w:rsidR="00D75AAE" w:rsidRPr="00B92144">
        <w:rPr>
          <w:rFonts w:asciiTheme="majorBidi" w:hAnsiTheme="majorBidi" w:cstheme="majorBidi"/>
          <w:sz w:val="24"/>
          <w:szCs w:val="24"/>
        </w:rPr>
        <w:t xml:space="preserve"> banks</w:t>
      </w:r>
      <w:r w:rsidR="00987874" w:rsidRPr="00B92144">
        <w:rPr>
          <w:rFonts w:asciiTheme="majorBidi" w:hAnsiTheme="majorBidi" w:cstheme="majorBidi"/>
          <w:sz w:val="24"/>
          <w:szCs w:val="24"/>
        </w:rPr>
        <w:t xml:space="preserve"> are less likely to be engaged in, and therefore </w:t>
      </w:r>
      <w:r w:rsidR="003D2B82" w:rsidRPr="00B92144">
        <w:rPr>
          <w:rFonts w:asciiTheme="majorBidi" w:hAnsiTheme="majorBidi" w:cstheme="majorBidi"/>
          <w:sz w:val="24"/>
          <w:szCs w:val="24"/>
        </w:rPr>
        <w:t>disclose</w:t>
      </w:r>
      <w:r w:rsidR="00987874" w:rsidRPr="00B92144">
        <w:rPr>
          <w:rFonts w:asciiTheme="majorBidi" w:hAnsiTheme="majorBidi" w:cstheme="majorBidi"/>
          <w:sz w:val="24"/>
          <w:szCs w:val="24"/>
        </w:rPr>
        <w:t>, risk than are their conventional counterparts. Hence, we hypothesize that:</w:t>
      </w:r>
    </w:p>
    <w:p w14:paraId="5EA987C5" w14:textId="13FFB9AD" w:rsidR="00A273B5" w:rsidRPr="00B92144" w:rsidRDefault="00987874" w:rsidP="00410EDE">
      <w:pPr>
        <w:autoSpaceDE w:val="0"/>
        <w:autoSpaceDN w:val="0"/>
        <w:adjustRightInd w:val="0"/>
        <w:spacing w:before="120" w:after="120" w:line="360" w:lineRule="auto"/>
        <w:jc w:val="both"/>
        <w:rPr>
          <w:rFonts w:asciiTheme="majorBidi" w:hAnsiTheme="majorBidi" w:cstheme="majorBidi"/>
          <w:i/>
          <w:iCs/>
          <w:sz w:val="24"/>
          <w:szCs w:val="24"/>
        </w:rPr>
      </w:pPr>
      <w:r w:rsidRPr="00B92144">
        <w:rPr>
          <w:rFonts w:asciiTheme="majorBidi" w:hAnsiTheme="majorBidi" w:cstheme="majorBidi"/>
          <w:i/>
          <w:iCs/>
          <w:sz w:val="24"/>
          <w:szCs w:val="24"/>
        </w:rPr>
        <w:t xml:space="preserve">H1. </w:t>
      </w:r>
      <w:r w:rsidR="00410EDE" w:rsidRPr="00B92144">
        <w:rPr>
          <w:rFonts w:asciiTheme="majorBidi" w:hAnsiTheme="majorBidi" w:cstheme="majorBidi"/>
          <w:i/>
          <w:iCs/>
          <w:sz w:val="24"/>
          <w:szCs w:val="24"/>
        </w:rPr>
        <w:t>RRD</w:t>
      </w:r>
      <w:r w:rsidRPr="00B92144">
        <w:rPr>
          <w:rFonts w:asciiTheme="majorBidi" w:hAnsiTheme="majorBidi" w:cstheme="majorBidi"/>
          <w:i/>
          <w:iCs/>
          <w:sz w:val="24"/>
          <w:szCs w:val="24"/>
        </w:rPr>
        <w:t xml:space="preserve"> will be lower in Islamic </w:t>
      </w:r>
      <w:r w:rsidR="00260C18" w:rsidRPr="00B92144">
        <w:rPr>
          <w:rFonts w:asciiTheme="majorBidi" w:hAnsiTheme="majorBidi" w:cstheme="majorBidi"/>
          <w:i/>
          <w:iCs/>
          <w:sz w:val="24"/>
          <w:szCs w:val="24"/>
        </w:rPr>
        <w:t>banks</w:t>
      </w:r>
      <w:r w:rsidRPr="00B92144">
        <w:rPr>
          <w:rFonts w:asciiTheme="majorBidi" w:hAnsiTheme="majorBidi" w:cstheme="majorBidi"/>
          <w:i/>
          <w:iCs/>
          <w:sz w:val="24"/>
          <w:szCs w:val="24"/>
        </w:rPr>
        <w:t xml:space="preserve"> </w:t>
      </w:r>
      <w:r w:rsidR="00260C18" w:rsidRPr="00B92144">
        <w:rPr>
          <w:rFonts w:asciiTheme="majorBidi" w:hAnsiTheme="majorBidi" w:cstheme="majorBidi"/>
          <w:i/>
          <w:iCs/>
          <w:sz w:val="24"/>
          <w:szCs w:val="24"/>
        </w:rPr>
        <w:t>compared to</w:t>
      </w:r>
      <w:r w:rsidRPr="00B92144">
        <w:rPr>
          <w:rFonts w:asciiTheme="majorBidi" w:hAnsiTheme="majorBidi" w:cstheme="majorBidi"/>
          <w:i/>
          <w:iCs/>
          <w:sz w:val="24"/>
          <w:szCs w:val="24"/>
        </w:rPr>
        <w:t xml:space="preserve"> conventional </w:t>
      </w:r>
      <w:r w:rsidR="00260C18" w:rsidRPr="00B92144">
        <w:rPr>
          <w:rFonts w:asciiTheme="majorBidi" w:hAnsiTheme="majorBidi" w:cstheme="majorBidi"/>
          <w:i/>
          <w:iCs/>
          <w:sz w:val="24"/>
          <w:szCs w:val="24"/>
        </w:rPr>
        <w:t>bank</w:t>
      </w:r>
      <w:r w:rsidRPr="00B92144">
        <w:rPr>
          <w:rFonts w:asciiTheme="majorBidi" w:hAnsiTheme="majorBidi" w:cstheme="majorBidi"/>
          <w:i/>
          <w:iCs/>
          <w:sz w:val="24"/>
          <w:szCs w:val="24"/>
        </w:rPr>
        <w:t>s.</w:t>
      </w:r>
    </w:p>
    <w:p w14:paraId="02FA0E75" w14:textId="317B7DE0" w:rsidR="00410EDE" w:rsidRPr="00B92144" w:rsidRDefault="00465CD0" w:rsidP="00410EDE">
      <w:pPr>
        <w:pStyle w:val="ListParagraph"/>
        <w:numPr>
          <w:ilvl w:val="1"/>
          <w:numId w:val="8"/>
        </w:numPr>
        <w:autoSpaceDE w:val="0"/>
        <w:autoSpaceDN w:val="0"/>
        <w:adjustRightInd w:val="0"/>
        <w:spacing w:before="120" w:after="120" w:line="360" w:lineRule="auto"/>
        <w:ind w:left="788" w:hanging="431"/>
        <w:contextualSpacing w:val="0"/>
        <w:jc w:val="both"/>
        <w:rPr>
          <w:rFonts w:asciiTheme="majorBidi" w:hAnsiTheme="majorBidi" w:cstheme="majorBidi"/>
          <w:b/>
          <w:bCs/>
          <w:sz w:val="24"/>
          <w:szCs w:val="24"/>
        </w:rPr>
      </w:pPr>
      <w:r w:rsidRPr="00B92144">
        <w:rPr>
          <w:rFonts w:asciiTheme="majorBidi" w:hAnsiTheme="majorBidi" w:cstheme="majorBidi"/>
          <w:b/>
          <w:bCs/>
          <w:sz w:val="24"/>
          <w:szCs w:val="24"/>
        </w:rPr>
        <w:t>Banks attribut</w:t>
      </w:r>
      <w:r w:rsidR="00410EDE" w:rsidRPr="00B92144">
        <w:rPr>
          <w:rFonts w:asciiTheme="majorBidi" w:hAnsiTheme="majorBidi" w:cstheme="majorBidi"/>
          <w:b/>
          <w:bCs/>
          <w:sz w:val="24"/>
          <w:szCs w:val="24"/>
        </w:rPr>
        <w:t>es and RRD</w:t>
      </w:r>
    </w:p>
    <w:p w14:paraId="2F9C90BB" w14:textId="460B3F90" w:rsidR="005C2C63" w:rsidRPr="00B92144" w:rsidRDefault="004069C0" w:rsidP="005C2C63">
      <w:pPr>
        <w:autoSpaceDE w:val="0"/>
        <w:autoSpaceDN w:val="0"/>
        <w:adjustRightInd w:val="0"/>
        <w:spacing w:before="120" w:after="120" w:line="360" w:lineRule="auto"/>
        <w:jc w:val="both"/>
        <w:rPr>
          <w:rFonts w:asciiTheme="majorBidi" w:hAnsiTheme="majorBidi" w:cstheme="majorBidi"/>
          <w:sz w:val="24"/>
          <w:szCs w:val="24"/>
        </w:rPr>
      </w:pPr>
      <w:r w:rsidRPr="00B92144">
        <w:rPr>
          <w:rFonts w:asciiTheme="majorBidi" w:hAnsiTheme="majorBidi" w:cstheme="majorBidi"/>
          <w:sz w:val="24"/>
          <w:szCs w:val="24"/>
        </w:rPr>
        <w:t>We refer to s</w:t>
      </w:r>
      <w:r w:rsidR="005C2C63" w:rsidRPr="00B92144">
        <w:rPr>
          <w:rFonts w:asciiTheme="majorBidi" w:hAnsiTheme="majorBidi" w:cstheme="majorBidi"/>
          <w:sz w:val="24"/>
          <w:szCs w:val="24"/>
        </w:rPr>
        <w:t xml:space="preserve">everal firm-specific characteristics </w:t>
      </w:r>
      <w:r w:rsidR="00AB6AEF" w:rsidRPr="00B92144">
        <w:rPr>
          <w:rFonts w:asciiTheme="majorBidi" w:hAnsiTheme="majorBidi" w:cstheme="majorBidi"/>
          <w:sz w:val="24"/>
          <w:szCs w:val="24"/>
        </w:rPr>
        <w:t>that were</w:t>
      </w:r>
      <w:r w:rsidRPr="00B92144">
        <w:rPr>
          <w:rFonts w:asciiTheme="majorBidi" w:hAnsiTheme="majorBidi" w:cstheme="majorBidi"/>
          <w:sz w:val="24"/>
          <w:szCs w:val="24"/>
        </w:rPr>
        <w:t xml:space="preserve"> discussed in </w:t>
      </w:r>
      <w:r w:rsidR="00AB6AEF" w:rsidRPr="00B92144">
        <w:rPr>
          <w:rFonts w:asciiTheme="majorBidi" w:hAnsiTheme="majorBidi" w:cstheme="majorBidi"/>
          <w:sz w:val="24"/>
          <w:szCs w:val="24"/>
        </w:rPr>
        <w:t xml:space="preserve">recent </w:t>
      </w:r>
      <w:r w:rsidRPr="00B92144">
        <w:rPr>
          <w:rFonts w:asciiTheme="majorBidi" w:hAnsiTheme="majorBidi" w:cstheme="majorBidi"/>
          <w:sz w:val="24"/>
          <w:szCs w:val="24"/>
        </w:rPr>
        <w:t>corporate disclosure literature</w:t>
      </w:r>
      <w:r w:rsidR="005C2C63" w:rsidRPr="00B92144">
        <w:rPr>
          <w:rFonts w:asciiTheme="majorBidi" w:hAnsiTheme="majorBidi" w:cstheme="majorBidi"/>
          <w:sz w:val="24"/>
          <w:szCs w:val="24"/>
        </w:rPr>
        <w:t xml:space="preserve"> to ex</w:t>
      </w:r>
      <w:r w:rsidRPr="00B92144">
        <w:rPr>
          <w:rFonts w:asciiTheme="majorBidi" w:hAnsiTheme="majorBidi" w:cstheme="majorBidi"/>
          <w:sz w:val="24"/>
          <w:szCs w:val="24"/>
        </w:rPr>
        <w:t>plore</w:t>
      </w:r>
      <w:r w:rsidR="005C2C63" w:rsidRPr="00B92144">
        <w:rPr>
          <w:rFonts w:asciiTheme="majorBidi" w:hAnsiTheme="majorBidi" w:cstheme="majorBidi"/>
          <w:sz w:val="24"/>
          <w:szCs w:val="24"/>
        </w:rPr>
        <w:t xml:space="preserve"> the determinants of risk reporting</w:t>
      </w:r>
      <w:r w:rsidR="00A34E72" w:rsidRPr="00B92144">
        <w:rPr>
          <w:rFonts w:asciiTheme="majorBidi" w:hAnsiTheme="majorBidi" w:cstheme="majorBidi"/>
          <w:sz w:val="24"/>
          <w:szCs w:val="24"/>
        </w:rPr>
        <w:t>.</w:t>
      </w:r>
    </w:p>
    <w:p w14:paraId="5AF1CEBA" w14:textId="39BC01DF" w:rsidR="003219DB" w:rsidRPr="00B92144" w:rsidRDefault="003219DB" w:rsidP="00A67EF2">
      <w:pPr>
        <w:pStyle w:val="ListParagraph"/>
        <w:numPr>
          <w:ilvl w:val="0"/>
          <w:numId w:val="4"/>
        </w:numPr>
        <w:autoSpaceDE w:val="0"/>
        <w:autoSpaceDN w:val="0"/>
        <w:adjustRightInd w:val="0"/>
        <w:spacing w:before="120" w:after="120" w:line="360" w:lineRule="auto"/>
        <w:jc w:val="both"/>
        <w:rPr>
          <w:rFonts w:asciiTheme="majorBidi" w:hAnsiTheme="majorBidi" w:cstheme="majorBidi"/>
          <w:sz w:val="24"/>
          <w:szCs w:val="24"/>
          <w:u w:val="single"/>
        </w:rPr>
      </w:pPr>
      <w:r w:rsidRPr="00B92144">
        <w:rPr>
          <w:rFonts w:asciiTheme="majorBidi" w:hAnsiTheme="majorBidi" w:cstheme="majorBidi"/>
          <w:sz w:val="24"/>
          <w:szCs w:val="24"/>
          <w:u w:val="single"/>
        </w:rPr>
        <w:t>Bank size and RRD</w:t>
      </w:r>
    </w:p>
    <w:p w14:paraId="48D1633D" w14:textId="3352ECA9" w:rsidR="00A7568D" w:rsidRPr="00B92144" w:rsidRDefault="003E2766" w:rsidP="00410EDE">
      <w:pPr>
        <w:autoSpaceDE w:val="0"/>
        <w:autoSpaceDN w:val="0"/>
        <w:adjustRightInd w:val="0"/>
        <w:spacing w:before="120" w:after="120" w:line="360" w:lineRule="auto"/>
        <w:jc w:val="both"/>
        <w:rPr>
          <w:rFonts w:asciiTheme="majorBidi" w:hAnsiTheme="majorBidi" w:cstheme="majorBidi"/>
          <w:sz w:val="24"/>
          <w:szCs w:val="24"/>
        </w:rPr>
      </w:pPr>
      <w:r w:rsidRPr="00B92144">
        <w:rPr>
          <w:rFonts w:asciiTheme="majorBidi" w:hAnsiTheme="majorBidi" w:cstheme="majorBidi"/>
          <w:color w:val="244061" w:themeColor="accent1" w:themeShade="80"/>
          <w:sz w:val="24"/>
          <w:szCs w:val="24"/>
        </w:rPr>
        <w:t xml:space="preserve">Deumes </w:t>
      </w:r>
      <w:r w:rsidR="00E05652" w:rsidRPr="00B92144">
        <w:rPr>
          <w:rFonts w:asciiTheme="majorBidi" w:hAnsiTheme="majorBidi" w:cstheme="majorBidi"/>
          <w:color w:val="244061" w:themeColor="accent1" w:themeShade="80"/>
          <w:sz w:val="24"/>
          <w:szCs w:val="24"/>
        </w:rPr>
        <w:t>&amp;</w:t>
      </w:r>
      <w:r w:rsidRPr="00B92144">
        <w:rPr>
          <w:rFonts w:asciiTheme="majorBidi" w:hAnsiTheme="majorBidi" w:cstheme="majorBidi"/>
          <w:color w:val="244061" w:themeColor="accent1" w:themeShade="80"/>
          <w:sz w:val="24"/>
          <w:szCs w:val="24"/>
        </w:rPr>
        <w:t xml:space="preserve"> Knechel (2008) </w:t>
      </w:r>
      <w:r w:rsidRPr="00B92144">
        <w:rPr>
          <w:rFonts w:asciiTheme="majorBidi" w:hAnsiTheme="majorBidi" w:cstheme="majorBidi"/>
          <w:sz w:val="24"/>
          <w:szCs w:val="24"/>
        </w:rPr>
        <w:t xml:space="preserve">argue that large firms tend to be more complex and have more </w:t>
      </w:r>
      <w:r w:rsidR="000B6C6D" w:rsidRPr="00B92144">
        <w:rPr>
          <w:rFonts w:asciiTheme="majorBidi" w:hAnsiTheme="majorBidi" w:cstheme="majorBidi"/>
          <w:sz w:val="24"/>
          <w:szCs w:val="24"/>
        </w:rPr>
        <w:t>sophisticated transaction</w:t>
      </w:r>
      <w:r w:rsidRPr="00B92144">
        <w:rPr>
          <w:rFonts w:asciiTheme="majorBidi" w:hAnsiTheme="majorBidi" w:cstheme="majorBidi"/>
          <w:sz w:val="24"/>
          <w:szCs w:val="24"/>
        </w:rPr>
        <w:t xml:space="preserve">s. This </w:t>
      </w:r>
      <w:r w:rsidR="004471B6" w:rsidRPr="00B92144">
        <w:rPr>
          <w:rFonts w:asciiTheme="majorBidi" w:hAnsiTheme="majorBidi" w:cstheme="majorBidi"/>
          <w:sz w:val="24"/>
          <w:szCs w:val="24"/>
        </w:rPr>
        <w:t>feature suggest</w:t>
      </w:r>
      <w:r w:rsidRPr="00B92144">
        <w:rPr>
          <w:rFonts w:asciiTheme="majorBidi" w:hAnsiTheme="majorBidi" w:cstheme="majorBidi"/>
          <w:sz w:val="24"/>
          <w:szCs w:val="24"/>
        </w:rPr>
        <w:t xml:space="preserve">s higher risk </w:t>
      </w:r>
      <w:r w:rsidR="004471B6" w:rsidRPr="00B92144">
        <w:rPr>
          <w:rFonts w:asciiTheme="majorBidi" w:hAnsiTheme="majorBidi" w:cstheme="majorBidi"/>
          <w:sz w:val="24"/>
          <w:szCs w:val="24"/>
        </w:rPr>
        <w:t>profile</w:t>
      </w:r>
      <w:r w:rsidRPr="00B92144">
        <w:rPr>
          <w:rFonts w:asciiTheme="majorBidi" w:hAnsiTheme="majorBidi" w:cstheme="majorBidi"/>
          <w:sz w:val="24"/>
          <w:szCs w:val="24"/>
        </w:rPr>
        <w:t xml:space="preserve"> which translate</w:t>
      </w:r>
      <w:r w:rsidR="004471B6" w:rsidRPr="00B92144">
        <w:rPr>
          <w:rFonts w:asciiTheme="majorBidi" w:hAnsiTheme="majorBidi" w:cstheme="majorBidi"/>
          <w:sz w:val="24"/>
          <w:szCs w:val="24"/>
        </w:rPr>
        <w:t>s</w:t>
      </w:r>
      <w:r w:rsidRPr="00B92144">
        <w:rPr>
          <w:rFonts w:asciiTheme="majorBidi" w:hAnsiTheme="majorBidi" w:cstheme="majorBidi"/>
          <w:sz w:val="24"/>
          <w:szCs w:val="24"/>
        </w:rPr>
        <w:t xml:space="preserve"> into higher </w:t>
      </w:r>
      <w:r w:rsidRPr="00B92144">
        <w:rPr>
          <w:rFonts w:asciiTheme="majorBidi" w:hAnsiTheme="majorBidi" w:cstheme="majorBidi"/>
          <w:sz w:val="24"/>
          <w:szCs w:val="24"/>
        </w:rPr>
        <w:lastRenderedPageBreak/>
        <w:t xml:space="preserve">information asymmetry among </w:t>
      </w:r>
      <w:r w:rsidR="004471B6" w:rsidRPr="00B92144">
        <w:rPr>
          <w:rFonts w:asciiTheme="majorBidi" w:hAnsiTheme="majorBidi" w:cstheme="majorBidi"/>
          <w:sz w:val="24"/>
          <w:szCs w:val="24"/>
        </w:rPr>
        <w:t>stakeholders</w:t>
      </w:r>
      <w:r w:rsidRPr="00B92144">
        <w:rPr>
          <w:rFonts w:asciiTheme="majorBidi" w:hAnsiTheme="majorBidi" w:cstheme="majorBidi"/>
          <w:sz w:val="24"/>
          <w:szCs w:val="24"/>
        </w:rPr>
        <w:t>.</w:t>
      </w:r>
      <w:r w:rsidR="00AB0C67" w:rsidRPr="00B92144">
        <w:rPr>
          <w:rFonts w:asciiTheme="majorBidi" w:hAnsiTheme="majorBidi" w:cstheme="majorBidi"/>
          <w:sz w:val="24"/>
          <w:szCs w:val="24"/>
        </w:rPr>
        <w:t xml:space="preserve"> </w:t>
      </w:r>
      <w:r w:rsidR="004471B6" w:rsidRPr="00B92144">
        <w:rPr>
          <w:rFonts w:asciiTheme="majorBidi" w:hAnsiTheme="majorBidi" w:cstheme="majorBidi"/>
          <w:sz w:val="24"/>
          <w:szCs w:val="24"/>
        </w:rPr>
        <w:t xml:space="preserve">Consistent with the agency theory, </w:t>
      </w:r>
      <w:r w:rsidR="00410EDE" w:rsidRPr="00B92144">
        <w:rPr>
          <w:rFonts w:asciiTheme="majorBidi" w:hAnsiTheme="majorBidi" w:cstheme="majorBidi"/>
          <w:sz w:val="24"/>
          <w:szCs w:val="24"/>
        </w:rPr>
        <w:t>RRD</w:t>
      </w:r>
      <w:r w:rsidR="004471B6" w:rsidRPr="00B92144">
        <w:rPr>
          <w:rFonts w:asciiTheme="majorBidi" w:hAnsiTheme="majorBidi" w:cstheme="majorBidi"/>
          <w:sz w:val="24"/>
          <w:szCs w:val="24"/>
        </w:rPr>
        <w:t xml:space="preserve"> is likely to reduce agency costs induced by the information asymmetry between managers and shareholders (</w:t>
      </w:r>
      <w:r w:rsidR="004471B6" w:rsidRPr="00B92144">
        <w:rPr>
          <w:rFonts w:asciiTheme="majorBidi" w:hAnsiTheme="majorBidi" w:cstheme="majorBidi"/>
          <w:color w:val="244061" w:themeColor="accent1" w:themeShade="80"/>
          <w:sz w:val="24"/>
          <w:szCs w:val="24"/>
        </w:rPr>
        <w:t xml:space="preserve">Watts </w:t>
      </w:r>
      <w:r w:rsidR="00E05652" w:rsidRPr="00B92144">
        <w:rPr>
          <w:rFonts w:asciiTheme="majorBidi" w:hAnsiTheme="majorBidi" w:cstheme="majorBidi"/>
          <w:color w:val="244061" w:themeColor="accent1" w:themeShade="80"/>
          <w:sz w:val="24"/>
          <w:szCs w:val="24"/>
        </w:rPr>
        <w:t>&amp;</w:t>
      </w:r>
      <w:r w:rsidR="004471B6" w:rsidRPr="00B92144">
        <w:rPr>
          <w:rFonts w:asciiTheme="majorBidi" w:hAnsiTheme="majorBidi" w:cstheme="majorBidi"/>
          <w:color w:val="244061" w:themeColor="accent1" w:themeShade="80"/>
          <w:sz w:val="24"/>
          <w:szCs w:val="24"/>
        </w:rPr>
        <w:t xml:space="preserve"> Zimmerman</w:t>
      </w:r>
      <w:r w:rsidR="00E05652" w:rsidRPr="00B92144">
        <w:rPr>
          <w:rFonts w:asciiTheme="majorBidi" w:hAnsiTheme="majorBidi" w:cstheme="majorBidi"/>
          <w:color w:val="244061" w:themeColor="accent1" w:themeShade="80"/>
          <w:sz w:val="24"/>
          <w:szCs w:val="24"/>
        </w:rPr>
        <w:t>,</w:t>
      </w:r>
      <w:r w:rsidR="004471B6" w:rsidRPr="00B92144">
        <w:rPr>
          <w:rFonts w:asciiTheme="majorBidi" w:hAnsiTheme="majorBidi" w:cstheme="majorBidi"/>
          <w:color w:val="244061" w:themeColor="accent1" w:themeShade="80"/>
          <w:sz w:val="24"/>
          <w:szCs w:val="24"/>
        </w:rPr>
        <w:t xml:space="preserve"> 1983</w:t>
      </w:r>
      <w:r w:rsidR="004471B6" w:rsidRPr="00B92144">
        <w:rPr>
          <w:rFonts w:asciiTheme="majorBidi" w:hAnsiTheme="majorBidi" w:cstheme="majorBidi"/>
          <w:sz w:val="24"/>
          <w:szCs w:val="24"/>
        </w:rPr>
        <w:t xml:space="preserve">). </w:t>
      </w:r>
      <w:r w:rsidR="00BC44BC" w:rsidRPr="00B92144">
        <w:rPr>
          <w:rFonts w:asciiTheme="majorBidi" w:hAnsiTheme="majorBidi" w:cstheme="majorBidi"/>
          <w:sz w:val="24"/>
          <w:szCs w:val="24"/>
        </w:rPr>
        <w:t>Likewise</w:t>
      </w:r>
      <w:r w:rsidR="004471B6" w:rsidRPr="00B92144">
        <w:rPr>
          <w:rFonts w:asciiTheme="majorBidi" w:hAnsiTheme="majorBidi" w:cstheme="majorBidi"/>
          <w:sz w:val="24"/>
          <w:szCs w:val="24"/>
        </w:rPr>
        <w:t>, larger firms exhibit higher level of public visibility</w:t>
      </w:r>
      <w:r w:rsidR="00347AC1" w:rsidRPr="00B92144">
        <w:rPr>
          <w:rFonts w:asciiTheme="majorBidi" w:hAnsiTheme="majorBidi" w:cstheme="majorBidi"/>
          <w:sz w:val="24"/>
          <w:szCs w:val="24"/>
        </w:rPr>
        <w:t xml:space="preserve"> which implies </w:t>
      </w:r>
      <w:r w:rsidR="00347AC1" w:rsidRPr="00B92144">
        <w:rPr>
          <w:rFonts w:asciiTheme="majorBidi" w:hAnsiTheme="majorBidi" w:cstheme="majorBidi"/>
          <w:sz w:val="24"/>
          <w:szCs w:val="24"/>
          <w:shd w:val="clear" w:color="auto" w:fill="FFFFFF"/>
        </w:rPr>
        <w:t xml:space="preserve">higher </w:t>
      </w:r>
      <w:r w:rsidR="00BC44BC" w:rsidRPr="00B92144">
        <w:rPr>
          <w:rFonts w:asciiTheme="majorBidi" w:hAnsiTheme="majorBidi" w:cstheme="majorBidi"/>
          <w:sz w:val="24"/>
          <w:szCs w:val="24"/>
        </w:rPr>
        <w:t xml:space="preserve">scrutiny among stakeholders </w:t>
      </w:r>
      <w:r w:rsidR="004239A6" w:rsidRPr="00B92144">
        <w:rPr>
          <w:rFonts w:asciiTheme="majorBidi" w:hAnsiTheme="majorBidi" w:cstheme="majorBidi"/>
          <w:sz w:val="24"/>
          <w:szCs w:val="24"/>
        </w:rPr>
        <w:t xml:space="preserve">and increased inherent risk </w:t>
      </w:r>
      <w:r w:rsidR="00BC44BC" w:rsidRPr="00B92144">
        <w:rPr>
          <w:rFonts w:asciiTheme="majorBidi" w:hAnsiTheme="majorBidi" w:cstheme="majorBidi"/>
          <w:sz w:val="24"/>
          <w:szCs w:val="24"/>
        </w:rPr>
        <w:t>(</w:t>
      </w:r>
      <w:r w:rsidR="00BC44BC" w:rsidRPr="00B92144">
        <w:rPr>
          <w:rFonts w:asciiTheme="majorBidi" w:hAnsiTheme="majorBidi" w:cstheme="majorBidi"/>
          <w:color w:val="244061" w:themeColor="accent1" w:themeShade="80"/>
          <w:sz w:val="24"/>
          <w:szCs w:val="24"/>
        </w:rPr>
        <w:t>Amran, Bin, &amp; Hassan 2009; Brammer &amp; Pavelin, 2008</w:t>
      </w:r>
      <w:r w:rsidR="00BC44BC" w:rsidRPr="00B92144">
        <w:rPr>
          <w:rFonts w:asciiTheme="majorBidi" w:hAnsiTheme="majorBidi" w:cstheme="majorBidi"/>
          <w:sz w:val="24"/>
          <w:szCs w:val="24"/>
        </w:rPr>
        <w:t xml:space="preserve">). </w:t>
      </w:r>
    </w:p>
    <w:p w14:paraId="7F03459E" w14:textId="13F2130C" w:rsidR="00E76E6A" w:rsidRPr="00B92144" w:rsidRDefault="004239A6" w:rsidP="00E05652">
      <w:pPr>
        <w:autoSpaceDE w:val="0"/>
        <w:autoSpaceDN w:val="0"/>
        <w:adjustRightInd w:val="0"/>
        <w:spacing w:before="120" w:after="120" w:line="360" w:lineRule="auto"/>
        <w:jc w:val="both"/>
        <w:rPr>
          <w:rFonts w:asciiTheme="majorBidi" w:hAnsiTheme="majorBidi" w:cstheme="majorBidi"/>
          <w:color w:val="000000"/>
          <w:sz w:val="24"/>
          <w:szCs w:val="24"/>
        </w:rPr>
      </w:pPr>
      <w:r w:rsidRPr="00B92144">
        <w:rPr>
          <w:rFonts w:asciiTheme="majorBidi" w:hAnsiTheme="majorBidi" w:cstheme="majorBidi"/>
          <w:sz w:val="24"/>
          <w:szCs w:val="24"/>
        </w:rPr>
        <w:t>According to the legitimacy theory, the disclosure of risk related information will be an answer to greater social and political pressures</w:t>
      </w:r>
      <w:r w:rsidR="007B5E89" w:rsidRPr="00B92144">
        <w:rPr>
          <w:rFonts w:asciiTheme="majorBidi" w:hAnsiTheme="majorBidi" w:cstheme="majorBidi"/>
          <w:sz w:val="24"/>
          <w:szCs w:val="24"/>
        </w:rPr>
        <w:t>,</w:t>
      </w:r>
      <w:r w:rsidRPr="00B92144">
        <w:rPr>
          <w:rFonts w:asciiTheme="majorBidi" w:hAnsiTheme="majorBidi" w:cstheme="majorBidi"/>
          <w:sz w:val="24"/>
          <w:szCs w:val="24"/>
        </w:rPr>
        <w:t xml:space="preserve"> </w:t>
      </w:r>
      <w:r w:rsidR="00CC2DDC" w:rsidRPr="00B92144">
        <w:rPr>
          <w:rFonts w:asciiTheme="majorBidi" w:hAnsiTheme="majorBidi" w:cstheme="majorBidi"/>
          <w:sz w:val="24"/>
          <w:szCs w:val="24"/>
        </w:rPr>
        <w:t>a form of discourse intended to manage</w:t>
      </w:r>
      <w:r w:rsidR="007B5E89" w:rsidRPr="00B92144">
        <w:rPr>
          <w:rFonts w:asciiTheme="majorBidi" w:hAnsiTheme="majorBidi" w:cstheme="majorBidi"/>
          <w:sz w:val="24"/>
          <w:szCs w:val="24"/>
        </w:rPr>
        <w:t xml:space="preserve"> </w:t>
      </w:r>
      <w:r w:rsidR="00CC2DDC" w:rsidRPr="00B92144">
        <w:rPr>
          <w:rFonts w:asciiTheme="majorBidi" w:hAnsiTheme="majorBidi" w:cstheme="majorBidi"/>
          <w:sz w:val="24"/>
          <w:szCs w:val="24"/>
        </w:rPr>
        <w:t>perceptions of the public and to response to perceived legitimacy threats</w:t>
      </w:r>
      <w:r w:rsidRPr="00B92144">
        <w:rPr>
          <w:rFonts w:asciiTheme="majorBidi" w:hAnsiTheme="majorBidi" w:cstheme="majorBidi"/>
          <w:sz w:val="24"/>
          <w:szCs w:val="24"/>
        </w:rPr>
        <w:t xml:space="preserve">. Thereby, </w:t>
      </w:r>
      <w:r w:rsidR="004010E5" w:rsidRPr="00B92144">
        <w:rPr>
          <w:rFonts w:asciiTheme="majorBidi" w:hAnsiTheme="majorBidi" w:cstheme="majorBidi"/>
          <w:sz w:val="24"/>
          <w:szCs w:val="24"/>
        </w:rPr>
        <w:t xml:space="preserve">enhanced </w:t>
      </w:r>
      <w:r w:rsidRPr="00B92144">
        <w:rPr>
          <w:rFonts w:asciiTheme="majorBidi" w:hAnsiTheme="majorBidi" w:cstheme="majorBidi"/>
          <w:sz w:val="24"/>
          <w:szCs w:val="24"/>
        </w:rPr>
        <w:t>RRD</w:t>
      </w:r>
      <w:r w:rsidRPr="00B92144">
        <w:rPr>
          <w:rFonts w:asciiTheme="majorBidi" w:hAnsiTheme="majorBidi" w:cstheme="majorBidi"/>
          <w:color w:val="000000"/>
          <w:sz w:val="24"/>
          <w:szCs w:val="24"/>
        </w:rPr>
        <w:t xml:space="preserve"> </w:t>
      </w:r>
      <w:r w:rsidR="00162D1E" w:rsidRPr="00B92144">
        <w:rPr>
          <w:rFonts w:asciiTheme="majorBidi" w:hAnsiTheme="majorBidi" w:cstheme="majorBidi"/>
          <w:color w:val="000000"/>
          <w:sz w:val="24"/>
          <w:szCs w:val="24"/>
        </w:rPr>
        <w:t>will be</w:t>
      </w:r>
      <w:r w:rsidRPr="00B92144">
        <w:rPr>
          <w:rFonts w:asciiTheme="majorBidi" w:hAnsiTheme="majorBidi" w:cstheme="majorBidi"/>
          <w:sz w:val="24"/>
          <w:szCs w:val="24"/>
        </w:rPr>
        <w:t xml:space="preserve"> crucial to restoring and preserving </w:t>
      </w:r>
      <w:r w:rsidR="004010E5" w:rsidRPr="00B92144">
        <w:rPr>
          <w:rFonts w:asciiTheme="majorBidi" w:hAnsiTheme="majorBidi" w:cstheme="majorBidi"/>
          <w:sz w:val="24"/>
          <w:szCs w:val="24"/>
        </w:rPr>
        <w:t>banks’</w:t>
      </w:r>
      <w:r w:rsidRPr="00B92144">
        <w:rPr>
          <w:rFonts w:asciiTheme="majorBidi" w:hAnsiTheme="majorBidi" w:cstheme="majorBidi"/>
          <w:sz w:val="24"/>
          <w:szCs w:val="24"/>
        </w:rPr>
        <w:t xml:space="preserve"> reputation and </w:t>
      </w:r>
      <w:r w:rsidR="00162D1E" w:rsidRPr="00B92144">
        <w:rPr>
          <w:rFonts w:asciiTheme="majorBidi" w:hAnsiTheme="majorBidi" w:cstheme="majorBidi"/>
          <w:sz w:val="24"/>
          <w:szCs w:val="24"/>
        </w:rPr>
        <w:t xml:space="preserve">to </w:t>
      </w:r>
      <w:r w:rsidRPr="00B92144">
        <w:rPr>
          <w:rFonts w:asciiTheme="majorBidi" w:hAnsiTheme="majorBidi" w:cstheme="majorBidi"/>
          <w:sz w:val="24"/>
          <w:szCs w:val="24"/>
        </w:rPr>
        <w:t>fulfilling stakeholders’ expectations</w:t>
      </w:r>
      <w:r w:rsidR="00162D1E" w:rsidRPr="00B92144">
        <w:rPr>
          <w:rFonts w:asciiTheme="majorBidi" w:hAnsiTheme="majorBidi" w:cstheme="majorBidi"/>
          <w:sz w:val="24"/>
          <w:szCs w:val="24"/>
        </w:rPr>
        <w:t xml:space="preserve"> </w:t>
      </w:r>
      <w:r w:rsidR="00162D1E" w:rsidRPr="00B92144">
        <w:rPr>
          <w:rFonts w:asciiTheme="majorBidi" w:hAnsiTheme="majorBidi" w:cstheme="majorBidi"/>
          <w:color w:val="000000"/>
          <w:sz w:val="24"/>
          <w:szCs w:val="24"/>
        </w:rPr>
        <w:t>(</w:t>
      </w:r>
      <w:r w:rsidR="00162D1E" w:rsidRPr="00B92144">
        <w:rPr>
          <w:rFonts w:asciiTheme="majorBidi" w:hAnsiTheme="majorBidi" w:cstheme="majorBidi"/>
          <w:color w:val="244061" w:themeColor="accent1" w:themeShade="80"/>
          <w:sz w:val="24"/>
          <w:szCs w:val="24"/>
        </w:rPr>
        <w:t xml:space="preserve">Oliveira, Rodrigues, </w:t>
      </w:r>
      <w:r w:rsidR="00E05652" w:rsidRPr="00B92144">
        <w:rPr>
          <w:rFonts w:asciiTheme="majorBidi" w:hAnsiTheme="majorBidi" w:cstheme="majorBidi"/>
          <w:color w:val="244061" w:themeColor="accent1" w:themeShade="80"/>
          <w:sz w:val="24"/>
          <w:szCs w:val="24"/>
        </w:rPr>
        <w:t>&amp;</w:t>
      </w:r>
      <w:r w:rsidR="00162D1E" w:rsidRPr="00B92144">
        <w:rPr>
          <w:rFonts w:asciiTheme="majorBidi" w:hAnsiTheme="majorBidi" w:cstheme="majorBidi"/>
          <w:color w:val="244061" w:themeColor="accent1" w:themeShade="80"/>
          <w:sz w:val="24"/>
          <w:szCs w:val="24"/>
        </w:rPr>
        <w:t xml:space="preserve"> Craig 2011a</w:t>
      </w:r>
      <w:r w:rsidR="00162D1E" w:rsidRPr="00B92144">
        <w:rPr>
          <w:rFonts w:asciiTheme="majorBidi" w:hAnsiTheme="majorBidi" w:cstheme="majorBidi"/>
          <w:sz w:val="24"/>
          <w:szCs w:val="24"/>
        </w:rPr>
        <w:t>)</w:t>
      </w:r>
      <w:r w:rsidRPr="00B92144">
        <w:rPr>
          <w:rFonts w:asciiTheme="majorBidi" w:hAnsiTheme="majorBidi" w:cstheme="majorBidi"/>
          <w:sz w:val="24"/>
          <w:szCs w:val="24"/>
        </w:rPr>
        <w:t>.</w:t>
      </w:r>
      <w:r w:rsidR="004010E5" w:rsidRPr="00B92144">
        <w:rPr>
          <w:rFonts w:asciiTheme="majorBidi" w:hAnsiTheme="majorBidi" w:cstheme="majorBidi"/>
          <w:sz w:val="24"/>
          <w:szCs w:val="24"/>
        </w:rPr>
        <w:t xml:space="preserve"> Finally, larger banks have </w:t>
      </w:r>
      <w:r w:rsidR="004D77FE" w:rsidRPr="00B92144">
        <w:rPr>
          <w:rFonts w:asciiTheme="majorBidi" w:hAnsiTheme="majorBidi" w:cstheme="majorBidi"/>
          <w:sz w:val="24"/>
          <w:szCs w:val="24"/>
        </w:rPr>
        <w:t xml:space="preserve">substantial </w:t>
      </w:r>
      <w:r w:rsidR="004010E5" w:rsidRPr="00B92144">
        <w:rPr>
          <w:rFonts w:asciiTheme="majorBidi" w:hAnsiTheme="majorBidi" w:cstheme="majorBidi"/>
          <w:sz w:val="24"/>
          <w:szCs w:val="24"/>
        </w:rPr>
        <w:t xml:space="preserve">resources and may be better </w:t>
      </w:r>
      <w:r w:rsidR="004D77FE" w:rsidRPr="00B92144">
        <w:rPr>
          <w:rFonts w:asciiTheme="majorBidi" w:hAnsiTheme="majorBidi" w:cstheme="majorBidi"/>
          <w:sz w:val="24"/>
          <w:szCs w:val="24"/>
        </w:rPr>
        <w:t>placed</w:t>
      </w:r>
      <w:r w:rsidR="004010E5" w:rsidRPr="00B92144">
        <w:rPr>
          <w:rFonts w:asciiTheme="majorBidi" w:hAnsiTheme="majorBidi" w:cstheme="majorBidi"/>
          <w:sz w:val="24"/>
          <w:szCs w:val="24"/>
        </w:rPr>
        <w:t xml:space="preserve"> to provide risk information</w:t>
      </w:r>
      <w:r w:rsidR="004D77FE" w:rsidRPr="00B92144">
        <w:rPr>
          <w:rFonts w:asciiTheme="majorBidi" w:hAnsiTheme="majorBidi" w:cstheme="majorBidi"/>
          <w:sz w:val="24"/>
          <w:szCs w:val="24"/>
        </w:rPr>
        <w:t xml:space="preserve">, crucial to ensure </w:t>
      </w:r>
      <w:r w:rsidR="004010E5" w:rsidRPr="00B92144">
        <w:rPr>
          <w:rFonts w:asciiTheme="majorBidi" w:hAnsiTheme="majorBidi" w:cstheme="majorBidi"/>
          <w:sz w:val="24"/>
          <w:szCs w:val="24"/>
        </w:rPr>
        <w:t xml:space="preserve">market discipline </w:t>
      </w:r>
      <w:r w:rsidR="004D77FE" w:rsidRPr="00B92144">
        <w:rPr>
          <w:rFonts w:asciiTheme="majorBidi" w:hAnsiTheme="majorBidi" w:cstheme="majorBidi"/>
          <w:sz w:val="24"/>
          <w:szCs w:val="24"/>
        </w:rPr>
        <w:t xml:space="preserve">and </w:t>
      </w:r>
      <w:r w:rsidR="00914B45" w:rsidRPr="00B92144">
        <w:rPr>
          <w:rFonts w:asciiTheme="majorBidi" w:hAnsiTheme="majorBidi" w:cstheme="majorBidi"/>
          <w:sz w:val="24"/>
          <w:szCs w:val="24"/>
        </w:rPr>
        <w:t>to build or maintain their legitimacy to operate</w:t>
      </w:r>
      <w:r w:rsidR="004D77FE" w:rsidRPr="00B92144">
        <w:rPr>
          <w:rFonts w:asciiTheme="majorBidi" w:hAnsiTheme="majorBidi" w:cstheme="majorBidi"/>
          <w:sz w:val="24"/>
          <w:szCs w:val="24"/>
        </w:rPr>
        <w:t xml:space="preserve"> </w:t>
      </w:r>
      <w:r w:rsidR="004010E5" w:rsidRPr="00B92144">
        <w:rPr>
          <w:rFonts w:asciiTheme="majorBidi" w:hAnsiTheme="majorBidi" w:cstheme="majorBidi"/>
          <w:sz w:val="24"/>
          <w:szCs w:val="24"/>
        </w:rPr>
        <w:t>(</w:t>
      </w:r>
      <w:r w:rsidR="004010E5" w:rsidRPr="00B92144">
        <w:rPr>
          <w:rFonts w:asciiTheme="majorBidi" w:hAnsiTheme="majorBidi" w:cstheme="majorBidi"/>
          <w:color w:val="244061" w:themeColor="accent1" w:themeShade="80"/>
          <w:sz w:val="24"/>
          <w:szCs w:val="24"/>
        </w:rPr>
        <w:t xml:space="preserve">Van Hoose, 2007; Deumes </w:t>
      </w:r>
      <w:r w:rsidR="00E05652" w:rsidRPr="00B92144">
        <w:rPr>
          <w:rFonts w:asciiTheme="majorBidi" w:hAnsiTheme="majorBidi" w:cstheme="majorBidi"/>
          <w:color w:val="244061" w:themeColor="accent1" w:themeShade="80"/>
          <w:sz w:val="24"/>
          <w:szCs w:val="24"/>
        </w:rPr>
        <w:t>&amp;</w:t>
      </w:r>
      <w:r w:rsidR="004010E5" w:rsidRPr="00B92144">
        <w:rPr>
          <w:rFonts w:asciiTheme="majorBidi" w:hAnsiTheme="majorBidi" w:cstheme="majorBidi"/>
          <w:color w:val="244061" w:themeColor="accent1" w:themeShade="80"/>
          <w:sz w:val="24"/>
          <w:szCs w:val="24"/>
        </w:rPr>
        <w:t xml:space="preserve"> Knechel 2008</w:t>
      </w:r>
      <w:r w:rsidR="004010E5" w:rsidRPr="00B92144">
        <w:rPr>
          <w:rFonts w:asciiTheme="majorBidi" w:hAnsiTheme="majorBidi" w:cstheme="majorBidi"/>
          <w:sz w:val="24"/>
          <w:szCs w:val="24"/>
        </w:rPr>
        <w:t>).</w:t>
      </w:r>
    </w:p>
    <w:p w14:paraId="7DB5AACF" w14:textId="5D3C2C4D" w:rsidR="00E76E6A" w:rsidRPr="00B92144" w:rsidRDefault="004C5454" w:rsidP="00410EDE">
      <w:pPr>
        <w:autoSpaceDE w:val="0"/>
        <w:autoSpaceDN w:val="0"/>
        <w:adjustRightInd w:val="0"/>
        <w:spacing w:before="120" w:after="120" w:line="360" w:lineRule="auto"/>
        <w:jc w:val="both"/>
        <w:rPr>
          <w:rFonts w:asciiTheme="majorBidi" w:hAnsiTheme="majorBidi" w:cstheme="majorBidi"/>
          <w:i/>
          <w:iCs/>
          <w:sz w:val="24"/>
          <w:szCs w:val="24"/>
        </w:rPr>
      </w:pPr>
      <w:r w:rsidRPr="00B92144">
        <w:rPr>
          <w:rFonts w:asciiTheme="majorBidi" w:hAnsiTheme="majorBidi" w:cstheme="majorBidi"/>
          <w:i/>
          <w:iCs/>
          <w:sz w:val="24"/>
          <w:szCs w:val="24"/>
        </w:rPr>
        <w:t>H</w:t>
      </w:r>
      <w:r w:rsidR="004010E5" w:rsidRPr="00B92144">
        <w:rPr>
          <w:rFonts w:asciiTheme="majorBidi" w:hAnsiTheme="majorBidi" w:cstheme="majorBidi"/>
          <w:i/>
          <w:iCs/>
          <w:sz w:val="24"/>
          <w:szCs w:val="24"/>
        </w:rPr>
        <w:t>2</w:t>
      </w:r>
      <w:r w:rsidRPr="00B92144">
        <w:rPr>
          <w:rFonts w:asciiTheme="majorBidi" w:hAnsiTheme="majorBidi" w:cstheme="majorBidi"/>
          <w:i/>
          <w:iCs/>
          <w:sz w:val="24"/>
          <w:szCs w:val="24"/>
        </w:rPr>
        <w:t xml:space="preserve">. There is a positive association between size and the level of </w:t>
      </w:r>
      <w:r w:rsidR="005E1CE7" w:rsidRPr="00B92144">
        <w:rPr>
          <w:rFonts w:asciiTheme="majorBidi" w:hAnsiTheme="majorBidi" w:cstheme="majorBidi"/>
          <w:i/>
          <w:iCs/>
          <w:sz w:val="24"/>
          <w:szCs w:val="24"/>
        </w:rPr>
        <w:t xml:space="preserve">banks’ </w:t>
      </w:r>
      <w:r w:rsidR="00410EDE" w:rsidRPr="00B92144">
        <w:rPr>
          <w:rFonts w:asciiTheme="majorBidi" w:hAnsiTheme="majorBidi" w:cstheme="majorBidi"/>
          <w:i/>
          <w:iCs/>
          <w:sz w:val="24"/>
          <w:szCs w:val="24"/>
        </w:rPr>
        <w:t>RRD</w:t>
      </w:r>
      <w:r w:rsidRPr="00B92144">
        <w:rPr>
          <w:rFonts w:asciiTheme="majorBidi" w:hAnsiTheme="majorBidi" w:cstheme="majorBidi"/>
          <w:i/>
          <w:iCs/>
          <w:sz w:val="24"/>
          <w:szCs w:val="24"/>
        </w:rPr>
        <w:t>.</w:t>
      </w:r>
    </w:p>
    <w:p w14:paraId="1A35729F" w14:textId="77777777" w:rsidR="00D238A2" w:rsidRPr="00B92144" w:rsidRDefault="00D238A2" w:rsidP="00A7568D">
      <w:pPr>
        <w:autoSpaceDE w:val="0"/>
        <w:autoSpaceDN w:val="0"/>
        <w:adjustRightInd w:val="0"/>
        <w:spacing w:before="120" w:after="120" w:line="360" w:lineRule="auto"/>
        <w:jc w:val="both"/>
        <w:rPr>
          <w:rFonts w:asciiTheme="majorBidi" w:hAnsiTheme="majorBidi" w:cstheme="majorBidi"/>
          <w:i/>
          <w:iCs/>
          <w:sz w:val="24"/>
          <w:szCs w:val="24"/>
        </w:rPr>
      </w:pPr>
    </w:p>
    <w:p w14:paraId="466331F8" w14:textId="32873858" w:rsidR="00FD34E2" w:rsidRPr="00B92144" w:rsidRDefault="003219DB" w:rsidP="00FD34E2">
      <w:pPr>
        <w:pStyle w:val="ListParagraph"/>
        <w:numPr>
          <w:ilvl w:val="0"/>
          <w:numId w:val="4"/>
        </w:numPr>
        <w:autoSpaceDE w:val="0"/>
        <w:autoSpaceDN w:val="0"/>
        <w:adjustRightInd w:val="0"/>
        <w:spacing w:before="120" w:after="120" w:line="360" w:lineRule="auto"/>
        <w:jc w:val="both"/>
        <w:rPr>
          <w:rFonts w:asciiTheme="majorBidi" w:hAnsiTheme="majorBidi" w:cstheme="majorBidi"/>
          <w:sz w:val="24"/>
          <w:szCs w:val="24"/>
          <w:u w:val="single"/>
        </w:rPr>
      </w:pPr>
      <w:r w:rsidRPr="00B92144">
        <w:rPr>
          <w:rFonts w:asciiTheme="majorBidi" w:hAnsiTheme="majorBidi" w:cstheme="majorBidi"/>
          <w:sz w:val="24"/>
          <w:szCs w:val="24"/>
          <w:u w:val="single"/>
        </w:rPr>
        <w:t>Bank age and RRD</w:t>
      </w:r>
    </w:p>
    <w:p w14:paraId="793E3F7E" w14:textId="77777777" w:rsidR="00A273B5" w:rsidRPr="00B92144" w:rsidRDefault="00D351C0" w:rsidP="00AB0C67">
      <w:pPr>
        <w:autoSpaceDE w:val="0"/>
        <w:autoSpaceDN w:val="0"/>
        <w:adjustRightInd w:val="0"/>
        <w:spacing w:before="120" w:after="12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Recent literature (e.g. </w:t>
      </w:r>
      <w:r w:rsidRPr="00B92144">
        <w:rPr>
          <w:rFonts w:asciiTheme="majorBidi" w:hAnsiTheme="majorBidi" w:cstheme="majorBidi"/>
          <w:color w:val="244061" w:themeColor="accent1" w:themeShade="80"/>
          <w:sz w:val="24"/>
          <w:szCs w:val="24"/>
        </w:rPr>
        <w:t xml:space="preserve">Alfraih &amp; AlMutawa, 2014; Demir </w:t>
      </w:r>
      <w:r w:rsidR="00487037" w:rsidRPr="00B92144">
        <w:rPr>
          <w:rFonts w:asciiTheme="majorBidi" w:hAnsiTheme="majorBidi" w:cstheme="majorBidi"/>
          <w:color w:val="244061" w:themeColor="accent1" w:themeShade="80"/>
          <w:sz w:val="24"/>
          <w:szCs w:val="24"/>
        </w:rPr>
        <w:t>&amp;</w:t>
      </w:r>
      <w:r w:rsidRPr="00B92144">
        <w:rPr>
          <w:rFonts w:asciiTheme="majorBidi" w:hAnsiTheme="majorBidi" w:cstheme="majorBidi"/>
          <w:color w:val="244061" w:themeColor="accent1" w:themeShade="80"/>
          <w:sz w:val="24"/>
          <w:szCs w:val="24"/>
        </w:rPr>
        <w:t xml:space="preserve"> Bahadir, 2014; Alsaeed, 2006</w:t>
      </w:r>
      <w:r w:rsidRPr="00B92144">
        <w:rPr>
          <w:rFonts w:asciiTheme="majorBidi" w:hAnsiTheme="majorBidi" w:cstheme="majorBidi"/>
          <w:sz w:val="24"/>
          <w:szCs w:val="24"/>
        </w:rPr>
        <w:t xml:space="preserve">) </w:t>
      </w:r>
      <w:r w:rsidR="00B7411B" w:rsidRPr="00B92144">
        <w:rPr>
          <w:rFonts w:asciiTheme="majorBidi" w:hAnsiTheme="majorBidi" w:cstheme="majorBidi"/>
          <w:sz w:val="24"/>
          <w:szCs w:val="24"/>
        </w:rPr>
        <w:t>suggest</w:t>
      </w:r>
      <w:r w:rsidRPr="00B92144">
        <w:rPr>
          <w:rFonts w:asciiTheme="majorBidi" w:hAnsiTheme="majorBidi" w:cstheme="majorBidi"/>
          <w:sz w:val="24"/>
          <w:szCs w:val="24"/>
        </w:rPr>
        <w:t xml:space="preserve"> that old firms </w:t>
      </w:r>
      <w:r w:rsidR="00B7411B" w:rsidRPr="00B92144">
        <w:rPr>
          <w:rFonts w:asciiTheme="majorBidi" w:hAnsiTheme="majorBidi" w:cstheme="majorBidi"/>
          <w:sz w:val="24"/>
          <w:szCs w:val="24"/>
        </w:rPr>
        <w:t>might have enhanced their information disclosure practices over time</w:t>
      </w:r>
      <w:r w:rsidR="00670833" w:rsidRPr="00B92144">
        <w:rPr>
          <w:rFonts w:asciiTheme="majorBidi" w:hAnsiTheme="majorBidi" w:cstheme="majorBidi"/>
          <w:sz w:val="24"/>
          <w:szCs w:val="24"/>
        </w:rPr>
        <w:t>. On one hand, old firms</w:t>
      </w:r>
      <w:r w:rsidR="00B7411B" w:rsidRPr="00B92144">
        <w:rPr>
          <w:rFonts w:asciiTheme="majorBidi" w:hAnsiTheme="majorBidi" w:cstheme="majorBidi"/>
          <w:sz w:val="24"/>
          <w:szCs w:val="24"/>
        </w:rPr>
        <w:t xml:space="preserve"> might </w:t>
      </w:r>
      <w:r w:rsidR="00670833" w:rsidRPr="00B92144">
        <w:rPr>
          <w:rFonts w:asciiTheme="majorBidi" w:hAnsiTheme="majorBidi" w:cstheme="majorBidi"/>
          <w:sz w:val="24"/>
          <w:szCs w:val="24"/>
        </w:rPr>
        <w:t xml:space="preserve">already </w:t>
      </w:r>
      <w:r w:rsidR="00B7411B" w:rsidRPr="00B92144">
        <w:rPr>
          <w:rFonts w:asciiTheme="majorBidi" w:hAnsiTheme="majorBidi" w:cstheme="majorBidi"/>
          <w:sz w:val="24"/>
          <w:szCs w:val="24"/>
        </w:rPr>
        <w:t>have established procedures and well-</w:t>
      </w:r>
      <w:r w:rsidR="00670833" w:rsidRPr="00B92144">
        <w:rPr>
          <w:rFonts w:asciiTheme="majorBidi" w:hAnsiTheme="majorBidi" w:cstheme="majorBidi"/>
          <w:sz w:val="24"/>
          <w:szCs w:val="24"/>
        </w:rPr>
        <w:t xml:space="preserve"> experienced managers</w:t>
      </w:r>
      <w:r w:rsidR="00B7411B" w:rsidRPr="00B92144">
        <w:rPr>
          <w:rFonts w:asciiTheme="majorBidi" w:hAnsiTheme="majorBidi" w:cstheme="majorBidi"/>
          <w:sz w:val="24"/>
          <w:szCs w:val="24"/>
        </w:rPr>
        <w:t xml:space="preserve"> to deal with the technical aspects of their financial reporting.</w:t>
      </w:r>
      <w:r w:rsidR="00670833" w:rsidRPr="00B92144">
        <w:rPr>
          <w:rFonts w:asciiTheme="majorBidi" w:hAnsiTheme="majorBidi" w:cstheme="majorBidi"/>
          <w:sz w:val="24"/>
          <w:szCs w:val="24"/>
        </w:rPr>
        <w:t xml:space="preserve"> Conversely, younger firms are likely to focus on product and market share development, rather than accounting disclosure. Their managers might be less experienced in running the business and complying with regulatory requirements. Consequently, younger firms’ accounting systems tend to be ina</w:t>
      </w:r>
      <w:r w:rsidR="00D6780C" w:rsidRPr="00B92144">
        <w:rPr>
          <w:rFonts w:asciiTheme="majorBidi" w:hAnsiTheme="majorBidi" w:cstheme="majorBidi"/>
          <w:sz w:val="24"/>
          <w:szCs w:val="24"/>
        </w:rPr>
        <w:t>ppropriate</w:t>
      </w:r>
      <w:r w:rsidR="00670833" w:rsidRPr="00B92144">
        <w:rPr>
          <w:rFonts w:asciiTheme="majorBidi" w:hAnsiTheme="majorBidi" w:cstheme="majorBidi"/>
          <w:sz w:val="24"/>
          <w:szCs w:val="24"/>
        </w:rPr>
        <w:t>, resulting in lower quality of accounting information (</w:t>
      </w:r>
      <w:r w:rsidR="00670833" w:rsidRPr="00B92144">
        <w:rPr>
          <w:rFonts w:asciiTheme="majorBidi" w:hAnsiTheme="majorBidi" w:cstheme="majorBidi"/>
          <w:color w:val="244061" w:themeColor="accent1" w:themeShade="80"/>
          <w:sz w:val="24"/>
          <w:szCs w:val="24"/>
        </w:rPr>
        <w:t xml:space="preserve">Glaum </w:t>
      </w:r>
      <w:r w:rsidR="005F439F" w:rsidRPr="00B92144">
        <w:rPr>
          <w:rFonts w:asciiTheme="majorBidi" w:hAnsiTheme="majorBidi" w:cstheme="majorBidi"/>
          <w:color w:val="244061" w:themeColor="accent1" w:themeShade="80"/>
          <w:sz w:val="24"/>
          <w:szCs w:val="24"/>
        </w:rPr>
        <w:t>&amp;</w:t>
      </w:r>
      <w:r w:rsidR="00670833" w:rsidRPr="00B92144">
        <w:rPr>
          <w:rFonts w:asciiTheme="majorBidi" w:hAnsiTheme="majorBidi" w:cstheme="majorBidi"/>
          <w:color w:val="244061" w:themeColor="accent1" w:themeShade="80"/>
          <w:sz w:val="24"/>
          <w:szCs w:val="24"/>
        </w:rPr>
        <w:t xml:space="preserve"> Street</w:t>
      </w:r>
      <w:r w:rsidR="005F439F" w:rsidRPr="00B92144">
        <w:rPr>
          <w:rFonts w:asciiTheme="majorBidi" w:hAnsiTheme="majorBidi" w:cstheme="majorBidi"/>
          <w:color w:val="244061" w:themeColor="accent1" w:themeShade="80"/>
          <w:sz w:val="24"/>
          <w:szCs w:val="24"/>
        </w:rPr>
        <w:t xml:space="preserve">, </w:t>
      </w:r>
      <w:r w:rsidR="00670833" w:rsidRPr="00B92144">
        <w:rPr>
          <w:rFonts w:asciiTheme="majorBidi" w:hAnsiTheme="majorBidi" w:cstheme="majorBidi"/>
          <w:color w:val="244061" w:themeColor="accent1" w:themeShade="80"/>
          <w:sz w:val="24"/>
          <w:szCs w:val="24"/>
        </w:rPr>
        <w:t>2003</w:t>
      </w:r>
      <w:r w:rsidR="00670833" w:rsidRPr="00B92144">
        <w:rPr>
          <w:rFonts w:asciiTheme="majorBidi" w:hAnsiTheme="majorBidi" w:cstheme="majorBidi"/>
          <w:sz w:val="24"/>
          <w:szCs w:val="24"/>
        </w:rPr>
        <w:t>).</w:t>
      </w:r>
      <w:r w:rsidR="00826F95" w:rsidRPr="00B92144">
        <w:rPr>
          <w:rFonts w:asciiTheme="majorBidi" w:hAnsiTheme="majorBidi" w:cstheme="majorBidi"/>
          <w:sz w:val="24"/>
          <w:szCs w:val="24"/>
        </w:rPr>
        <w:t xml:space="preserve"> </w:t>
      </w:r>
    </w:p>
    <w:p w14:paraId="7E0EAE73" w14:textId="567A3852" w:rsidR="005F439F" w:rsidRPr="00B92144" w:rsidRDefault="00826F95" w:rsidP="00AB0C67">
      <w:pPr>
        <w:autoSpaceDE w:val="0"/>
        <w:autoSpaceDN w:val="0"/>
        <w:adjustRightInd w:val="0"/>
        <w:spacing w:before="120" w:after="12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On the other hand, </w:t>
      </w:r>
      <w:r w:rsidR="005F439F" w:rsidRPr="00B92144">
        <w:rPr>
          <w:rFonts w:asciiTheme="majorBidi" w:hAnsiTheme="majorBidi" w:cstheme="majorBidi"/>
          <w:sz w:val="24"/>
          <w:szCs w:val="24"/>
        </w:rPr>
        <w:t>older firms might have developed a reputatio</w:t>
      </w:r>
      <w:r w:rsidR="00D6780C" w:rsidRPr="00B92144">
        <w:rPr>
          <w:rFonts w:asciiTheme="majorBidi" w:hAnsiTheme="majorBidi" w:cstheme="majorBidi"/>
          <w:sz w:val="24"/>
          <w:szCs w:val="24"/>
        </w:rPr>
        <w:t>n</w:t>
      </w:r>
      <w:r w:rsidR="005F439F" w:rsidRPr="00B92144">
        <w:rPr>
          <w:rFonts w:asciiTheme="majorBidi" w:hAnsiTheme="majorBidi" w:cstheme="majorBidi"/>
          <w:sz w:val="24"/>
          <w:szCs w:val="24"/>
        </w:rPr>
        <w:t xml:space="preserve"> in the market by accumulating public’s judgements</w:t>
      </w:r>
      <w:r w:rsidR="00D6780C" w:rsidRPr="00B92144">
        <w:rPr>
          <w:rFonts w:asciiTheme="majorBidi" w:hAnsiTheme="majorBidi" w:cstheme="majorBidi"/>
          <w:sz w:val="24"/>
          <w:szCs w:val="24"/>
        </w:rPr>
        <w:t xml:space="preserve"> </w:t>
      </w:r>
      <w:r w:rsidR="005F439F" w:rsidRPr="00B92144">
        <w:rPr>
          <w:rFonts w:asciiTheme="majorBidi" w:hAnsiTheme="majorBidi" w:cstheme="majorBidi"/>
          <w:sz w:val="24"/>
          <w:szCs w:val="24"/>
        </w:rPr>
        <w:t>over time (</w:t>
      </w:r>
      <w:r w:rsidR="005F439F" w:rsidRPr="00B92144">
        <w:rPr>
          <w:rFonts w:asciiTheme="majorBidi" w:hAnsiTheme="majorBidi" w:cstheme="majorBidi"/>
          <w:color w:val="244061" w:themeColor="accent1" w:themeShade="80"/>
          <w:sz w:val="24"/>
          <w:szCs w:val="24"/>
        </w:rPr>
        <w:t xml:space="preserve">Fombrun </w:t>
      </w:r>
      <w:r w:rsidR="00E05652" w:rsidRPr="00B92144">
        <w:rPr>
          <w:rFonts w:asciiTheme="majorBidi" w:hAnsiTheme="majorBidi" w:cstheme="majorBidi"/>
          <w:color w:val="244061" w:themeColor="accent1" w:themeShade="80"/>
          <w:sz w:val="24"/>
          <w:szCs w:val="24"/>
        </w:rPr>
        <w:t>&amp;</w:t>
      </w:r>
      <w:r w:rsidR="005F439F" w:rsidRPr="00B92144">
        <w:rPr>
          <w:rFonts w:asciiTheme="majorBidi" w:hAnsiTheme="majorBidi" w:cstheme="majorBidi"/>
          <w:color w:val="244061" w:themeColor="accent1" w:themeShade="80"/>
          <w:sz w:val="24"/>
          <w:szCs w:val="24"/>
        </w:rPr>
        <w:t xml:space="preserve"> Shanley, 1990; </w:t>
      </w:r>
      <w:r w:rsidR="0047558A" w:rsidRPr="00B92144">
        <w:rPr>
          <w:rFonts w:asciiTheme="majorBidi" w:hAnsiTheme="majorBidi" w:cstheme="majorBidi"/>
          <w:color w:val="244061" w:themeColor="accent1" w:themeShade="80"/>
          <w:sz w:val="24"/>
          <w:szCs w:val="24"/>
        </w:rPr>
        <w:t>Oliveira, Rodrigues, &amp; Craig</w:t>
      </w:r>
      <w:r w:rsidR="005F439F" w:rsidRPr="00B92144">
        <w:rPr>
          <w:rFonts w:asciiTheme="majorBidi" w:hAnsiTheme="majorBidi" w:cstheme="majorBidi"/>
          <w:color w:val="244061" w:themeColor="accent1" w:themeShade="80"/>
          <w:sz w:val="24"/>
          <w:szCs w:val="24"/>
        </w:rPr>
        <w:t>, 2011</w:t>
      </w:r>
      <w:r w:rsidR="001A19F3" w:rsidRPr="00B92144">
        <w:rPr>
          <w:rFonts w:asciiTheme="majorBidi" w:hAnsiTheme="majorBidi" w:cstheme="majorBidi"/>
          <w:color w:val="244061" w:themeColor="accent1" w:themeShade="80"/>
          <w:sz w:val="24"/>
          <w:szCs w:val="24"/>
        </w:rPr>
        <w:t>b</w:t>
      </w:r>
      <w:r w:rsidR="005F439F" w:rsidRPr="00B92144">
        <w:rPr>
          <w:rFonts w:asciiTheme="majorBidi" w:hAnsiTheme="majorBidi" w:cstheme="majorBidi"/>
          <w:sz w:val="24"/>
          <w:szCs w:val="24"/>
        </w:rPr>
        <w:t xml:space="preserve">). </w:t>
      </w:r>
      <w:r w:rsidR="00D6780C" w:rsidRPr="00B92144">
        <w:rPr>
          <w:rFonts w:asciiTheme="majorBidi" w:hAnsiTheme="majorBidi" w:cstheme="majorBidi"/>
          <w:sz w:val="24"/>
          <w:szCs w:val="24"/>
        </w:rPr>
        <w:t>In contrast, younger firms may l</w:t>
      </w:r>
      <w:r w:rsidR="003C1618" w:rsidRPr="00B92144">
        <w:rPr>
          <w:rFonts w:asciiTheme="majorBidi" w:hAnsiTheme="majorBidi" w:cstheme="majorBidi"/>
          <w:sz w:val="24"/>
          <w:szCs w:val="24"/>
        </w:rPr>
        <w:t>a</w:t>
      </w:r>
      <w:r w:rsidR="00D6780C" w:rsidRPr="00B92144">
        <w:rPr>
          <w:rFonts w:asciiTheme="majorBidi" w:hAnsiTheme="majorBidi" w:cstheme="majorBidi"/>
          <w:sz w:val="24"/>
          <w:szCs w:val="24"/>
        </w:rPr>
        <w:t xml:space="preserve">ck </w:t>
      </w:r>
      <w:r w:rsidR="003C1618" w:rsidRPr="00B92144">
        <w:rPr>
          <w:rFonts w:asciiTheme="majorBidi" w:hAnsiTheme="majorBidi" w:cstheme="majorBidi"/>
          <w:sz w:val="24"/>
          <w:szCs w:val="24"/>
        </w:rPr>
        <w:t>a “</w:t>
      </w:r>
      <w:r w:rsidR="00D6780C" w:rsidRPr="00B92144">
        <w:rPr>
          <w:rFonts w:asciiTheme="majorBidi" w:hAnsiTheme="majorBidi" w:cstheme="majorBidi"/>
          <w:sz w:val="24"/>
          <w:szCs w:val="24"/>
        </w:rPr>
        <w:t>track record</w:t>
      </w:r>
      <w:r w:rsidR="003C1618" w:rsidRPr="00B92144">
        <w:rPr>
          <w:rFonts w:asciiTheme="majorBidi" w:hAnsiTheme="majorBidi" w:cstheme="majorBidi"/>
          <w:sz w:val="24"/>
          <w:szCs w:val="24"/>
        </w:rPr>
        <w:t>”</w:t>
      </w:r>
      <w:r w:rsidR="00D6780C" w:rsidRPr="00B92144">
        <w:rPr>
          <w:rFonts w:asciiTheme="majorBidi" w:hAnsiTheme="majorBidi" w:cstheme="majorBidi"/>
          <w:sz w:val="24"/>
          <w:szCs w:val="24"/>
        </w:rPr>
        <w:t xml:space="preserve"> </w:t>
      </w:r>
      <w:r w:rsidR="003C1618" w:rsidRPr="00B92144">
        <w:rPr>
          <w:rFonts w:asciiTheme="majorBidi" w:hAnsiTheme="majorBidi" w:cstheme="majorBidi"/>
          <w:sz w:val="24"/>
          <w:szCs w:val="24"/>
        </w:rPr>
        <w:t>and rich</w:t>
      </w:r>
      <w:r w:rsidR="00D6780C" w:rsidRPr="00B92144">
        <w:rPr>
          <w:rFonts w:asciiTheme="majorBidi" w:hAnsiTheme="majorBidi" w:cstheme="majorBidi"/>
          <w:sz w:val="24"/>
          <w:szCs w:val="24"/>
        </w:rPr>
        <w:t xml:space="preserve"> past actions to rely on. Consistent with legitimacy theory and resources-based perspective, bank’s age is related to its public image and reputation, its involvement in improved risk management system, and the </w:t>
      </w:r>
      <w:r w:rsidR="003C1618" w:rsidRPr="00B92144">
        <w:rPr>
          <w:rFonts w:asciiTheme="majorBidi" w:hAnsiTheme="majorBidi" w:cstheme="majorBidi"/>
          <w:sz w:val="24"/>
          <w:szCs w:val="24"/>
        </w:rPr>
        <w:t>extent</w:t>
      </w:r>
      <w:r w:rsidR="00D6780C" w:rsidRPr="00B92144">
        <w:rPr>
          <w:rFonts w:asciiTheme="majorBidi" w:hAnsiTheme="majorBidi" w:cstheme="majorBidi"/>
          <w:sz w:val="24"/>
          <w:szCs w:val="24"/>
        </w:rPr>
        <w:t xml:space="preserve"> of </w:t>
      </w:r>
      <w:r w:rsidR="003C1618" w:rsidRPr="00B92144">
        <w:rPr>
          <w:rFonts w:asciiTheme="majorBidi" w:hAnsiTheme="majorBidi" w:cstheme="majorBidi"/>
          <w:sz w:val="24"/>
          <w:szCs w:val="24"/>
        </w:rPr>
        <w:t>trust</w:t>
      </w:r>
      <w:r w:rsidR="00D6780C" w:rsidRPr="00B92144">
        <w:rPr>
          <w:rFonts w:asciiTheme="majorBidi" w:hAnsiTheme="majorBidi" w:cstheme="majorBidi"/>
          <w:sz w:val="24"/>
          <w:szCs w:val="24"/>
        </w:rPr>
        <w:t xml:space="preserve"> depositors have in it</w:t>
      </w:r>
      <w:r w:rsidR="00520B45" w:rsidRPr="00B92144">
        <w:rPr>
          <w:rFonts w:asciiTheme="majorBidi" w:hAnsiTheme="majorBidi" w:cstheme="majorBidi"/>
          <w:sz w:val="24"/>
          <w:szCs w:val="24"/>
        </w:rPr>
        <w:t>.</w:t>
      </w:r>
      <w:r w:rsidR="00D6780C" w:rsidRPr="00B92144">
        <w:rPr>
          <w:rFonts w:asciiTheme="majorBidi" w:hAnsiTheme="majorBidi" w:cstheme="majorBidi"/>
          <w:sz w:val="24"/>
          <w:szCs w:val="24"/>
        </w:rPr>
        <w:t xml:space="preserve"> The </w:t>
      </w:r>
      <w:r w:rsidR="003C1618" w:rsidRPr="00B92144">
        <w:rPr>
          <w:rFonts w:asciiTheme="majorBidi" w:hAnsiTheme="majorBidi" w:cstheme="majorBidi"/>
          <w:sz w:val="24"/>
          <w:szCs w:val="24"/>
        </w:rPr>
        <w:t xml:space="preserve">older </w:t>
      </w:r>
      <w:r w:rsidR="00D6780C" w:rsidRPr="00B92144">
        <w:rPr>
          <w:rFonts w:asciiTheme="majorBidi" w:hAnsiTheme="majorBidi" w:cstheme="majorBidi"/>
          <w:sz w:val="24"/>
          <w:szCs w:val="24"/>
        </w:rPr>
        <w:t>a bank has been</w:t>
      </w:r>
      <w:r w:rsidR="003C1618" w:rsidRPr="00B92144">
        <w:rPr>
          <w:rFonts w:asciiTheme="majorBidi" w:hAnsiTheme="majorBidi" w:cstheme="majorBidi"/>
          <w:sz w:val="24"/>
          <w:szCs w:val="24"/>
        </w:rPr>
        <w:t xml:space="preserve"> in</w:t>
      </w:r>
      <w:r w:rsidR="00D6780C" w:rsidRPr="00B92144">
        <w:rPr>
          <w:rFonts w:asciiTheme="majorBidi" w:hAnsiTheme="majorBidi" w:cstheme="majorBidi"/>
          <w:sz w:val="24"/>
          <w:szCs w:val="24"/>
        </w:rPr>
        <w:t xml:space="preserve"> operat</w:t>
      </w:r>
      <w:r w:rsidR="003C1618" w:rsidRPr="00B92144">
        <w:rPr>
          <w:rFonts w:asciiTheme="majorBidi" w:hAnsiTheme="majorBidi" w:cstheme="majorBidi"/>
          <w:sz w:val="24"/>
          <w:szCs w:val="24"/>
        </w:rPr>
        <w:t>ion</w:t>
      </w:r>
      <w:r w:rsidR="00D6780C" w:rsidRPr="00B92144">
        <w:rPr>
          <w:rFonts w:asciiTheme="majorBidi" w:hAnsiTheme="majorBidi" w:cstheme="majorBidi"/>
          <w:sz w:val="24"/>
          <w:szCs w:val="24"/>
        </w:rPr>
        <w:t xml:space="preserve">, the higher its </w:t>
      </w:r>
      <w:r w:rsidR="003C1618" w:rsidRPr="00B92144">
        <w:rPr>
          <w:rFonts w:asciiTheme="majorBidi" w:hAnsiTheme="majorBidi" w:cstheme="majorBidi"/>
          <w:sz w:val="24"/>
          <w:szCs w:val="24"/>
        </w:rPr>
        <w:t>public image</w:t>
      </w:r>
      <w:r w:rsidR="00D6780C" w:rsidRPr="00B92144">
        <w:rPr>
          <w:rFonts w:asciiTheme="majorBidi" w:hAnsiTheme="majorBidi" w:cstheme="majorBidi"/>
          <w:sz w:val="24"/>
          <w:szCs w:val="24"/>
        </w:rPr>
        <w:t xml:space="preserve"> is likely </w:t>
      </w:r>
      <w:r w:rsidR="00D6780C" w:rsidRPr="00B92144">
        <w:rPr>
          <w:rFonts w:asciiTheme="majorBidi" w:hAnsiTheme="majorBidi" w:cstheme="majorBidi"/>
          <w:sz w:val="24"/>
          <w:szCs w:val="24"/>
        </w:rPr>
        <w:lastRenderedPageBreak/>
        <w:t xml:space="preserve">to be. </w:t>
      </w:r>
      <w:r w:rsidR="003C1618" w:rsidRPr="00B92144">
        <w:rPr>
          <w:rFonts w:asciiTheme="majorBidi" w:hAnsiTheme="majorBidi" w:cstheme="majorBidi"/>
          <w:sz w:val="24"/>
          <w:szCs w:val="24"/>
        </w:rPr>
        <w:t>For instance</w:t>
      </w:r>
      <w:r w:rsidR="00D6780C" w:rsidRPr="00B92144">
        <w:rPr>
          <w:rFonts w:asciiTheme="majorBidi" w:hAnsiTheme="majorBidi" w:cstheme="majorBidi"/>
          <w:sz w:val="24"/>
          <w:szCs w:val="24"/>
        </w:rPr>
        <w:t>, higher levels of RRD are expected to build and foster reputation</w:t>
      </w:r>
      <w:r w:rsidR="003C1618" w:rsidRPr="00B92144">
        <w:rPr>
          <w:rFonts w:asciiTheme="majorBidi" w:hAnsiTheme="majorBidi" w:cstheme="majorBidi"/>
          <w:sz w:val="24"/>
          <w:szCs w:val="24"/>
        </w:rPr>
        <w:t xml:space="preserve"> </w:t>
      </w:r>
      <w:r w:rsidR="007C197D" w:rsidRPr="00B92144">
        <w:rPr>
          <w:rFonts w:asciiTheme="majorBidi" w:hAnsiTheme="majorBidi" w:cstheme="majorBidi"/>
          <w:sz w:val="24"/>
          <w:szCs w:val="24"/>
        </w:rPr>
        <w:t>(</w:t>
      </w:r>
      <w:r w:rsidR="00514AAE" w:rsidRPr="00B92144">
        <w:rPr>
          <w:rFonts w:asciiTheme="majorBidi" w:hAnsiTheme="majorBidi" w:cstheme="majorBidi"/>
          <w:color w:val="244061" w:themeColor="accent1" w:themeShade="80"/>
          <w:sz w:val="24"/>
          <w:szCs w:val="24"/>
        </w:rPr>
        <w:t xml:space="preserve">Abdul </w:t>
      </w:r>
      <w:r w:rsidR="009D236F" w:rsidRPr="00B92144">
        <w:rPr>
          <w:rFonts w:asciiTheme="majorBidi" w:hAnsiTheme="majorBidi" w:cstheme="majorBidi"/>
          <w:color w:val="244061" w:themeColor="accent1" w:themeShade="80"/>
          <w:sz w:val="24"/>
          <w:szCs w:val="24"/>
        </w:rPr>
        <w:t>Hamid, 2004; Sa</w:t>
      </w:r>
      <w:r w:rsidR="007C197D" w:rsidRPr="00B92144">
        <w:rPr>
          <w:rFonts w:asciiTheme="majorBidi" w:hAnsiTheme="majorBidi" w:cstheme="majorBidi"/>
          <w:color w:val="244061" w:themeColor="accent1" w:themeShade="80"/>
          <w:sz w:val="24"/>
          <w:szCs w:val="24"/>
        </w:rPr>
        <w:t xml:space="preserve">nchez-Ballesta </w:t>
      </w:r>
      <w:r w:rsidR="00520B45" w:rsidRPr="00B92144">
        <w:rPr>
          <w:rFonts w:asciiTheme="majorBidi" w:hAnsiTheme="majorBidi" w:cstheme="majorBidi"/>
          <w:color w:val="244061" w:themeColor="accent1" w:themeShade="80"/>
          <w:sz w:val="24"/>
          <w:szCs w:val="24"/>
        </w:rPr>
        <w:t>&amp;</w:t>
      </w:r>
      <w:r w:rsidR="009D236F" w:rsidRPr="00B92144">
        <w:rPr>
          <w:rFonts w:asciiTheme="majorBidi" w:hAnsiTheme="majorBidi" w:cstheme="majorBidi"/>
          <w:color w:val="244061" w:themeColor="accent1" w:themeShade="80"/>
          <w:sz w:val="24"/>
          <w:szCs w:val="24"/>
        </w:rPr>
        <w:t xml:space="preserve"> Bernal Llo</w:t>
      </w:r>
      <w:r w:rsidR="007C197D" w:rsidRPr="00B92144">
        <w:rPr>
          <w:rFonts w:asciiTheme="majorBidi" w:hAnsiTheme="majorBidi" w:cstheme="majorBidi"/>
          <w:color w:val="244061" w:themeColor="accent1" w:themeShade="80"/>
          <w:sz w:val="24"/>
          <w:szCs w:val="24"/>
        </w:rPr>
        <w:t>rens, 2010</w:t>
      </w:r>
      <w:r w:rsidR="00520B45" w:rsidRPr="00B92144">
        <w:rPr>
          <w:rFonts w:asciiTheme="majorBidi" w:hAnsiTheme="majorBidi" w:cstheme="majorBidi"/>
          <w:color w:val="244061" w:themeColor="accent1" w:themeShade="80"/>
          <w:sz w:val="24"/>
          <w:szCs w:val="24"/>
        </w:rPr>
        <w:t xml:space="preserve">; </w:t>
      </w:r>
      <w:r w:rsidR="0047558A" w:rsidRPr="00B92144">
        <w:rPr>
          <w:rFonts w:asciiTheme="majorBidi" w:hAnsiTheme="majorBidi" w:cstheme="majorBidi"/>
          <w:color w:val="244061" w:themeColor="accent1" w:themeShade="80"/>
          <w:sz w:val="24"/>
          <w:szCs w:val="24"/>
        </w:rPr>
        <w:t>Oliveira, Rodrigues, &amp; Craig</w:t>
      </w:r>
      <w:r w:rsidR="003C1618" w:rsidRPr="00B92144">
        <w:rPr>
          <w:rFonts w:asciiTheme="majorBidi" w:hAnsiTheme="majorBidi" w:cstheme="majorBidi"/>
          <w:color w:val="244061" w:themeColor="accent1" w:themeShade="80"/>
          <w:sz w:val="24"/>
          <w:szCs w:val="24"/>
        </w:rPr>
        <w:t>, 2011</w:t>
      </w:r>
      <w:r w:rsidR="001A19F3" w:rsidRPr="00B92144">
        <w:rPr>
          <w:rFonts w:asciiTheme="majorBidi" w:hAnsiTheme="majorBidi" w:cstheme="majorBidi"/>
          <w:color w:val="244061" w:themeColor="accent1" w:themeShade="80"/>
          <w:sz w:val="24"/>
          <w:szCs w:val="24"/>
        </w:rPr>
        <w:t>b</w:t>
      </w:r>
      <w:r w:rsidR="003C1618" w:rsidRPr="00B92144">
        <w:rPr>
          <w:rFonts w:asciiTheme="majorBidi" w:hAnsiTheme="majorBidi" w:cstheme="majorBidi"/>
          <w:sz w:val="24"/>
          <w:szCs w:val="24"/>
        </w:rPr>
        <w:t>)</w:t>
      </w:r>
      <w:r w:rsidR="00D6780C" w:rsidRPr="00B92144">
        <w:rPr>
          <w:rFonts w:asciiTheme="majorBidi" w:hAnsiTheme="majorBidi" w:cstheme="majorBidi"/>
          <w:sz w:val="24"/>
          <w:szCs w:val="24"/>
        </w:rPr>
        <w:t xml:space="preserve">. </w:t>
      </w:r>
    </w:p>
    <w:p w14:paraId="0FEEFA65" w14:textId="2EC71398" w:rsidR="00A7568D" w:rsidRPr="00B92144" w:rsidRDefault="00FD34E2" w:rsidP="00410EDE">
      <w:pPr>
        <w:autoSpaceDE w:val="0"/>
        <w:autoSpaceDN w:val="0"/>
        <w:adjustRightInd w:val="0"/>
        <w:spacing w:before="120" w:after="120" w:line="360" w:lineRule="auto"/>
        <w:jc w:val="both"/>
        <w:rPr>
          <w:rFonts w:asciiTheme="majorBidi" w:hAnsiTheme="majorBidi" w:cstheme="majorBidi"/>
          <w:i/>
          <w:iCs/>
          <w:sz w:val="24"/>
          <w:szCs w:val="24"/>
        </w:rPr>
      </w:pPr>
      <w:r w:rsidRPr="00B92144">
        <w:rPr>
          <w:rFonts w:asciiTheme="majorBidi" w:hAnsiTheme="majorBidi" w:cstheme="majorBidi"/>
          <w:i/>
          <w:iCs/>
          <w:sz w:val="24"/>
          <w:szCs w:val="24"/>
        </w:rPr>
        <w:t xml:space="preserve">H3. There is a positive association between </w:t>
      </w:r>
      <w:r w:rsidR="00980272" w:rsidRPr="00B92144">
        <w:rPr>
          <w:rFonts w:asciiTheme="majorBidi" w:hAnsiTheme="majorBidi" w:cstheme="majorBidi"/>
          <w:i/>
          <w:iCs/>
          <w:sz w:val="24"/>
          <w:szCs w:val="24"/>
        </w:rPr>
        <w:t xml:space="preserve">bank </w:t>
      </w:r>
      <w:r w:rsidRPr="00B92144">
        <w:rPr>
          <w:rFonts w:asciiTheme="majorBidi" w:hAnsiTheme="majorBidi" w:cstheme="majorBidi"/>
          <w:i/>
          <w:iCs/>
          <w:sz w:val="24"/>
          <w:szCs w:val="24"/>
        </w:rPr>
        <w:t xml:space="preserve">age and the level of </w:t>
      </w:r>
      <w:r w:rsidR="00410EDE" w:rsidRPr="00B92144">
        <w:rPr>
          <w:rFonts w:asciiTheme="majorBidi" w:hAnsiTheme="majorBidi" w:cstheme="majorBidi"/>
          <w:i/>
          <w:iCs/>
          <w:sz w:val="24"/>
          <w:szCs w:val="24"/>
        </w:rPr>
        <w:t>RRD</w:t>
      </w:r>
      <w:r w:rsidRPr="00B92144">
        <w:rPr>
          <w:rFonts w:asciiTheme="majorBidi" w:hAnsiTheme="majorBidi" w:cstheme="majorBidi"/>
          <w:i/>
          <w:iCs/>
          <w:sz w:val="24"/>
          <w:szCs w:val="24"/>
        </w:rPr>
        <w:t>.</w:t>
      </w:r>
    </w:p>
    <w:p w14:paraId="1178D7C8" w14:textId="4E009D4E" w:rsidR="00A91950" w:rsidRPr="00B92144" w:rsidRDefault="003219DB" w:rsidP="00A91950">
      <w:pPr>
        <w:pStyle w:val="ListParagraph"/>
        <w:numPr>
          <w:ilvl w:val="0"/>
          <w:numId w:val="4"/>
        </w:numPr>
        <w:autoSpaceDE w:val="0"/>
        <w:autoSpaceDN w:val="0"/>
        <w:adjustRightInd w:val="0"/>
        <w:spacing w:before="120" w:after="120" w:line="360" w:lineRule="auto"/>
        <w:jc w:val="both"/>
        <w:rPr>
          <w:rFonts w:asciiTheme="majorBidi" w:hAnsiTheme="majorBidi" w:cstheme="majorBidi"/>
          <w:sz w:val="24"/>
          <w:szCs w:val="24"/>
          <w:u w:val="single"/>
        </w:rPr>
      </w:pPr>
      <w:r w:rsidRPr="00B92144">
        <w:rPr>
          <w:rFonts w:asciiTheme="majorBidi" w:hAnsiTheme="majorBidi" w:cstheme="majorBidi"/>
          <w:sz w:val="24"/>
          <w:szCs w:val="24"/>
          <w:u w:val="single"/>
        </w:rPr>
        <w:t>Financial leverage and RRD</w:t>
      </w:r>
    </w:p>
    <w:p w14:paraId="6C7765C2" w14:textId="60506568" w:rsidR="00AB0C67" w:rsidRPr="00B92144" w:rsidRDefault="007B5FB6" w:rsidP="006333EF">
      <w:pPr>
        <w:autoSpaceDE w:val="0"/>
        <w:autoSpaceDN w:val="0"/>
        <w:adjustRightInd w:val="0"/>
        <w:spacing w:before="120" w:after="12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Recent risk disclosure literature </w:t>
      </w:r>
      <w:r w:rsidR="001A19F3" w:rsidRPr="00B92144">
        <w:rPr>
          <w:rFonts w:asciiTheme="majorBidi" w:hAnsiTheme="majorBidi" w:cstheme="majorBidi"/>
          <w:sz w:val="24"/>
          <w:szCs w:val="24"/>
        </w:rPr>
        <w:t xml:space="preserve">(e.g. </w:t>
      </w:r>
      <w:r w:rsidR="0062045B" w:rsidRPr="00B92144">
        <w:rPr>
          <w:rFonts w:asciiTheme="majorBidi" w:hAnsiTheme="majorBidi" w:cstheme="majorBidi"/>
          <w:color w:val="244061" w:themeColor="accent1" w:themeShade="80"/>
          <w:sz w:val="24"/>
          <w:szCs w:val="24"/>
        </w:rPr>
        <w:t>Amran, Bin, &amp; Hassan 2009</w:t>
      </w:r>
      <w:r w:rsidR="001A19F3" w:rsidRPr="00B92144">
        <w:rPr>
          <w:rFonts w:asciiTheme="majorBidi" w:hAnsiTheme="majorBidi" w:cstheme="majorBidi"/>
          <w:color w:val="244061" w:themeColor="accent1" w:themeShade="80"/>
          <w:sz w:val="24"/>
          <w:szCs w:val="24"/>
        </w:rPr>
        <w:t xml:space="preserve">; Oliveira, Rodrigues, </w:t>
      </w:r>
      <w:r w:rsidR="00E05652" w:rsidRPr="00B92144">
        <w:rPr>
          <w:rFonts w:asciiTheme="majorBidi" w:hAnsiTheme="majorBidi" w:cstheme="majorBidi"/>
          <w:color w:val="244061" w:themeColor="accent1" w:themeShade="80"/>
          <w:sz w:val="24"/>
          <w:szCs w:val="24"/>
        </w:rPr>
        <w:t>&amp;</w:t>
      </w:r>
      <w:r w:rsidR="001A19F3" w:rsidRPr="00B92144">
        <w:rPr>
          <w:rFonts w:asciiTheme="majorBidi" w:hAnsiTheme="majorBidi" w:cstheme="majorBidi"/>
          <w:color w:val="244061" w:themeColor="accent1" w:themeShade="80"/>
          <w:sz w:val="24"/>
          <w:szCs w:val="24"/>
        </w:rPr>
        <w:t xml:space="preserve"> Craig 2011</w:t>
      </w:r>
      <w:r w:rsidR="0047558A" w:rsidRPr="00B92144">
        <w:rPr>
          <w:rFonts w:asciiTheme="majorBidi" w:hAnsiTheme="majorBidi" w:cstheme="majorBidi"/>
          <w:color w:val="244061" w:themeColor="accent1" w:themeShade="80"/>
          <w:sz w:val="24"/>
          <w:szCs w:val="24"/>
        </w:rPr>
        <w:t>b</w:t>
      </w:r>
      <w:r w:rsidR="001A19F3" w:rsidRPr="00B92144">
        <w:rPr>
          <w:rFonts w:asciiTheme="majorBidi" w:hAnsiTheme="majorBidi" w:cstheme="majorBidi"/>
          <w:color w:val="244061" w:themeColor="accent1" w:themeShade="80"/>
          <w:sz w:val="24"/>
          <w:szCs w:val="24"/>
        </w:rPr>
        <w:t>; Elshandidy, Fraser, &amp; Hussainey 2013; Khlif &amp; Hussainey, 2014</w:t>
      </w:r>
      <w:r w:rsidR="001A19F3" w:rsidRPr="00B92144">
        <w:rPr>
          <w:rFonts w:asciiTheme="majorBidi" w:hAnsiTheme="majorBidi" w:cstheme="majorBidi"/>
          <w:sz w:val="24"/>
          <w:szCs w:val="24"/>
        </w:rPr>
        <w:t>) suggest</w:t>
      </w:r>
      <w:r w:rsidRPr="00B92144">
        <w:rPr>
          <w:rFonts w:asciiTheme="majorBidi" w:hAnsiTheme="majorBidi" w:cstheme="majorBidi"/>
          <w:sz w:val="24"/>
          <w:szCs w:val="24"/>
        </w:rPr>
        <w:t>s that firms characterized by high leverage ratio tend to be more risky and speculative</w:t>
      </w:r>
      <w:r w:rsidR="001A19F3" w:rsidRPr="00B92144">
        <w:rPr>
          <w:rFonts w:asciiTheme="majorBidi" w:hAnsiTheme="majorBidi" w:cstheme="majorBidi"/>
          <w:sz w:val="24"/>
          <w:szCs w:val="24"/>
        </w:rPr>
        <w:t>. From an agency theory perspective, agency conflicts inc</w:t>
      </w:r>
      <w:r w:rsidR="006333EF" w:rsidRPr="00B92144">
        <w:rPr>
          <w:rFonts w:asciiTheme="majorBidi" w:hAnsiTheme="majorBidi" w:cstheme="majorBidi"/>
          <w:sz w:val="24"/>
          <w:szCs w:val="24"/>
        </w:rPr>
        <w:t>rease with high leverage ratio (</w:t>
      </w:r>
      <w:r w:rsidR="001A19F3" w:rsidRPr="00B92144">
        <w:rPr>
          <w:rFonts w:asciiTheme="majorBidi" w:hAnsiTheme="majorBidi" w:cstheme="majorBidi"/>
          <w:color w:val="244061" w:themeColor="accent1" w:themeShade="80"/>
          <w:sz w:val="24"/>
          <w:szCs w:val="24"/>
        </w:rPr>
        <w:t xml:space="preserve">Hussainey </w:t>
      </w:r>
      <w:r w:rsidR="006333EF" w:rsidRPr="00B92144">
        <w:rPr>
          <w:rFonts w:asciiTheme="majorBidi" w:hAnsiTheme="majorBidi" w:cstheme="majorBidi"/>
          <w:color w:val="244061" w:themeColor="accent1" w:themeShade="80"/>
          <w:sz w:val="24"/>
          <w:szCs w:val="24"/>
        </w:rPr>
        <w:t xml:space="preserve">&amp; </w:t>
      </w:r>
      <w:r w:rsidR="001A19F3" w:rsidRPr="00B92144">
        <w:rPr>
          <w:rFonts w:asciiTheme="majorBidi" w:hAnsiTheme="majorBidi" w:cstheme="majorBidi"/>
          <w:color w:val="244061" w:themeColor="accent1" w:themeShade="80"/>
          <w:sz w:val="24"/>
          <w:szCs w:val="24"/>
        </w:rPr>
        <w:t>2</w:t>
      </w:r>
      <w:r w:rsidR="006333EF" w:rsidRPr="00B92144">
        <w:rPr>
          <w:rFonts w:asciiTheme="majorBidi" w:hAnsiTheme="majorBidi" w:cstheme="majorBidi"/>
        </w:rPr>
        <w:t xml:space="preserve"> </w:t>
      </w:r>
      <w:r w:rsidR="006333EF" w:rsidRPr="00B92144">
        <w:rPr>
          <w:rFonts w:asciiTheme="majorBidi" w:hAnsiTheme="majorBidi" w:cstheme="majorBidi"/>
          <w:color w:val="244061" w:themeColor="accent1" w:themeShade="80"/>
          <w:sz w:val="24"/>
          <w:szCs w:val="24"/>
        </w:rPr>
        <w:t>Elzahar. 2</w:t>
      </w:r>
      <w:r w:rsidR="001A19F3" w:rsidRPr="00B92144">
        <w:rPr>
          <w:rFonts w:asciiTheme="majorBidi" w:hAnsiTheme="majorBidi" w:cstheme="majorBidi"/>
          <w:color w:val="244061" w:themeColor="accent1" w:themeShade="80"/>
          <w:sz w:val="24"/>
          <w:szCs w:val="24"/>
        </w:rPr>
        <w:t>012</w:t>
      </w:r>
      <w:r w:rsidR="001A19F3" w:rsidRPr="00B92144">
        <w:rPr>
          <w:rFonts w:asciiTheme="majorBidi" w:hAnsiTheme="majorBidi" w:cstheme="majorBidi"/>
          <w:sz w:val="24"/>
          <w:szCs w:val="24"/>
        </w:rPr>
        <w:t xml:space="preserve">). Debtholders may require more restrictive debt covenants as they have greater power over the financial structure of high leveraged </w:t>
      </w:r>
      <w:r w:rsidR="006333EF" w:rsidRPr="00B92144">
        <w:rPr>
          <w:rFonts w:asciiTheme="majorBidi" w:hAnsiTheme="majorBidi" w:cstheme="majorBidi"/>
          <w:sz w:val="24"/>
          <w:szCs w:val="24"/>
        </w:rPr>
        <w:t>firms, which</w:t>
      </w:r>
      <w:r w:rsidR="001A19F3" w:rsidRPr="00B92144">
        <w:rPr>
          <w:rFonts w:asciiTheme="majorBidi" w:hAnsiTheme="majorBidi" w:cstheme="majorBidi"/>
          <w:sz w:val="24"/>
          <w:szCs w:val="24"/>
        </w:rPr>
        <w:t xml:space="preserve"> will rise agency and monitoring costs.</w:t>
      </w:r>
      <w:r w:rsidR="00A84365" w:rsidRPr="00B92144">
        <w:rPr>
          <w:rFonts w:asciiTheme="majorBidi" w:hAnsiTheme="majorBidi" w:cstheme="majorBidi"/>
          <w:sz w:val="24"/>
          <w:szCs w:val="24"/>
        </w:rPr>
        <w:t xml:space="preserve"> I</w:t>
      </w:r>
      <w:r w:rsidR="00A91950" w:rsidRPr="00B92144">
        <w:rPr>
          <w:rFonts w:asciiTheme="majorBidi" w:hAnsiTheme="majorBidi" w:cstheme="majorBidi"/>
          <w:sz w:val="24"/>
          <w:szCs w:val="24"/>
        </w:rPr>
        <w:t>nformation</w:t>
      </w:r>
      <w:r w:rsidR="00A84365" w:rsidRPr="00B92144">
        <w:rPr>
          <w:rFonts w:asciiTheme="majorBidi" w:hAnsiTheme="majorBidi" w:cstheme="majorBidi"/>
          <w:sz w:val="24"/>
          <w:szCs w:val="24"/>
        </w:rPr>
        <w:t xml:space="preserve"> disclosure about bank’s exposure</w:t>
      </w:r>
      <w:r w:rsidR="00A91950" w:rsidRPr="00B92144">
        <w:rPr>
          <w:rFonts w:asciiTheme="majorBidi" w:hAnsiTheme="majorBidi" w:cstheme="majorBidi"/>
          <w:sz w:val="24"/>
          <w:szCs w:val="24"/>
        </w:rPr>
        <w:t xml:space="preserve"> </w:t>
      </w:r>
      <w:r w:rsidR="00A84365" w:rsidRPr="00B92144">
        <w:rPr>
          <w:rFonts w:asciiTheme="majorBidi" w:hAnsiTheme="majorBidi" w:cstheme="majorBidi"/>
          <w:sz w:val="24"/>
          <w:szCs w:val="24"/>
        </w:rPr>
        <w:t xml:space="preserve">and its risk factors </w:t>
      </w:r>
      <w:r w:rsidR="00A91950" w:rsidRPr="00B92144">
        <w:rPr>
          <w:rFonts w:asciiTheme="majorBidi" w:hAnsiTheme="majorBidi" w:cstheme="majorBidi"/>
          <w:sz w:val="24"/>
          <w:szCs w:val="24"/>
        </w:rPr>
        <w:t>may play a critical role in mitigating creditors’ concerns about the solvency of the</w:t>
      </w:r>
      <w:r w:rsidR="0070005A" w:rsidRPr="00B92144">
        <w:rPr>
          <w:rFonts w:asciiTheme="majorBidi" w:hAnsiTheme="majorBidi" w:cstheme="majorBidi"/>
          <w:sz w:val="24"/>
          <w:szCs w:val="24"/>
        </w:rPr>
        <w:t xml:space="preserve"> </w:t>
      </w:r>
      <w:r w:rsidR="00A84365" w:rsidRPr="00B92144">
        <w:rPr>
          <w:rFonts w:asciiTheme="majorBidi" w:hAnsiTheme="majorBidi" w:cstheme="majorBidi"/>
          <w:sz w:val="24"/>
          <w:szCs w:val="24"/>
        </w:rPr>
        <w:t>bank</w:t>
      </w:r>
      <w:r w:rsidR="00A91950" w:rsidRPr="00B92144">
        <w:rPr>
          <w:rFonts w:asciiTheme="majorBidi" w:hAnsiTheme="majorBidi" w:cstheme="majorBidi"/>
          <w:sz w:val="24"/>
          <w:szCs w:val="24"/>
        </w:rPr>
        <w:t xml:space="preserve"> and its capabilities to generate enough cash flows in the future</w:t>
      </w:r>
      <w:r w:rsidR="00A84365" w:rsidRPr="00B92144">
        <w:rPr>
          <w:rFonts w:asciiTheme="majorBidi" w:hAnsiTheme="majorBidi" w:cstheme="majorBidi"/>
          <w:sz w:val="24"/>
          <w:szCs w:val="24"/>
        </w:rPr>
        <w:t>.</w:t>
      </w:r>
    </w:p>
    <w:p w14:paraId="7BB07561" w14:textId="77777777" w:rsidR="00D238A2" w:rsidRPr="00B92144" w:rsidRDefault="00D238A2" w:rsidP="00A84365">
      <w:pPr>
        <w:autoSpaceDE w:val="0"/>
        <w:autoSpaceDN w:val="0"/>
        <w:adjustRightInd w:val="0"/>
        <w:spacing w:before="120" w:after="120" w:line="360" w:lineRule="auto"/>
        <w:jc w:val="both"/>
        <w:rPr>
          <w:rFonts w:asciiTheme="majorBidi" w:hAnsiTheme="majorBidi" w:cstheme="majorBidi"/>
          <w:sz w:val="24"/>
          <w:szCs w:val="24"/>
        </w:rPr>
      </w:pPr>
    </w:p>
    <w:p w14:paraId="5FE4E0C7" w14:textId="5C4814EA" w:rsidR="00A91950" w:rsidRPr="00B92144" w:rsidRDefault="00A91950" w:rsidP="00A84365">
      <w:pPr>
        <w:autoSpaceDE w:val="0"/>
        <w:autoSpaceDN w:val="0"/>
        <w:adjustRightInd w:val="0"/>
        <w:spacing w:before="120" w:after="12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Empirical evidence on the </w:t>
      </w:r>
      <w:r w:rsidR="004137F8" w:rsidRPr="00B92144">
        <w:rPr>
          <w:rFonts w:asciiTheme="majorBidi" w:hAnsiTheme="majorBidi" w:cstheme="majorBidi"/>
          <w:sz w:val="24"/>
          <w:szCs w:val="24"/>
        </w:rPr>
        <w:t>association</w:t>
      </w:r>
      <w:r w:rsidRPr="00B92144">
        <w:rPr>
          <w:rFonts w:asciiTheme="majorBidi" w:hAnsiTheme="majorBidi" w:cstheme="majorBidi"/>
          <w:sz w:val="24"/>
          <w:szCs w:val="24"/>
        </w:rPr>
        <w:t xml:space="preserve"> between leverage ratio and risk </w:t>
      </w:r>
      <w:r w:rsidR="004137F8" w:rsidRPr="00B92144">
        <w:rPr>
          <w:rFonts w:asciiTheme="majorBidi" w:hAnsiTheme="majorBidi" w:cstheme="majorBidi"/>
          <w:sz w:val="24"/>
          <w:szCs w:val="24"/>
        </w:rPr>
        <w:t>disclosure</w:t>
      </w:r>
      <w:r w:rsidR="0070005A"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is </w:t>
      </w:r>
      <w:r w:rsidR="00A84365" w:rsidRPr="00B92144">
        <w:rPr>
          <w:rFonts w:asciiTheme="majorBidi" w:hAnsiTheme="majorBidi" w:cstheme="majorBidi"/>
          <w:sz w:val="24"/>
          <w:szCs w:val="24"/>
        </w:rPr>
        <w:t>mixed</w:t>
      </w:r>
      <w:r w:rsidRPr="00B92144">
        <w:rPr>
          <w:rFonts w:asciiTheme="majorBidi" w:hAnsiTheme="majorBidi" w:cstheme="majorBidi"/>
          <w:sz w:val="24"/>
          <w:szCs w:val="24"/>
        </w:rPr>
        <w:t xml:space="preserve">. While </w:t>
      </w:r>
      <w:r w:rsidR="00A84365" w:rsidRPr="00B92144">
        <w:rPr>
          <w:rFonts w:asciiTheme="majorBidi" w:hAnsiTheme="majorBidi" w:cstheme="majorBidi"/>
          <w:sz w:val="24"/>
          <w:szCs w:val="24"/>
        </w:rPr>
        <w:t>some</w:t>
      </w:r>
      <w:r w:rsidRPr="00B92144">
        <w:rPr>
          <w:rFonts w:asciiTheme="majorBidi" w:hAnsiTheme="majorBidi" w:cstheme="majorBidi"/>
          <w:sz w:val="24"/>
          <w:szCs w:val="24"/>
        </w:rPr>
        <w:t xml:space="preserve"> findings show</w:t>
      </w:r>
      <w:r w:rsidR="00A84365" w:rsidRPr="00B92144">
        <w:rPr>
          <w:rFonts w:asciiTheme="majorBidi" w:hAnsiTheme="majorBidi" w:cstheme="majorBidi"/>
          <w:sz w:val="24"/>
          <w:szCs w:val="24"/>
        </w:rPr>
        <w:t xml:space="preserve"> </w:t>
      </w:r>
      <w:r w:rsidRPr="00B92144">
        <w:rPr>
          <w:rFonts w:asciiTheme="majorBidi" w:hAnsiTheme="majorBidi" w:cstheme="majorBidi"/>
          <w:sz w:val="24"/>
          <w:szCs w:val="24"/>
        </w:rPr>
        <w:t>a positive relationship</w:t>
      </w:r>
      <w:r w:rsidR="0070005A"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between leverage and </w:t>
      </w:r>
      <w:r w:rsidR="004137F8" w:rsidRPr="00B92144">
        <w:rPr>
          <w:rFonts w:asciiTheme="majorBidi" w:hAnsiTheme="majorBidi" w:cstheme="majorBidi"/>
          <w:sz w:val="24"/>
          <w:szCs w:val="24"/>
        </w:rPr>
        <w:t xml:space="preserve">the level of </w:t>
      </w:r>
      <w:r w:rsidRPr="00B92144">
        <w:rPr>
          <w:rFonts w:asciiTheme="majorBidi" w:hAnsiTheme="majorBidi" w:cstheme="majorBidi"/>
          <w:sz w:val="24"/>
          <w:szCs w:val="24"/>
        </w:rPr>
        <w:t xml:space="preserve">risk </w:t>
      </w:r>
      <w:r w:rsidR="004137F8" w:rsidRPr="00B92144">
        <w:rPr>
          <w:rFonts w:asciiTheme="majorBidi" w:hAnsiTheme="majorBidi" w:cstheme="majorBidi"/>
          <w:sz w:val="24"/>
          <w:szCs w:val="24"/>
        </w:rPr>
        <w:t>information</w:t>
      </w:r>
      <w:r w:rsidRPr="00B92144">
        <w:rPr>
          <w:rFonts w:asciiTheme="majorBidi" w:hAnsiTheme="majorBidi" w:cstheme="majorBidi"/>
          <w:sz w:val="24"/>
          <w:szCs w:val="24"/>
        </w:rPr>
        <w:t xml:space="preserve"> (e.g. </w:t>
      </w:r>
      <w:r w:rsidRPr="00B92144">
        <w:rPr>
          <w:rFonts w:asciiTheme="majorBidi" w:hAnsiTheme="majorBidi" w:cstheme="majorBidi"/>
          <w:color w:val="244061" w:themeColor="accent1" w:themeShade="80"/>
          <w:sz w:val="24"/>
          <w:szCs w:val="24"/>
        </w:rPr>
        <w:t xml:space="preserve">Abraham </w:t>
      </w:r>
      <w:r w:rsidR="00E05652" w:rsidRPr="00B92144">
        <w:rPr>
          <w:rFonts w:asciiTheme="majorBidi" w:hAnsiTheme="majorBidi" w:cstheme="majorBidi"/>
          <w:color w:val="244061" w:themeColor="accent1" w:themeShade="80"/>
          <w:sz w:val="24"/>
          <w:szCs w:val="24"/>
        </w:rPr>
        <w:t>&amp;</w:t>
      </w:r>
      <w:r w:rsidRPr="00B92144">
        <w:rPr>
          <w:rFonts w:asciiTheme="majorBidi" w:hAnsiTheme="majorBidi" w:cstheme="majorBidi"/>
          <w:color w:val="244061" w:themeColor="accent1" w:themeShade="80"/>
          <w:sz w:val="24"/>
          <w:szCs w:val="24"/>
        </w:rPr>
        <w:t xml:space="preserve"> Cox</w:t>
      </w:r>
      <w:r w:rsidR="006B3C79" w:rsidRPr="00B92144">
        <w:rPr>
          <w:rFonts w:asciiTheme="majorBidi" w:hAnsiTheme="majorBidi" w:cstheme="majorBidi"/>
          <w:color w:val="244061" w:themeColor="accent1" w:themeShade="80"/>
          <w:sz w:val="24"/>
          <w:szCs w:val="24"/>
        </w:rPr>
        <w:t>,</w:t>
      </w:r>
      <w:r w:rsidRPr="00B92144">
        <w:rPr>
          <w:rFonts w:asciiTheme="majorBidi" w:hAnsiTheme="majorBidi" w:cstheme="majorBidi"/>
          <w:color w:val="244061" w:themeColor="accent1" w:themeShade="80"/>
          <w:sz w:val="24"/>
          <w:szCs w:val="24"/>
        </w:rPr>
        <w:t xml:space="preserve"> 2007; Deumes </w:t>
      </w:r>
      <w:r w:rsidR="00E05652" w:rsidRPr="00B92144">
        <w:rPr>
          <w:rFonts w:asciiTheme="majorBidi" w:hAnsiTheme="majorBidi" w:cstheme="majorBidi"/>
          <w:color w:val="244061" w:themeColor="accent1" w:themeShade="80"/>
          <w:sz w:val="24"/>
          <w:szCs w:val="24"/>
        </w:rPr>
        <w:t>&amp;</w:t>
      </w:r>
      <w:r w:rsidR="0070005A" w:rsidRPr="00B92144">
        <w:rPr>
          <w:rFonts w:asciiTheme="majorBidi" w:hAnsiTheme="majorBidi" w:cstheme="majorBidi"/>
          <w:color w:val="244061" w:themeColor="accent1" w:themeShade="80"/>
          <w:sz w:val="24"/>
          <w:szCs w:val="24"/>
        </w:rPr>
        <w:t xml:space="preserve"> </w:t>
      </w:r>
      <w:r w:rsidRPr="00B92144">
        <w:rPr>
          <w:rFonts w:asciiTheme="majorBidi" w:hAnsiTheme="majorBidi" w:cstheme="majorBidi"/>
          <w:color w:val="244061" w:themeColor="accent1" w:themeShade="80"/>
          <w:sz w:val="24"/>
          <w:szCs w:val="24"/>
        </w:rPr>
        <w:t xml:space="preserve">Knechel 2008; Iatridis 2008; Hassan 2009; Elshandidy, Fraser, </w:t>
      </w:r>
      <w:r w:rsidR="00E05652" w:rsidRPr="00B92144">
        <w:rPr>
          <w:rFonts w:asciiTheme="majorBidi" w:hAnsiTheme="majorBidi" w:cstheme="majorBidi"/>
          <w:color w:val="244061" w:themeColor="accent1" w:themeShade="80"/>
          <w:sz w:val="24"/>
          <w:szCs w:val="24"/>
        </w:rPr>
        <w:t>&amp;</w:t>
      </w:r>
      <w:r w:rsidRPr="00B92144">
        <w:rPr>
          <w:rFonts w:asciiTheme="majorBidi" w:hAnsiTheme="majorBidi" w:cstheme="majorBidi"/>
          <w:color w:val="244061" w:themeColor="accent1" w:themeShade="80"/>
          <w:sz w:val="24"/>
          <w:szCs w:val="24"/>
        </w:rPr>
        <w:t xml:space="preserve"> Hussainey</w:t>
      </w:r>
      <w:r w:rsidR="0070005A" w:rsidRPr="00B92144">
        <w:rPr>
          <w:rFonts w:asciiTheme="majorBidi" w:hAnsiTheme="majorBidi" w:cstheme="majorBidi"/>
          <w:color w:val="244061" w:themeColor="accent1" w:themeShade="80"/>
          <w:sz w:val="24"/>
          <w:szCs w:val="24"/>
        </w:rPr>
        <w:t xml:space="preserve"> </w:t>
      </w:r>
      <w:r w:rsidRPr="00B92144">
        <w:rPr>
          <w:rFonts w:asciiTheme="majorBidi" w:hAnsiTheme="majorBidi" w:cstheme="majorBidi"/>
          <w:color w:val="244061" w:themeColor="accent1" w:themeShade="80"/>
          <w:sz w:val="24"/>
          <w:szCs w:val="24"/>
        </w:rPr>
        <w:t>2013</w:t>
      </w:r>
      <w:r w:rsidRPr="00B92144">
        <w:rPr>
          <w:rFonts w:asciiTheme="majorBidi" w:hAnsiTheme="majorBidi" w:cstheme="majorBidi"/>
          <w:sz w:val="24"/>
          <w:szCs w:val="24"/>
        </w:rPr>
        <w:t xml:space="preserve">), other papers </w:t>
      </w:r>
      <w:r w:rsidR="004137F8" w:rsidRPr="00B92144">
        <w:rPr>
          <w:rFonts w:asciiTheme="majorBidi" w:hAnsiTheme="majorBidi" w:cstheme="majorBidi"/>
          <w:sz w:val="24"/>
          <w:szCs w:val="24"/>
        </w:rPr>
        <w:t>end to an in</w:t>
      </w:r>
      <w:r w:rsidRPr="00B92144">
        <w:rPr>
          <w:rFonts w:asciiTheme="majorBidi" w:hAnsiTheme="majorBidi" w:cstheme="majorBidi"/>
          <w:sz w:val="24"/>
          <w:szCs w:val="24"/>
        </w:rPr>
        <w:t>significant association between the two</w:t>
      </w:r>
      <w:r w:rsidR="0070005A" w:rsidRPr="00B92144">
        <w:rPr>
          <w:rFonts w:asciiTheme="majorBidi" w:hAnsiTheme="majorBidi" w:cstheme="majorBidi"/>
          <w:sz w:val="24"/>
          <w:szCs w:val="24"/>
        </w:rPr>
        <w:t xml:space="preserve"> </w:t>
      </w:r>
      <w:r w:rsidRPr="00B92144">
        <w:rPr>
          <w:rFonts w:asciiTheme="majorBidi" w:hAnsiTheme="majorBidi" w:cstheme="majorBidi"/>
          <w:sz w:val="24"/>
          <w:szCs w:val="24"/>
        </w:rPr>
        <w:t>variables (</w:t>
      </w:r>
      <w:r w:rsidRPr="00B92144">
        <w:rPr>
          <w:rFonts w:asciiTheme="majorBidi" w:hAnsiTheme="majorBidi" w:cstheme="majorBidi"/>
          <w:color w:val="244061" w:themeColor="accent1" w:themeShade="80"/>
          <w:sz w:val="24"/>
          <w:szCs w:val="24"/>
        </w:rPr>
        <w:t xml:space="preserve">Elzahar </w:t>
      </w:r>
      <w:r w:rsidR="00E05652" w:rsidRPr="00B92144">
        <w:rPr>
          <w:rFonts w:asciiTheme="majorBidi" w:hAnsiTheme="majorBidi" w:cstheme="majorBidi"/>
          <w:color w:val="244061" w:themeColor="accent1" w:themeShade="80"/>
          <w:sz w:val="24"/>
          <w:szCs w:val="24"/>
        </w:rPr>
        <w:t>&amp;</w:t>
      </w:r>
      <w:r w:rsidRPr="00B92144">
        <w:rPr>
          <w:rFonts w:asciiTheme="majorBidi" w:hAnsiTheme="majorBidi" w:cstheme="majorBidi"/>
          <w:color w:val="244061" w:themeColor="accent1" w:themeShade="80"/>
          <w:sz w:val="24"/>
          <w:szCs w:val="24"/>
        </w:rPr>
        <w:t xml:space="preserve"> Hussainey 2012; Miihkinen 2012; Ntim, Lindop, </w:t>
      </w:r>
      <w:r w:rsidR="00E05652" w:rsidRPr="00B92144">
        <w:rPr>
          <w:rFonts w:asciiTheme="majorBidi" w:hAnsiTheme="majorBidi" w:cstheme="majorBidi"/>
          <w:color w:val="244061" w:themeColor="accent1" w:themeShade="80"/>
          <w:sz w:val="24"/>
          <w:szCs w:val="24"/>
        </w:rPr>
        <w:t>&amp;</w:t>
      </w:r>
      <w:r w:rsidRPr="00B92144">
        <w:rPr>
          <w:rFonts w:asciiTheme="majorBidi" w:hAnsiTheme="majorBidi" w:cstheme="majorBidi"/>
          <w:color w:val="244061" w:themeColor="accent1" w:themeShade="80"/>
          <w:sz w:val="24"/>
          <w:szCs w:val="24"/>
        </w:rPr>
        <w:t xml:space="preserve"> Thomas</w:t>
      </w:r>
      <w:r w:rsidR="0070005A" w:rsidRPr="00B92144">
        <w:rPr>
          <w:rFonts w:asciiTheme="majorBidi" w:hAnsiTheme="majorBidi" w:cstheme="majorBidi"/>
          <w:color w:val="244061" w:themeColor="accent1" w:themeShade="80"/>
          <w:sz w:val="24"/>
          <w:szCs w:val="24"/>
        </w:rPr>
        <w:t xml:space="preserve"> </w:t>
      </w:r>
      <w:r w:rsidRPr="00B92144">
        <w:rPr>
          <w:rFonts w:asciiTheme="majorBidi" w:hAnsiTheme="majorBidi" w:cstheme="majorBidi"/>
          <w:color w:val="244061" w:themeColor="accent1" w:themeShade="80"/>
          <w:sz w:val="24"/>
          <w:szCs w:val="24"/>
        </w:rPr>
        <w:t>2013</w:t>
      </w:r>
      <w:r w:rsidRPr="00B92144">
        <w:rPr>
          <w:rFonts w:asciiTheme="majorBidi" w:hAnsiTheme="majorBidi" w:cstheme="majorBidi"/>
          <w:sz w:val="24"/>
          <w:szCs w:val="24"/>
        </w:rPr>
        <w:t>). Given these</w:t>
      </w:r>
      <w:r w:rsidR="00A84365" w:rsidRPr="00B92144">
        <w:rPr>
          <w:rFonts w:asciiTheme="majorBidi" w:hAnsiTheme="majorBidi" w:cstheme="majorBidi"/>
          <w:sz w:val="24"/>
          <w:szCs w:val="24"/>
        </w:rPr>
        <w:t xml:space="preserve"> inconclusive</w:t>
      </w:r>
      <w:r w:rsidRPr="00B92144">
        <w:rPr>
          <w:rFonts w:asciiTheme="majorBidi" w:hAnsiTheme="majorBidi" w:cstheme="majorBidi"/>
          <w:sz w:val="24"/>
          <w:szCs w:val="24"/>
        </w:rPr>
        <w:t xml:space="preserve"> empirical evidences, the following non-directional</w:t>
      </w:r>
      <w:r w:rsidR="0070005A" w:rsidRPr="00B92144">
        <w:rPr>
          <w:rFonts w:asciiTheme="majorBidi" w:hAnsiTheme="majorBidi" w:cstheme="majorBidi"/>
          <w:sz w:val="24"/>
          <w:szCs w:val="24"/>
        </w:rPr>
        <w:t xml:space="preserve"> </w:t>
      </w:r>
      <w:r w:rsidRPr="00B92144">
        <w:rPr>
          <w:rFonts w:asciiTheme="majorBidi" w:hAnsiTheme="majorBidi" w:cstheme="majorBidi"/>
          <w:sz w:val="24"/>
          <w:szCs w:val="24"/>
        </w:rPr>
        <w:t>hypothesis is formulated:</w:t>
      </w:r>
    </w:p>
    <w:p w14:paraId="5A051413" w14:textId="09022EDA" w:rsidR="00A273B5" w:rsidRPr="00B92144" w:rsidRDefault="00A91950" w:rsidP="00410EDE">
      <w:pPr>
        <w:autoSpaceDE w:val="0"/>
        <w:autoSpaceDN w:val="0"/>
        <w:adjustRightInd w:val="0"/>
        <w:spacing w:before="120" w:after="120" w:line="360" w:lineRule="auto"/>
        <w:jc w:val="both"/>
        <w:rPr>
          <w:rFonts w:asciiTheme="majorBidi" w:hAnsiTheme="majorBidi" w:cstheme="majorBidi"/>
          <w:i/>
          <w:iCs/>
          <w:sz w:val="24"/>
          <w:szCs w:val="24"/>
        </w:rPr>
      </w:pPr>
      <w:r w:rsidRPr="00B92144">
        <w:rPr>
          <w:rFonts w:asciiTheme="majorBidi" w:hAnsiTheme="majorBidi" w:cstheme="majorBidi"/>
          <w:i/>
          <w:iCs/>
          <w:sz w:val="24"/>
          <w:szCs w:val="24"/>
        </w:rPr>
        <w:t>H</w:t>
      </w:r>
      <w:r w:rsidR="00A84365" w:rsidRPr="00B92144">
        <w:rPr>
          <w:rFonts w:asciiTheme="majorBidi" w:hAnsiTheme="majorBidi" w:cstheme="majorBidi"/>
          <w:i/>
          <w:iCs/>
          <w:sz w:val="24"/>
          <w:szCs w:val="24"/>
        </w:rPr>
        <w:t>4.</w:t>
      </w:r>
      <w:r w:rsidRPr="00B92144">
        <w:rPr>
          <w:rFonts w:asciiTheme="majorBidi" w:hAnsiTheme="majorBidi" w:cstheme="majorBidi"/>
          <w:i/>
          <w:iCs/>
          <w:sz w:val="24"/>
          <w:szCs w:val="24"/>
        </w:rPr>
        <w:t xml:space="preserve"> There is an association between </w:t>
      </w:r>
      <w:r w:rsidR="00980272" w:rsidRPr="00B92144">
        <w:rPr>
          <w:rFonts w:asciiTheme="majorBidi" w:hAnsiTheme="majorBidi" w:cstheme="majorBidi"/>
          <w:i/>
          <w:iCs/>
          <w:sz w:val="24"/>
          <w:szCs w:val="24"/>
        </w:rPr>
        <w:t xml:space="preserve">bank </w:t>
      </w:r>
      <w:r w:rsidRPr="00B92144">
        <w:rPr>
          <w:rFonts w:asciiTheme="majorBidi" w:hAnsiTheme="majorBidi" w:cstheme="majorBidi"/>
          <w:i/>
          <w:iCs/>
          <w:sz w:val="24"/>
          <w:szCs w:val="24"/>
        </w:rPr>
        <w:t xml:space="preserve">leverage ratio and </w:t>
      </w:r>
      <w:r w:rsidR="00410EDE" w:rsidRPr="00B92144">
        <w:rPr>
          <w:rFonts w:asciiTheme="majorBidi" w:hAnsiTheme="majorBidi" w:cstheme="majorBidi"/>
          <w:i/>
          <w:iCs/>
          <w:sz w:val="24"/>
          <w:szCs w:val="24"/>
        </w:rPr>
        <w:t>RRD</w:t>
      </w:r>
      <w:r w:rsidRPr="00B92144">
        <w:rPr>
          <w:rFonts w:asciiTheme="majorBidi" w:hAnsiTheme="majorBidi" w:cstheme="majorBidi"/>
          <w:i/>
          <w:iCs/>
          <w:sz w:val="24"/>
          <w:szCs w:val="24"/>
        </w:rPr>
        <w:t>.</w:t>
      </w:r>
    </w:p>
    <w:p w14:paraId="1FC43F24" w14:textId="37DE8D76" w:rsidR="003219DB" w:rsidRPr="00B92144" w:rsidRDefault="003219DB" w:rsidP="00A67EF2">
      <w:pPr>
        <w:pStyle w:val="ListParagraph"/>
        <w:numPr>
          <w:ilvl w:val="0"/>
          <w:numId w:val="4"/>
        </w:numPr>
        <w:autoSpaceDE w:val="0"/>
        <w:autoSpaceDN w:val="0"/>
        <w:adjustRightInd w:val="0"/>
        <w:spacing w:before="120" w:after="120" w:line="360" w:lineRule="auto"/>
        <w:jc w:val="both"/>
        <w:rPr>
          <w:rFonts w:asciiTheme="majorBidi" w:hAnsiTheme="majorBidi" w:cstheme="majorBidi"/>
          <w:sz w:val="24"/>
          <w:szCs w:val="24"/>
          <w:u w:val="single"/>
        </w:rPr>
      </w:pPr>
      <w:r w:rsidRPr="00B92144">
        <w:rPr>
          <w:rFonts w:asciiTheme="majorBidi" w:hAnsiTheme="majorBidi" w:cstheme="majorBidi"/>
          <w:sz w:val="24"/>
          <w:szCs w:val="24"/>
          <w:u w:val="single"/>
        </w:rPr>
        <w:t>Financial performance</w:t>
      </w:r>
      <w:r w:rsidR="00FD34E2" w:rsidRPr="00B92144">
        <w:rPr>
          <w:rFonts w:asciiTheme="majorBidi" w:hAnsiTheme="majorBidi" w:cstheme="majorBidi"/>
          <w:sz w:val="24"/>
          <w:szCs w:val="24"/>
          <w:u w:val="single"/>
        </w:rPr>
        <w:t xml:space="preserve"> (profitability) </w:t>
      </w:r>
      <w:r w:rsidRPr="00B92144">
        <w:rPr>
          <w:rFonts w:asciiTheme="majorBidi" w:hAnsiTheme="majorBidi" w:cstheme="majorBidi"/>
          <w:sz w:val="24"/>
          <w:szCs w:val="24"/>
          <w:u w:val="single"/>
        </w:rPr>
        <w:t>and RRD</w:t>
      </w:r>
    </w:p>
    <w:p w14:paraId="0E78BEFD" w14:textId="4C823152" w:rsidR="00B24924" w:rsidRPr="00B92144" w:rsidRDefault="000C7C23" w:rsidP="00410EDE">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Corporate d</w:t>
      </w:r>
      <w:r w:rsidR="00BC6A3D" w:rsidRPr="00B92144">
        <w:rPr>
          <w:rFonts w:asciiTheme="majorBidi" w:hAnsiTheme="majorBidi" w:cstheme="majorBidi"/>
          <w:sz w:val="24"/>
          <w:szCs w:val="24"/>
        </w:rPr>
        <w:t>isclosure literature</w:t>
      </w:r>
      <w:r w:rsidR="00154467" w:rsidRPr="00B92144">
        <w:rPr>
          <w:rFonts w:asciiTheme="majorBidi" w:hAnsiTheme="majorBidi" w:cstheme="majorBidi"/>
          <w:sz w:val="24"/>
          <w:szCs w:val="24"/>
        </w:rPr>
        <w:t xml:space="preserve"> </w:t>
      </w:r>
      <w:r w:rsidR="00F1181F" w:rsidRPr="00B92144">
        <w:rPr>
          <w:rFonts w:asciiTheme="majorBidi" w:hAnsiTheme="majorBidi" w:cstheme="majorBidi"/>
          <w:sz w:val="24"/>
          <w:szCs w:val="24"/>
        </w:rPr>
        <w:t>argues</w:t>
      </w:r>
      <w:r w:rsidR="00BC6A3D" w:rsidRPr="00B92144">
        <w:rPr>
          <w:rFonts w:asciiTheme="majorBidi" w:hAnsiTheme="majorBidi" w:cstheme="majorBidi"/>
          <w:sz w:val="24"/>
          <w:szCs w:val="24"/>
        </w:rPr>
        <w:t xml:space="preserve"> that </w:t>
      </w:r>
      <w:r w:rsidRPr="00B92144">
        <w:rPr>
          <w:rFonts w:asciiTheme="majorBidi" w:hAnsiTheme="majorBidi" w:cstheme="majorBidi"/>
          <w:sz w:val="24"/>
          <w:szCs w:val="24"/>
        </w:rPr>
        <w:t>managers of</w:t>
      </w:r>
      <w:r w:rsidR="00F1181F" w:rsidRPr="00B92144">
        <w:rPr>
          <w:rFonts w:asciiTheme="majorBidi" w:hAnsiTheme="majorBidi" w:cstheme="majorBidi"/>
          <w:sz w:val="24"/>
          <w:szCs w:val="24"/>
        </w:rPr>
        <w:t xml:space="preserve"> profitable firms </w:t>
      </w:r>
      <w:r w:rsidR="002A4FA0" w:rsidRPr="00B92144">
        <w:rPr>
          <w:rFonts w:asciiTheme="majorBidi" w:hAnsiTheme="majorBidi" w:cstheme="majorBidi"/>
          <w:sz w:val="24"/>
          <w:szCs w:val="24"/>
        </w:rPr>
        <w:t xml:space="preserve">tend </w:t>
      </w:r>
      <w:r w:rsidR="00F1181F" w:rsidRPr="00B92144">
        <w:rPr>
          <w:rFonts w:asciiTheme="majorBidi" w:hAnsiTheme="majorBidi" w:cstheme="majorBidi"/>
          <w:sz w:val="24"/>
          <w:szCs w:val="24"/>
        </w:rPr>
        <w:t>to</w:t>
      </w:r>
      <w:r w:rsidRPr="00B92144">
        <w:rPr>
          <w:rFonts w:asciiTheme="majorBidi" w:hAnsiTheme="majorBidi" w:cstheme="majorBidi"/>
          <w:sz w:val="24"/>
          <w:szCs w:val="24"/>
        </w:rPr>
        <w:t xml:space="preserve"> </w:t>
      </w:r>
      <w:r w:rsidR="004E5DB1" w:rsidRPr="00B92144">
        <w:rPr>
          <w:rFonts w:asciiTheme="majorBidi" w:hAnsiTheme="majorBidi" w:cstheme="majorBidi"/>
          <w:sz w:val="24"/>
          <w:szCs w:val="24"/>
        </w:rPr>
        <w:t>rel</w:t>
      </w:r>
      <w:r w:rsidR="002A4FA0" w:rsidRPr="00B92144">
        <w:rPr>
          <w:rFonts w:asciiTheme="majorBidi" w:hAnsiTheme="majorBidi" w:cstheme="majorBidi"/>
          <w:sz w:val="24"/>
          <w:szCs w:val="24"/>
        </w:rPr>
        <w:t>ease</w:t>
      </w:r>
      <w:r w:rsidR="004E5DB1"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more </w:t>
      </w:r>
      <w:r w:rsidR="00154467" w:rsidRPr="00B92144">
        <w:rPr>
          <w:rFonts w:asciiTheme="majorBidi" w:hAnsiTheme="majorBidi" w:cstheme="majorBidi"/>
          <w:sz w:val="24"/>
          <w:szCs w:val="24"/>
        </w:rPr>
        <w:t xml:space="preserve">information to </w:t>
      </w:r>
      <w:r w:rsidRPr="00B92144">
        <w:rPr>
          <w:rFonts w:asciiTheme="majorBidi" w:hAnsiTheme="majorBidi" w:cstheme="majorBidi"/>
          <w:sz w:val="24"/>
          <w:szCs w:val="24"/>
        </w:rPr>
        <w:t>show their ability to maximize shareholders’ value, secure their positions and justify their compensation</w:t>
      </w:r>
      <w:r w:rsidR="0097147A" w:rsidRPr="00B92144">
        <w:rPr>
          <w:rFonts w:asciiTheme="majorBidi" w:hAnsiTheme="majorBidi" w:cstheme="majorBidi"/>
          <w:sz w:val="24"/>
          <w:szCs w:val="24"/>
        </w:rPr>
        <w:t xml:space="preserve">. Conversely, </w:t>
      </w:r>
      <w:r w:rsidR="00370CD6" w:rsidRPr="00B92144">
        <w:rPr>
          <w:rFonts w:asciiTheme="majorBidi" w:hAnsiTheme="majorBidi" w:cstheme="majorBidi"/>
          <w:sz w:val="24"/>
          <w:szCs w:val="24"/>
        </w:rPr>
        <w:t xml:space="preserve">managers of </w:t>
      </w:r>
      <w:r w:rsidR="0097147A" w:rsidRPr="00B92144">
        <w:rPr>
          <w:rFonts w:asciiTheme="majorBidi" w:hAnsiTheme="majorBidi" w:cstheme="majorBidi"/>
          <w:sz w:val="24"/>
          <w:szCs w:val="24"/>
        </w:rPr>
        <w:t xml:space="preserve">unprofitable firms are less likely to release additional information to </w:t>
      </w:r>
      <w:r w:rsidR="002A4FA0" w:rsidRPr="00B92144">
        <w:rPr>
          <w:rFonts w:asciiTheme="majorBidi" w:hAnsiTheme="majorBidi" w:cstheme="majorBidi"/>
          <w:sz w:val="24"/>
          <w:szCs w:val="24"/>
        </w:rPr>
        <w:t>hide</w:t>
      </w:r>
      <w:r w:rsidR="0097147A" w:rsidRPr="00B92144">
        <w:rPr>
          <w:rFonts w:asciiTheme="majorBidi" w:hAnsiTheme="majorBidi" w:cstheme="majorBidi"/>
          <w:sz w:val="24"/>
          <w:szCs w:val="24"/>
        </w:rPr>
        <w:t xml:space="preserve"> their bad performance and protect</w:t>
      </w:r>
      <w:r w:rsidR="00370CD6" w:rsidRPr="00B92144">
        <w:rPr>
          <w:rFonts w:asciiTheme="majorBidi" w:hAnsiTheme="majorBidi" w:cstheme="majorBidi"/>
          <w:sz w:val="24"/>
          <w:szCs w:val="24"/>
        </w:rPr>
        <w:t xml:space="preserve"> corporate</w:t>
      </w:r>
      <w:r w:rsidR="0097147A" w:rsidRPr="00B92144">
        <w:rPr>
          <w:rFonts w:asciiTheme="majorBidi" w:hAnsiTheme="majorBidi" w:cstheme="majorBidi"/>
          <w:sz w:val="24"/>
          <w:szCs w:val="24"/>
        </w:rPr>
        <w:t xml:space="preserve"> shares from being undervalued</w:t>
      </w:r>
      <w:r w:rsidR="00AD2D1E" w:rsidRPr="00B92144">
        <w:rPr>
          <w:rFonts w:asciiTheme="majorBidi" w:hAnsiTheme="majorBidi" w:cstheme="majorBidi"/>
          <w:sz w:val="24"/>
          <w:szCs w:val="24"/>
        </w:rPr>
        <w:t xml:space="preserve"> (</w:t>
      </w:r>
      <w:r w:rsidR="00AD2D1E" w:rsidRPr="00B92144">
        <w:rPr>
          <w:rFonts w:asciiTheme="majorBidi" w:hAnsiTheme="majorBidi" w:cstheme="majorBidi"/>
          <w:color w:val="365F91" w:themeColor="accent1" w:themeShade="BF"/>
          <w:sz w:val="24"/>
          <w:szCs w:val="24"/>
        </w:rPr>
        <w:t>Aljifri et al., 2014</w:t>
      </w:r>
      <w:r w:rsidR="0097147A" w:rsidRPr="00B92144">
        <w:rPr>
          <w:rFonts w:asciiTheme="majorBidi" w:hAnsiTheme="majorBidi" w:cstheme="majorBidi"/>
          <w:color w:val="365F91" w:themeColor="accent1" w:themeShade="BF"/>
          <w:sz w:val="24"/>
          <w:szCs w:val="24"/>
        </w:rPr>
        <w:t>; Alsaeed, 2006; Inchausti, 1997</w:t>
      </w:r>
      <w:r w:rsidR="00AD2D1E" w:rsidRPr="00B92144">
        <w:rPr>
          <w:rFonts w:asciiTheme="majorBidi" w:hAnsiTheme="majorBidi" w:cstheme="majorBidi"/>
          <w:sz w:val="24"/>
          <w:szCs w:val="24"/>
        </w:rPr>
        <w:t xml:space="preserve">). </w:t>
      </w:r>
      <w:r w:rsidR="002A4FA0" w:rsidRPr="00B92144">
        <w:rPr>
          <w:rFonts w:asciiTheme="majorBidi" w:hAnsiTheme="majorBidi" w:cstheme="majorBidi"/>
          <w:sz w:val="24"/>
          <w:szCs w:val="24"/>
        </w:rPr>
        <w:t xml:space="preserve">By the same token, </w:t>
      </w:r>
      <w:r w:rsidR="00FD34E2" w:rsidRPr="00B92144">
        <w:rPr>
          <w:rFonts w:asciiTheme="majorBidi" w:hAnsiTheme="majorBidi" w:cstheme="majorBidi"/>
          <w:color w:val="365F91" w:themeColor="accent1" w:themeShade="BF"/>
          <w:sz w:val="24"/>
          <w:szCs w:val="24"/>
        </w:rPr>
        <w:t xml:space="preserve">Linsley et al. (2006) </w:t>
      </w:r>
      <w:r w:rsidR="00F01270" w:rsidRPr="00B92144">
        <w:rPr>
          <w:rFonts w:asciiTheme="majorBidi" w:hAnsiTheme="majorBidi" w:cstheme="majorBidi"/>
          <w:sz w:val="24"/>
          <w:szCs w:val="24"/>
        </w:rPr>
        <w:t xml:space="preserve">and </w:t>
      </w:r>
      <w:r w:rsidR="00F01270" w:rsidRPr="00B92144">
        <w:rPr>
          <w:rFonts w:asciiTheme="majorBidi" w:hAnsiTheme="majorBidi" w:cstheme="majorBidi"/>
          <w:color w:val="365F91" w:themeColor="accent1" w:themeShade="BF"/>
          <w:sz w:val="24"/>
          <w:szCs w:val="24"/>
        </w:rPr>
        <w:t xml:space="preserve">Elshandidy, Fraser, </w:t>
      </w:r>
      <w:r w:rsidR="00E05652" w:rsidRPr="00B92144">
        <w:rPr>
          <w:rFonts w:asciiTheme="majorBidi" w:hAnsiTheme="majorBidi" w:cstheme="majorBidi"/>
          <w:color w:val="365F91" w:themeColor="accent1" w:themeShade="BF"/>
          <w:sz w:val="24"/>
          <w:szCs w:val="24"/>
        </w:rPr>
        <w:t xml:space="preserve">&amp; </w:t>
      </w:r>
      <w:r w:rsidR="00F01270" w:rsidRPr="00B92144">
        <w:rPr>
          <w:rFonts w:asciiTheme="majorBidi" w:hAnsiTheme="majorBidi" w:cstheme="majorBidi"/>
          <w:color w:val="365F91" w:themeColor="accent1" w:themeShade="BF"/>
          <w:sz w:val="24"/>
          <w:szCs w:val="24"/>
        </w:rPr>
        <w:t xml:space="preserve">Hussainey (2013) </w:t>
      </w:r>
      <w:r w:rsidR="002A4FA0" w:rsidRPr="00B92144">
        <w:rPr>
          <w:rFonts w:asciiTheme="majorBidi" w:hAnsiTheme="majorBidi" w:cstheme="majorBidi"/>
          <w:sz w:val="24"/>
          <w:szCs w:val="24"/>
        </w:rPr>
        <w:t>suggest</w:t>
      </w:r>
      <w:r w:rsidR="00FD34E2" w:rsidRPr="00B92144">
        <w:rPr>
          <w:rFonts w:asciiTheme="majorBidi" w:hAnsiTheme="majorBidi" w:cstheme="majorBidi"/>
          <w:sz w:val="24"/>
          <w:szCs w:val="24"/>
        </w:rPr>
        <w:t xml:space="preserve"> that </w:t>
      </w:r>
      <w:r w:rsidR="00F01270" w:rsidRPr="00B92144">
        <w:rPr>
          <w:rFonts w:asciiTheme="majorBidi" w:hAnsiTheme="majorBidi" w:cstheme="majorBidi"/>
          <w:sz w:val="24"/>
          <w:szCs w:val="24"/>
        </w:rPr>
        <w:t xml:space="preserve">high profitable firms </w:t>
      </w:r>
      <w:r w:rsidR="0081798A" w:rsidRPr="00B92144">
        <w:rPr>
          <w:rFonts w:asciiTheme="majorBidi" w:hAnsiTheme="majorBidi" w:cstheme="majorBidi"/>
          <w:sz w:val="24"/>
          <w:szCs w:val="24"/>
        </w:rPr>
        <w:t xml:space="preserve">are </w:t>
      </w:r>
      <w:r w:rsidR="00974DA7" w:rsidRPr="00B92144">
        <w:rPr>
          <w:rFonts w:asciiTheme="majorBidi" w:hAnsiTheme="majorBidi" w:cstheme="majorBidi"/>
          <w:sz w:val="24"/>
          <w:szCs w:val="24"/>
        </w:rPr>
        <w:t>i</w:t>
      </w:r>
      <w:r w:rsidR="0081798A" w:rsidRPr="00B92144">
        <w:rPr>
          <w:rFonts w:asciiTheme="majorBidi" w:hAnsiTheme="majorBidi" w:cstheme="majorBidi"/>
          <w:sz w:val="24"/>
          <w:szCs w:val="24"/>
        </w:rPr>
        <w:t xml:space="preserve">nclined to </w:t>
      </w:r>
      <w:r w:rsidR="00036B54" w:rsidRPr="00B92144">
        <w:rPr>
          <w:rFonts w:asciiTheme="majorBidi" w:hAnsiTheme="majorBidi" w:cstheme="majorBidi"/>
          <w:sz w:val="24"/>
          <w:szCs w:val="24"/>
        </w:rPr>
        <w:t>signal</w:t>
      </w:r>
      <w:r w:rsidR="00F01270" w:rsidRPr="00B92144">
        <w:rPr>
          <w:rFonts w:asciiTheme="majorBidi" w:hAnsiTheme="majorBidi" w:cstheme="majorBidi"/>
          <w:sz w:val="24"/>
          <w:szCs w:val="24"/>
        </w:rPr>
        <w:t xml:space="preserve">, through risk disclosure, their </w:t>
      </w:r>
      <w:r w:rsidR="00AA741A" w:rsidRPr="00B92144">
        <w:rPr>
          <w:rFonts w:asciiTheme="majorBidi" w:hAnsiTheme="majorBidi" w:cstheme="majorBidi"/>
          <w:sz w:val="24"/>
          <w:szCs w:val="24"/>
        </w:rPr>
        <w:t xml:space="preserve">ability to manage </w:t>
      </w:r>
      <w:r w:rsidR="00F01270" w:rsidRPr="00B92144">
        <w:rPr>
          <w:rFonts w:asciiTheme="majorBidi" w:hAnsiTheme="majorBidi" w:cstheme="majorBidi"/>
          <w:sz w:val="24"/>
          <w:szCs w:val="24"/>
        </w:rPr>
        <w:t xml:space="preserve">risk </w:t>
      </w:r>
      <w:r w:rsidR="00A878FB" w:rsidRPr="00B92144">
        <w:rPr>
          <w:rFonts w:asciiTheme="majorBidi" w:hAnsiTheme="majorBidi" w:cstheme="majorBidi"/>
          <w:sz w:val="24"/>
          <w:szCs w:val="24"/>
        </w:rPr>
        <w:t xml:space="preserve">successfully </w:t>
      </w:r>
      <w:r w:rsidR="00F01270" w:rsidRPr="00B92144">
        <w:rPr>
          <w:rFonts w:asciiTheme="majorBidi" w:hAnsiTheme="majorBidi" w:cstheme="majorBidi"/>
          <w:sz w:val="24"/>
          <w:szCs w:val="24"/>
        </w:rPr>
        <w:t xml:space="preserve">and </w:t>
      </w:r>
      <w:r w:rsidR="00036B54" w:rsidRPr="00B92144">
        <w:rPr>
          <w:rFonts w:asciiTheme="majorBidi" w:hAnsiTheme="majorBidi" w:cstheme="majorBidi"/>
          <w:sz w:val="24"/>
          <w:szCs w:val="24"/>
        </w:rPr>
        <w:t>to achieve</w:t>
      </w:r>
      <w:r w:rsidR="00F01270" w:rsidRPr="00B92144">
        <w:rPr>
          <w:rFonts w:asciiTheme="majorBidi" w:hAnsiTheme="majorBidi" w:cstheme="majorBidi"/>
          <w:sz w:val="24"/>
          <w:szCs w:val="24"/>
        </w:rPr>
        <w:t xml:space="preserve"> high</w:t>
      </w:r>
      <w:r w:rsidR="00840DF8" w:rsidRPr="00B92144">
        <w:rPr>
          <w:rFonts w:asciiTheme="majorBidi" w:hAnsiTheme="majorBidi" w:cstheme="majorBidi"/>
          <w:sz w:val="24"/>
          <w:szCs w:val="24"/>
        </w:rPr>
        <w:t>-</w:t>
      </w:r>
      <w:r w:rsidR="00F01270" w:rsidRPr="00B92144">
        <w:rPr>
          <w:rFonts w:asciiTheme="majorBidi" w:hAnsiTheme="majorBidi" w:cstheme="majorBidi"/>
          <w:sz w:val="24"/>
          <w:szCs w:val="24"/>
        </w:rPr>
        <w:t xml:space="preserve">quality </w:t>
      </w:r>
      <w:r w:rsidR="00F01270" w:rsidRPr="00B92144">
        <w:rPr>
          <w:rFonts w:asciiTheme="majorBidi" w:hAnsiTheme="majorBidi" w:cstheme="majorBidi"/>
          <w:sz w:val="24"/>
          <w:szCs w:val="24"/>
        </w:rPr>
        <w:lastRenderedPageBreak/>
        <w:t>performance</w:t>
      </w:r>
      <w:r w:rsidR="00840DF8" w:rsidRPr="00B92144">
        <w:rPr>
          <w:rFonts w:asciiTheme="majorBidi" w:hAnsiTheme="majorBidi" w:cstheme="majorBidi"/>
          <w:sz w:val="24"/>
          <w:szCs w:val="24"/>
        </w:rPr>
        <w:t>.</w:t>
      </w:r>
      <w:r w:rsidR="00F01270" w:rsidRPr="00B92144">
        <w:rPr>
          <w:rFonts w:asciiTheme="majorBidi" w:hAnsiTheme="majorBidi" w:cstheme="majorBidi"/>
          <w:sz w:val="24"/>
          <w:szCs w:val="24"/>
        </w:rPr>
        <w:t xml:space="preserve"> </w:t>
      </w:r>
      <w:r w:rsidR="00840DF8" w:rsidRPr="00B92144">
        <w:rPr>
          <w:rFonts w:asciiTheme="majorBidi" w:hAnsiTheme="majorBidi" w:cstheme="majorBidi"/>
          <w:color w:val="365F91" w:themeColor="accent1" w:themeShade="BF"/>
          <w:sz w:val="24"/>
          <w:szCs w:val="24"/>
        </w:rPr>
        <w:t xml:space="preserve">Khlif </w:t>
      </w:r>
      <w:r w:rsidR="00E05652" w:rsidRPr="00B92144">
        <w:rPr>
          <w:rFonts w:asciiTheme="majorBidi" w:hAnsiTheme="majorBidi" w:cstheme="majorBidi"/>
          <w:color w:val="365F91" w:themeColor="accent1" w:themeShade="BF"/>
          <w:sz w:val="24"/>
          <w:szCs w:val="24"/>
        </w:rPr>
        <w:t>&amp;</w:t>
      </w:r>
      <w:r w:rsidR="00840DF8" w:rsidRPr="00B92144">
        <w:rPr>
          <w:rFonts w:asciiTheme="majorBidi" w:hAnsiTheme="majorBidi" w:cstheme="majorBidi"/>
          <w:color w:val="365F91" w:themeColor="accent1" w:themeShade="BF"/>
          <w:sz w:val="24"/>
          <w:szCs w:val="24"/>
        </w:rPr>
        <w:t xml:space="preserve"> Hussainey (2014) </w:t>
      </w:r>
      <w:r w:rsidR="00840DF8" w:rsidRPr="00B92144">
        <w:rPr>
          <w:rFonts w:asciiTheme="majorBidi" w:hAnsiTheme="majorBidi" w:cstheme="majorBidi"/>
          <w:sz w:val="24"/>
          <w:szCs w:val="24"/>
        </w:rPr>
        <w:t>sustain that</w:t>
      </w:r>
      <w:r w:rsidR="00036B54" w:rsidRPr="00B92144">
        <w:rPr>
          <w:rFonts w:asciiTheme="majorBidi" w:hAnsiTheme="majorBidi" w:cstheme="majorBidi"/>
          <w:sz w:val="24"/>
          <w:szCs w:val="24"/>
        </w:rPr>
        <w:t xml:space="preserve"> </w:t>
      </w:r>
      <w:r w:rsidR="004B7245" w:rsidRPr="00B92144">
        <w:rPr>
          <w:rFonts w:asciiTheme="majorBidi" w:hAnsiTheme="majorBidi" w:cstheme="majorBidi"/>
          <w:sz w:val="24"/>
          <w:szCs w:val="24"/>
        </w:rPr>
        <w:t xml:space="preserve">risk disclosure may </w:t>
      </w:r>
      <w:r w:rsidR="00036B54" w:rsidRPr="00B92144">
        <w:rPr>
          <w:rFonts w:asciiTheme="majorBidi" w:hAnsiTheme="majorBidi" w:cstheme="majorBidi"/>
          <w:sz w:val="24"/>
          <w:szCs w:val="24"/>
        </w:rPr>
        <w:t>decrease investors’</w:t>
      </w:r>
      <w:r w:rsidR="004B7245" w:rsidRPr="00B92144">
        <w:rPr>
          <w:rFonts w:asciiTheme="majorBidi" w:hAnsiTheme="majorBidi" w:cstheme="majorBidi"/>
          <w:sz w:val="24"/>
          <w:szCs w:val="24"/>
        </w:rPr>
        <w:t xml:space="preserve"> uncertainty </w:t>
      </w:r>
      <w:r w:rsidR="00036B54" w:rsidRPr="00B92144">
        <w:rPr>
          <w:rFonts w:asciiTheme="majorBidi" w:hAnsiTheme="majorBidi" w:cstheme="majorBidi"/>
          <w:sz w:val="24"/>
          <w:szCs w:val="24"/>
        </w:rPr>
        <w:t xml:space="preserve">about </w:t>
      </w:r>
      <w:r w:rsidR="004B7245" w:rsidRPr="00B92144">
        <w:rPr>
          <w:rFonts w:asciiTheme="majorBidi" w:hAnsiTheme="majorBidi" w:cstheme="majorBidi"/>
          <w:sz w:val="24"/>
          <w:szCs w:val="24"/>
        </w:rPr>
        <w:t xml:space="preserve">future cash flows and </w:t>
      </w:r>
      <w:r w:rsidR="00036B54" w:rsidRPr="00B92144">
        <w:rPr>
          <w:rFonts w:asciiTheme="majorBidi" w:hAnsiTheme="majorBidi" w:cstheme="majorBidi"/>
          <w:sz w:val="24"/>
          <w:szCs w:val="24"/>
        </w:rPr>
        <w:t xml:space="preserve">business </w:t>
      </w:r>
      <w:r w:rsidR="00B54077" w:rsidRPr="00B92144">
        <w:rPr>
          <w:rFonts w:asciiTheme="majorBidi" w:hAnsiTheme="majorBidi" w:cstheme="majorBidi"/>
          <w:sz w:val="24"/>
          <w:szCs w:val="24"/>
        </w:rPr>
        <w:t>environment. This is likely to reduce the information asymmetry between corporate management and market participants, yielding to</w:t>
      </w:r>
      <w:r w:rsidR="004B7245" w:rsidRPr="00B92144">
        <w:rPr>
          <w:rFonts w:asciiTheme="majorBidi" w:hAnsiTheme="majorBidi" w:cstheme="majorBidi"/>
          <w:sz w:val="24"/>
          <w:szCs w:val="24"/>
        </w:rPr>
        <w:t xml:space="preserve"> a positive effect on firms’ shares.</w:t>
      </w:r>
      <w:r w:rsidR="00036B54" w:rsidRPr="00B92144">
        <w:rPr>
          <w:rFonts w:asciiTheme="majorBidi" w:hAnsiTheme="majorBidi" w:cstheme="majorBidi"/>
          <w:sz w:val="24"/>
          <w:szCs w:val="24"/>
        </w:rPr>
        <w:t xml:space="preserve"> In </w:t>
      </w:r>
      <w:r w:rsidR="004B7245" w:rsidRPr="00B92144">
        <w:rPr>
          <w:rFonts w:asciiTheme="majorBidi" w:hAnsiTheme="majorBidi" w:cstheme="majorBidi"/>
          <w:sz w:val="24"/>
          <w:szCs w:val="24"/>
        </w:rPr>
        <w:t xml:space="preserve">contrast, </w:t>
      </w:r>
      <w:r w:rsidR="002A6A6E" w:rsidRPr="00B92144">
        <w:rPr>
          <w:rFonts w:asciiTheme="majorBidi" w:hAnsiTheme="majorBidi" w:cstheme="majorBidi"/>
          <w:color w:val="365F91" w:themeColor="accent1" w:themeShade="BF"/>
          <w:sz w:val="24"/>
          <w:szCs w:val="24"/>
        </w:rPr>
        <w:t xml:space="preserve">Skinner (1994) </w:t>
      </w:r>
      <w:r w:rsidR="002A6A6E" w:rsidRPr="00B92144">
        <w:rPr>
          <w:rFonts w:asciiTheme="majorBidi" w:hAnsiTheme="majorBidi" w:cstheme="majorBidi"/>
          <w:sz w:val="24"/>
          <w:szCs w:val="24"/>
        </w:rPr>
        <w:t xml:space="preserve">puts forth that managers with bad performance may rely on extended risk related information to reassure investors about the firm’s </w:t>
      </w:r>
      <w:r w:rsidR="00974DA7" w:rsidRPr="00B92144">
        <w:rPr>
          <w:rFonts w:asciiTheme="majorBidi" w:hAnsiTheme="majorBidi" w:cstheme="majorBidi"/>
          <w:sz w:val="24"/>
          <w:szCs w:val="24"/>
        </w:rPr>
        <w:t>prospects</w:t>
      </w:r>
      <w:r w:rsidR="002A6A6E" w:rsidRPr="00B92144">
        <w:rPr>
          <w:rFonts w:asciiTheme="majorBidi" w:hAnsiTheme="majorBidi" w:cstheme="majorBidi"/>
          <w:sz w:val="24"/>
          <w:szCs w:val="24"/>
        </w:rPr>
        <w:t xml:space="preserve"> and avoid the adverse effect of future litigation risks.</w:t>
      </w:r>
      <w:r w:rsidR="00DD6798" w:rsidRPr="00B92144">
        <w:rPr>
          <w:rFonts w:asciiTheme="majorBidi" w:hAnsiTheme="majorBidi" w:cstheme="majorBidi"/>
          <w:sz w:val="24"/>
          <w:szCs w:val="24"/>
        </w:rPr>
        <w:t xml:space="preserve"> </w:t>
      </w:r>
      <w:r w:rsidR="00DD6798" w:rsidRPr="00B92144">
        <w:rPr>
          <w:rFonts w:asciiTheme="majorBidi" w:hAnsiTheme="majorBidi" w:cstheme="majorBidi"/>
          <w:color w:val="365F91" w:themeColor="accent1" w:themeShade="BF"/>
          <w:sz w:val="24"/>
          <w:szCs w:val="24"/>
        </w:rPr>
        <w:t>Deumes</w:t>
      </w:r>
      <w:r w:rsidR="00E05652" w:rsidRPr="00B92144">
        <w:rPr>
          <w:rFonts w:asciiTheme="majorBidi" w:hAnsiTheme="majorBidi" w:cstheme="majorBidi"/>
          <w:color w:val="365F91" w:themeColor="accent1" w:themeShade="BF"/>
          <w:sz w:val="24"/>
          <w:szCs w:val="24"/>
        </w:rPr>
        <w:t xml:space="preserve"> &amp;</w:t>
      </w:r>
      <w:r w:rsidR="00DD6798" w:rsidRPr="00B92144">
        <w:rPr>
          <w:rFonts w:asciiTheme="majorBidi" w:hAnsiTheme="majorBidi" w:cstheme="majorBidi"/>
          <w:color w:val="365F91" w:themeColor="accent1" w:themeShade="BF"/>
          <w:sz w:val="24"/>
          <w:szCs w:val="24"/>
        </w:rPr>
        <w:t xml:space="preserve"> Knechel (2008) </w:t>
      </w:r>
      <w:r w:rsidR="00DD6798" w:rsidRPr="00B92144">
        <w:rPr>
          <w:rFonts w:asciiTheme="majorBidi" w:hAnsiTheme="majorBidi" w:cstheme="majorBidi"/>
          <w:sz w:val="24"/>
          <w:szCs w:val="24"/>
        </w:rPr>
        <w:t>consider on the other hand that p</w:t>
      </w:r>
      <w:r w:rsidR="00974DA7" w:rsidRPr="00B92144">
        <w:rPr>
          <w:rFonts w:asciiTheme="majorBidi" w:hAnsiTheme="majorBidi" w:cstheme="majorBidi"/>
          <w:sz w:val="24"/>
          <w:szCs w:val="24"/>
        </w:rPr>
        <w:t>rofitable firms have more resources to implement risk management system and to communicate information about the</w:t>
      </w:r>
      <w:r w:rsidR="00DD6798" w:rsidRPr="00B92144">
        <w:rPr>
          <w:rFonts w:asciiTheme="majorBidi" w:hAnsiTheme="majorBidi" w:cstheme="majorBidi"/>
          <w:sz w:val="24"/>
          <w:szCs w:val="24"/>
        </w:rPr>
        <w:t xml:space="preserve"> risk they face</w:t>
      </w:r>
      <w:r w:rsidR="00974DA7" w:rsidRPr="00B92144">
        <w:rPr>
          <w:rFonts w:asciiTheme="majorBidi" w:hAnsiTheme="majorBidi" w:cstheme="majorBidi"/>
          <w:sz w:val="24"/>
          <w:szCs w:val="24"/>
        </w:rPr>
        <w:t xml:space="preserve">. </w:t>
      </w:r>
      <w:r w:rsidR="00DD6798" w:rsidRPr="00B92144">
        <w:rPr>
          <w:rFonts w:asciiTheme="majorBidi" w:hAnsiTheme="majorBidi" w:cstheme="majorBidi"/>
          <w:sz w:val="24"/>
          <w:szCs w:val="24"/>
        </w:rPr>
        <w:t>Y</w:t>
      </w:r>
      <w:r w:rsidR="00974DA7" w:rsidRPr="00B92144">
        <w:rPr>
          <w:rFonts w:asciiTheme="majorBidi" w:hAnsiTheme="majorBidi" w:cstheme="majorBidi"/>
          <w:sz w:val="24"/>
          <w:szCs w:val="24"/>
        </w:rPr>
        <w:t xml:space="preserve">et, because of their good financial performance, </w:t>
      </w:r>
      <w:r w:rsidR="00DD6798" w:rsidRPr="00B92144">
        <w:rPr>
          <w:rFonts w:asciiTheme="majorBidi" w:hAnsiTheme="majorBidi" w:cstheme="majorBidi"/>
          <w:sz w:val="24"/>
          <w:szCs w:val="24"/>
        </w:rPr>
        <w:t xml:space="preserve">shareholders will de-emphasize inherent risk and thus disregard such type of disclosure, implying less incentives from management to increase </w:t>
      </w:r>
      <w:r w:rsidR="00410EDE" w:rsidRPr="00B92144">
        <w:rPr>
          <w:rFonts w:asciiTheme="majorBidi" w:hAnsiTheme="majorBidi" w:cstheme="majorBidi"/>
          <w:sz w:val="24"/>
          <w:szCs w:val="24"/>
        </w:rPr>
        <w:t>RRD</w:t>
      </w:r>
      <w:r w:rsidR="00DD6798" w:rsidRPr="00B92144">
        <w:rPr>
          <w:rFonts w:asciiTheme="majorBidi" w:hAnsiTheme="majorBidi" w:cstheme="majorBidi"/>
          <w:sz w:val="24"/>
          <w:szCs w:val="24"/>
        </w:rPr>
        <w:t xml:space="preserve">. </w:t>
      </w:r>
    </w:p>
    <w:p w14:paraId="6A3D2ABE" w14:textId="77777777" w:rsidR="00D238A2" w:rsidRPr="00B92144" w:rsidRDefault="00DD6798" w:rsidP="00A7568D">
      <w:pPr>
        <w:autoSpaceDE w:val="0"/>
        <w:autoSpaceDN w:val="0"/>
        <w:adjustRightInd w:val="0"/>
        <w:spacing w:before="120" w:after="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Empirical </w:t>
      </w:r>
      <w:r w:rsidR="00302600" w:rsidRPr="00B92144">
        <w:rPr>
          <w:rFonts w:asciiTheme="majorBidi" w:hAnsiTheme="majorBidi" w:cstheme="majorBidi"/>
          <w:sz w:val="24"/>
          <w:szCs w:val="24"/>
        </w:rPr>
        <w:t xml:space="preserve">results </w:t>
      </w:r>
      <w:r w:rsidRPr="00B92144">
        <w:rPr>
          <w:rFonts w:asciiTheme="majorBidi" w:hAnsiTheme="majorBidi" w:cstheme="majorBidi"/>
          <w:sz w:val="24"/>
          <w:szCs w:val="24"/>
        </w:rPr>
        <w:t xml:space="preserve">on the relationship between profitability and banks’ risk </w:t>
      </w:r>
      <w:r w:rsidR="00302600" w:rsidRPr="00B92144">
        <w:rPr>
          <w:rFonts w:asciiTheme="majorBidi" w:hAnsiTheme="majorBidi" w:cstheme="majorBidi"/>
          <w:sz w:val="24"/>
          <w:szCs w:val="24"/>
        </w:rPr>
        <w:t>related information</w:t>
      </w:r>
      <w:r w:rsidRPr="00B92144">
        <w:rPr>
          <w:rFonts w:asciiTheme="majorBidi" w:hAnsiTheme="majorBidi" w:cstheme="majorBidi"/>
          <w:sz w:val="24"/>
          <w:szCs w:val="24"/>
        </w:rPr>
        <w:t xml:space="preserve"> </w:t>
      </w:r>
      <w:r w:rsidR="007554DE" w:rsidRPr="00B92144">
        <w:rPr>
          <w:rFonts w:asciiTheme="majorBidi" w:hAnsiTheme="majorBidi" w:cstheme="majorBidi"/>
          <w:sz w:val="24"/>
          <w:szCs w:val="24"/>
        </w:rPr>
        <w:t>were</w:t>
      </w:r>
      <w:r w:rsidRPr="00B92144">
        <w:rPr>
          <w:rFonts w:asciiTheme="majorBidi" w:hAnsiTheme="majorBidi" w:cstheme="majorBidi"/>
          <w:sz w:val="24"/>
          <w:szCs w:val="24"/>
        </w:rPr>
        <w:t xml:space="preserve"> also inconclusive.</w:t>
      </w:r>
      <w:r w:rsidR="007554DE" w:rsidRPr="00B92144">
        <w:rPr>
          <w:rFonts w:asciiTheme="majorBidi" w:hAnsiTheme="majorBidi" w:cstheme="majorBidi"/>
          <w:sz w:val="24"/>
          <w:szCs w:val="24"/>
        </w:rPr>
        <w:t xml:space="preserve"> While </w:t>
      </w:r>
      <w:r w:rsidR="007554DE" w:rsidRPr="00B92144">
        <w:rPr>
          <w:rFonts w:asciiTheme="majorBidi" w:hAnsiTheme="majorBidi" w:cstheme="majorBidi"/>
          <w:color w:val="365F91" w:themeColor="accent1" w:themeShade="BF"/>
          <w:sz w:val="24"/>
          <w:szCs w:val="24"/>
        </w:rPr>
        <w:t xml:space="preserve">Linsley et al. (2006) </w:t>
      </w:r>
      <w:r w:rsidR="007554DE" w:rsidRPr="00B92144">
        <w:rPr>
          <w:rFonts w:asciiTheme="majorBidi" w:hAnsiTheme="majorBidi" w:cstheme="majorBidi"/>
          <w:sz w:val="24"/>
          <w:szCs w:val="24"/>
        </w:rPr>
        <w:t>end to</w:t>
      </w:r>
      <w:r w:rsidR="00302600" w:rsidRPr="00B92144">
        <w:rPr>
          <w:rFonts w:asciiTheme="majorBidi" w:hAnsiTheme="majorBidi" w:cstheme="majorBidi"/>
          <w:sz w:val="24"/>
          <w:szCs w:val="24"/>
        </w:rPr>
        <w:t xml:space="preserve"> an</w:t>
      </w:r>
      <w:r w:rsidR="007554DE" w:rsidRPr="00B92144">
        <w:rPr>
          <w:rFonts w:asciiTheme="majorBidi" w:hAnsiTheme="majorBidi" w:cstheme="majorBidi"/>
          <w:sz w:val="24"/>
          <w:szCs w:val="24"/>
        </w:rPr>
        <w:t xml:space="preserve"> insignificant relationship</w:t>
      </w:r>
      <w:r w:rsidR="00302600" w:rsidRPr="00B92144">
        <w:rPr>
          <w:rFonts w:asciiTheme="majorBidi" w:hAnsiTheme="majorBidi" w:cstheme="majorBidi"/>
          <w:sz w:val="24"/>
          <w:szCs w:val="24"/>
        </w:rPr>
        <w:t xml:space="preserve">, </w:t>
      </w:r>
      <w:r w:rsidR="004E7091" w:rsidRPr="00B92144">
        <w:rPr>
          <w:rFonts w:asciiTheme="majorBidi" w:hAnsiTheme="majorBidi" w:cstheme="majorBidi"/>
          <w:color w:val="365F91" w:themeColor="accent1" w:themeShade="BF"/>
          <w:sz w:val="24"/>
          <w:szCs w:val="24"/>
        </w:rPr>
        <w:t>Al-Maghzom (2016)</w:t>
      </w:r>
      <w:r w:rsidR="004E7091" w:rsidRPr="00B92144">
        <w:rPr>
          <w:rFonts w:asciiTheme="majorBidi" w:hAnsiTheme="majorBidi" w:cstheme="majorBidi"/>
          <w:sz w:val="24"/>
          <w:szCs w:val="24"/>
        </w:rPr>
        <w:t xml:space="preserve"> shows that profitable firms disclose voluntarily more risk information. </w:t>
      </w:r>
    </w:p>
    <w:p w14:paraId="0965E84A" w14:textId="38532EF4" w:rsidR="004B7245" w:rsidRPr="00B92144" w:rsidRDefault="0080796B" w:rsidP="00A7568D">
      <w:pPr>
        <w:autoSpaceDE w:val="0"/>
        <w:autoSpaceDN w:val="0"/>
        <w:adjustRightInd w:val="0"/>
        <w:spacing w:before="120" w:after="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Conversely, </w:t>
      </w:r>
      <w:r w:rsidR="00302600" w:rsidRPr="00B92144">
        <w:rPr>
          <w:rFonts w:asciiTheme="majorBidi" w:hAnsiTheme="majorBidi" w:cstheme="majorBidi"/>
          <w:color w:val="365F91" w:themeColor="accent1" w:themeShade="BF"/>
          <w:sz w:val="24"/>
          <w:szCs w:val="24"/>
        </w:rPr>
        <w:t xml:space="preserve">Helbok &amp; Wagner (2006) </w:t>
      </w:r>
      <w:r w:rsidR="006144FF" w:rsidRPr="00B92144">
        <w:rPr>
          <w:rFonts w:asciiTheme="majorBidi" w:hAnsiTheme="majorBidi" w:cstheme="majorBidi"/>
          <w:sz w:val="24"/>
          <w:szCs w:val="24"/>
        </w:rPr>
        <w:t xml:space="preserve">and </w:t>
      </w:r>
      <w:r w:rsidR="006144FF" w:rsidRPr="00B92144">
        <w:rPr>
          <w:rFonts w:asciiTheme="majorBidi" w:hAnsiTheme="majorBidi" w:cstheme="majorBidi"/>
          <w:color w:val="365F91" w:themeColor="accent1" w:themeShade="BF"/>
          <w:sz w:val="24"/>
          <w:szCs w:val="24"/>
        </w:rPr>
        <w:t xml:space="preserve">Oliveira, Rodrigues, </w:t>
      </w:r>
      <w:r w:rsidR="00E05652" w:rsidRPr="00B92144">
        <w:rPr>
          <w:rFonts w:asciiTheme="majorBidi" w:hAnsiTheme="majorBidi" w:cstheme="majorBidi"/>
          <w:color w:val="365F91" w:themeColor="accent1" w:themeShade="BF"/>
          <w:sz w:val="24"/>
          <w:szCs w:val="24"/>
        </w:rPr>
        <w:t>&amp;</w:t>
      </w:r>
      <w:r w:rsidR="006144FF" w:rsidRPr="00B92144">
        <w:rPr>
          <w:rFonts w:asciiTheme="majorBidi" w:hAnsiTheme="majorBidi" w:cstheme="majorBidi"/>
          <w:color w:val="365F91" w:themeColor="accent1" w:themeShade="BF"/>
          <w:sz w:val="24"/>
          <w:szCs w:val="24"/>
        </w:rPr>
        <w:t xml:space="preserve"> Craig (2011b) </w:t>
      </w:r>
      <w:r w:rsidR="00302600" w:rsidRPr="00B92144">
        <w:rPr>
          <w:rFonts w:asciiTheme="majorBidi" w:hAnsiTheme="majorBidi" w:cstheme="majorBidi"/>
          <w:sz w:val="24"/>
          <w:szCs w:val="24"/>
        </w:rPr>
        <w:t xml:space="preserve">find that low profitable banks give greater importance to disclosing their assessment and management of </w:t>
      </w:r>
      <w:r w:rsidR="004E7091" w:rsidRPr="00B92144">
        <w:rPr>
          <w:rFonts w:asciiTheme="majorBidi" w:hAnsiTheme="majorBidi" w:cstheme="majorBidi"/>
          <w:sz w:val="24"/>
          <w:szCs w:val="24"/>
        </w:rPr>
        <w:t xml:space="preserve">operational </w:t>
      </w:r>
      <w:r w:rsidR="00302600" w:rsidRPr="00B92144">
        <w:rPr>
          <w:rFonts w:asciiTheme="majorBidi" w:hAnsiTheme="majorBidi" w:cstheme="majorBidi"/>
          <w:sz w:val="24"/>
          <w:szCs w:val="24"/>
        </w:rPr>
        <w:t>risks.</w:t>
      </w:r>
      <w:r w:rsidR="000D0217" w:rsidRPr="00B92144">
        <w:rPr>
          <w:rFonts w:asciiTheme="majorBidi" w:hAnsiTheme="majorBidi" w:cstheme="majorBidi"/>
          <w:sz w:val="24"/>
          <w:szCs w:val="24"/>
        </w:rPr>
        <w:t xml:space="preserve"> </w:t>
      </w:r>
      <w:r w:rsidR="004B7245" w:rsidRPr="00B92144">
        <w:rPr>
          <w:rFonts w:asciiTheme="majorBidi" w:hAnsiTheme="majorBidi" w:cstheme="majorBidi"/>
          <w:sz w:val="24"/>
          <w:szCs w:val="24"/>
        </w:rPr>
        <w:t>Given these mixed evidences, we formulate the following non-directional</w:t>
      </w:r>
      <w:r w:rsidR="00BC6A3D" w:rsidRPr="00B92144">
        <w:rPr>
          <w:rFonts w:asciiTheme="majorBidi" w:hAnsiTheme="majorBidi" w:cstheme="majorBidi"/>
          <w:sz w:val="24"/>
          <w:szCs w:val="24"/>
        </w:rPr>
        <w:t xml:space="preserve"> </w:t>
      </w:r>
      <w:r w:rsidR="004B7245" w:rsidRPr="00B92144">
        <w:rPr>
          <w:rFonts w:asciiTheme="majorBidi" w:hAnsiTheme="majorBidi" w:cstheme="majorBidi"/>
          <w:sz w:val="24"/>
          <w:szCs w:val="24"/>
        </w:rPr>
        <w:t>hypothesis:</w:t>
      </w:r>
    </w:p>
    <w:p w14:paraId="637F1DD9" w14:textId="0ECEC7B9" w:rsidR="00A273B5" w:rsidRPr="00B92144" w:rsidRDefault="004B7245" w:rsidP="00410EDE">
      <w:pPr>
        <w:autoSpaceDE w:val="0"/>
        <w:autoSpaceDN w:val="0"/>
        <w:adjustRightInd w:val="0"/>
        <w:spacing w:before="120" w:after="120" w:line="360" w:lineRule="auto"/>
        <w:jc w:val="both"/>
        <w:rPr>
          <w:rFonts w:asciiTheme="majorBidi" w:hAnsiTheme="majorBidi" w:cstheme="majorBidi"/>
          <w:i/>
          <w:iCs/>
          <w:sz w:val="24"/>
          <w:szCs w:val="24"/>
        </w:rPr>
      </w:pPr>
      <w:r w:rsidRPr="00B92144">
        <w:rPr>
          <w:rFonts w:asciiTheme="majorBidi" w:hAnsiTheme="majorBidi" w:cstheme="majorBidi"/>
          <w:i/>
          <w:iCs/>
          <w:sz w:val="24"/>
          <w:szCs w:val="24"/>
        </w:rPr>
        <w:t>H</w:t>
      </w:r>
      <w:r w:rsidR="0080796B" w:rsidRPr="00B92144">
        <w:rPr>
          <w:rFonts w:asciiTheme="majorBidi" w:hAnsiTheme="majorBidi" w:cstheme="majorBidi"/>
          <w:i/>
          <w:iCs/>
          <w:sz w:val="24"/>
          <w:szCs w:val="24"/>
        </w:rPr>
        <w:t>5.</w:t>
      </w:r>
      <w:r w:rsidRPr="00B92144">
        <w:rPr>
          <w:rFonts w:asciiTheme="majorBidi" w:hAnsiTheme="majorBidi" w:cstheme="majorBidi"/>
          <w:i/>
          <w:iCs/>
          <w:sz w:val="24"/>
          <w:szCs w:val="24"/>
        </w:rPr>
        <w:t xml:space="preserve"> There is an association between </w:t>
      </w:r>
      <w:r w:rsidR="00980272" w:rsidRPr="00B92144">
        <w:rPr>
          <w:rFonts w:asciiTheme="majorBidi" w:hAnsiTheme="majorBidi" w:cstheme="majorBidi"/>
          <w:i/>
          <w:iCs/>
          <w:sz w:val="24"/>
          <w:szCs w:val="24"/>
        </w:rPr>
        <w:t xml:space="preserve">bank </w:t>
      </w:r>
      <w:r w:rsidRPr="00B92144">
        <w:rPr>
          <w:rFonts w:asciiTheme="majorBidi" w:hAnsiTheme="majorBidi" w:cstheme="majorBidi"/>
          <w:i/>
          <w:iCs/>
          <w:sz w:val="24"/>
          <w:szCs w:val="24"/>
        </w:rPr>
        <w:t xml:space="preserve">profitability and </w:t>
      </w:r>
      <w:r w:rsidR="00410EDE" w:rsidRPr="00B92144">
        <w:rPr>
          <w:rFonts w:asciiTheme="majorBidi" w:hAnsiTheme="majorBidi" w:cstheme="majorBidi"/>
          <w:i/>
          <w:iCs/>
          <w:sz w:val="24"/>
          <w:szCs w:val="24"/>
        </w:rPr>
        <w:t>RRD</w:t>
      </w:r>
      <w:r w:rsidRPr="00B92144">
        <w:rPr>
          <w:rFonts w:asciiTheme="majorBidi" w:hAnsiTheme="majorBidi" w:cstheme="majorBidi"/>
          <w:i/>
          <w:iCs/>
          <w:sz w:val="24"/>
          <w:szCs w:val="24"/>
        </w:rPr>
        <w:t>.</w:t>
      </w:r>
    </w:p>
    <w:p w14:paraId="60A21189" w14:textId="4798048C" w:rsidR="000C5BE3" w:rsidRPr="00B92144" w:rsidRDefault="002C0AAA" w:rsidP="000C5BE3">
      <w:pPr>
        <w:pStyle w:val="ListParagraph"/>
        <w:numPr>
          <w:ilvl w:val="0"/>
          <w:numId w:val="4"/>
        </w:numPr>
        <w:autoSpaceDE w:val="0"/>
        <w:autoSpaceDN w:val="0"/>
        <w:adjustRightInd w:val="0"/>
        <w:spacing w:before="120" w:after="120" w:line="360" w:lineRule="auto"/>
        <w:jc w:val="both"/>
        <w:rPr>
          <w:rFonts w:asciiTheme="majorBidi" w:hAnsiTheme="majorBidi" w:cstheme="majorBidi"/>
          <w:sz w:val="24"/>
          <w:szCs w:val="24"/>
          <w:u w:val="single"/>
        </w:rPr>
      </w:pPr>
      <w:r w:rsidRPr="00B92144">
        <w:rPr>
          <w:rFonts w:asciiTheme="majorBidi" w:hAnsiTheme="majorBidi" w:cstheme="majorBidi"/>
          <w:sz w:val="24"/>
          <w:szCs w:val="24"/>
          <w:u w:val="single"/>
        </w:rPr>
        <w:t>Bank l</w:t>
      </w:r>
      <w:r w:rsidR="003219DB" w:rsidRPr="00B92144">
        <w:rPr>
          <w:rFonts w:asciiTheme="majorBidi" w:hAnsiTheme="majorBidi" w:cstheme="majorBidi"/>
          <w:sz w:val="24"/>
          <w:szCs w:val="24"/>
          <w:u w:val="single"/>
        </w:rPr>
        <w:t>isting status and RRD</w:t>
      </w:r>
    </w:p>
    <w:p w14:paraId="0253A308" w14:textId="2D555184" w:rsidR="00A7568D" w:rsidRPr="00B92144" w:rsidRDefault="009A4085" w:rsidP="00A273B5">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Listed</w:t>
      </w:r>
      <w:r w:rsidR="00450879" w:rsidRPr="00B92144">
        <w:rPr>
          <w:rFonts w:asciiTheme="majorBidi" w:hAnsiTheme="majorBidi" w:cstheme="majorBidi"/>
          <w:sz w:val="24"/>
          <w:szCs w:val="24"/>
        </w:rPr>
        <w:t xml:space="preserve"> companies </w:t>
      </w:r>
      <w:r w:rsidR="00A56527" w:rsidRPr="00B92144">
        <w:rPr>
          <w:rFonts w:asciiTheme="majorBidi" w:hAnsiTheme="majorBidi" w:cstheme="majorBidi"/>
          <w:sz w:val="24"/>
          <w:szCs w:val="24"/>
        </w:rPr>
        <w:t>must</w:t>
      </w:r>
      <w:r w:rsidR="00450879" w:rsidRPr="00B92144">
        <w:rPr>
          <w:rFonts w:asciiTheme="majorBidi" w:hAnsiTheme="majorBidi" w:cstheme="majorBidi"/>
          <w:sz w:val="24"/>
          <w:szCs w:val="24"/>
        </w:rPr>
        <w:t xml:space="preserve"> comply with </w:t>
      </w:r>
      <w:r w:rsidR="00B11481" w:rsidRPr="00B92144">
        <w:rPr>
          <w:rFonts w:asciiTheme="majorBidi" w:hAnsiTheme="majorBidi" w:cstheme="majorBidi"/>
          <w:sz w:val="24"/>
          <w:szCs w:val="24"/>
        </w:rPr>
        <w:t xml:space="preserve">listing </w:t>
      </w:r>
      <w:r w:rsidR="00450879" w:rsidRPr="00B92144">
        <w:rPr>
          <w:rFonts w:asciiTheme="majorBidi" w:hAnsiTheme="majorBidi" w:cstheme="majorBidi"/>
          <w:sz w:val="24"/>
          <w:szCs w:val="24"/>
        </w:rPr>
        <w:t xml:space="preserve">rules </w:t>
      </w:r>
      <w:r w:rsidR="00B11481" w:rsidRPr="00B92144">
        <w:rPr>
          <w:rFonts w:asciiTheme="majorBidi" w:hAnsiTheme="majorBidi" w:cstheme="majorBidi"/>
          <w:sz w:val="24"/>
          <w:szCs w:val="24"/>
        </w:rPr>
        <w:t xml:space="preserve">imposed by security markets. They are </w:t>
      </w:r>
      <w:r w:rsidR="00E06FD2" w:rsidRPr="00B92144">
        <w:rPr>
          <w:rFonts w:asciiTheme="majorBidi" w:hAnsiTheme="majorBidi" w:cstheme="majorBidi"/>
          <w:sz w:val="24"/>
          <w:szCs w:val="24"/>
        </w:rPr>
        <w:t xml:space="preserve">often </w:t>
      </w:r>
      <w:r w:rsidR="00B11481" w:rsidRPr="00B92144">
        <w:rPr>
          <w:rFonts w:asciiTheme="majorBidi" w:hAnsiTheme="majorBidi" w:cstheme="majorBidi"/>
          <w:sz w:val="24"/>
          <w:szCs w:val="24"/>
        </w:rPr>
        <w:t xml:space="preserve">subject to </w:t>
      </w:r>
      <w:r w:rsidR="00E06FD2" w:rsidRPr="00B92144">
        <w:rPr>
          <w:rFonts w:asciiTheme="majorBidi" w:hAnsiTheme="majorBidi" w:cstheme="majorBidi"/>
          <w:sz w:val="24"/>
          <w:szCs w:val="24"/>
        </w:rPr>
        <w:t>specific</w:t>
      </w:r>
      <w:r w:rsidR="00B11481" w:rsidRPr="00B92144">
        <w:rPr>
          <w:rFonts w:asciiTheme="majorBidi" w:hAnsiTheme="majorBidi" w:cstheme="majorBidi"/>
          <w:sz w:val="24"/>
          <w:szCs w:val="24"/>
        </w:rPr>
        <w:t xml:space="preserve"> requirements regarding corporate governance, transparency and </w:t>
      </w:r>
      <w:r w:rsidR="00E06FD2" w:rsidRPr="00B92144">
        <w:rPr>
          <w:rFonts w:asciiTheme="majorBidi" w:hAnsiTheme="majorBidi" w:cstheme="majorBidi"/>
          <w:sz w:val="24"/>
          <w:szCs w:val="24"/>
        </w:rPr>
        <w:t>financial reporting</w:t>
      </w:r>
      <w:r w:rsidR="00B11481" w:rsidRPr="00B92144">
        <w:rPr>
          <w:rFonts w:asciiTheme="majorBidi" w:hAnsiTheme="majorBidi" w:cstheme="majorBidi"/>
          <w:sz w:val="24"/>
          <w:szCs w:val="24"/>
        </w:rPr>
        <w:t xml:space="preserve"> </w:t>
      </w:r>
      <w:r w:rsidR="00714A1C" w:rsidRPr="00B92144">
        <w:rPr>
          <w:rFonts w:asciiTheme="majorBidi" w:hAnsiTheme="majorBidi" w:cstheme="majorBidi"/>
          <w:sz w:val="24"/>
          <w:szCs w:val="24"/>
        </w:rPr>
        <w:t xml:space="preserve">(e.g., </w:t>
      </w:r>
      <w:r w:rsidR="00714A1C" w:rsidRPr="00B92144">
        <w:rPr>
          <w:rFonts w:asciiTheme="majorBidi" w:hAnsiTheme="majorBidi" w:cstheme="majorBidi"/>
          <w:color w:val="365F91" w:themeColor="accent1" w:themeShade="BF"/>
          <w:sz w:val="24"/>
          <w:szCs w:val="24"/>
        </w:rPr>
        <w:t>Leftwich,</w:t>
      </w:r>
      <w:r w:rsidR="007F2862" w:rsidRPr="00B92144">
        <w:rPr>
          <w:rFonts w:asciiTheme="majorBidi" w:hAnsiTheme="majorBidi" w:cstheme="majorBidi"/>
          <w:color w:val="365F91" w:themeColor="accent1" w:themeShade="BF"/>
          <w:sz w:val="24"/>
          <w:szCs w:val="24"/>
        </w:rPr>
        <w:t xml:space="preserve"> Watts and Zimmerman,</w:t>
      </w:r>
      <w:r w:rsidR="00714A1C" w:rsidRPr="00B92144">
        <w:rPr>
          <w:rFonts w:asciiTheme="majorBidi" w:hAnsiTheme="majorBidi" w:cstheme="majorBidi"/>
          <w:color w:val="365F91" w:themeColor="accent1" w:themeShade="BF"/>
          <w:sz w:val="24"/>
          <w:szCs w:val="24"/>
        </w:rPr>
        <w:t xml:space="preserve"> 1981; Cooke</w:t>
      </w:r>
      <w:r w:rsidR="00B11481" w:rsidRPr="00B92144">
        <w:rPr>
          <w:rFonts w:asciiTheme="majorBidi" w:hAnsiTheme="majorBidi" w:cstheme="majorBidi"/>
          <w:color w:val="365F91" w:themeColor="accent1" w:themeShade="BF"/>
          <w:sz w:val="24"/>
          <w:szCs w:val="24"/>
        </w:rPr>
        <w:t xml:space="preserve"> </w:t>
      </w:r>
      <w:r w:rsidR="00714A1C" w:rsidRPr="00B92144">
        <w:rPr>
          <w:rFonts w:asciiTheme="majorBidi" w:hAnsiTheme="majorBidi" w:cstheme="majorBidi"/>
          <w:color w:val="365F91" w:themeColor="accent1" w:themeShade="BF"/>
          <w:sz w:val="24"/>
          <w:szCs w:val="24"/>
        </w:rPr>
        <w:t>1989; Wallace et al. 1994</w:t>
      </w:r>
      <w:r w:rsidR="00714A1C" w:rsidRPr="00B92144">
        <w:rPr>
          <w:rFonts w:asciiTheme="majorBidi" w:hAnsiTheme="majorBidi" w:cstheme="majorBidi"/>
          <w:sz w:val="24"/>
          <w:szCs w:val="24"/>
        </w:rPr>
        <w:t>)</w:t>
      </w:r>
      <w:r w:rsidR="00B11481" w:rsidRPr="00B92144">
        <w:rPr>
          <w:rFonts w:asciiTheme="majorBidi" w:hAnsiTheme="majorBidi" w:cstheme="majorBidi"/>
          <w:sz w:val="24"/>
          <w:szCs w:val="24"/>
        </w:rPr>
        <w:t xml:space="preserve">. </w:t>
      </w:r>
      <w:r w:rsidR="00714A1C" w:rsidRPr="00B92144">
        <w:rPr>
          <w:rFonts w:asciiTheme="majorBidi" w:hAnsiTheme="majorBidi" w:cstheme="majorBidi"/>
          <w:sz w:val="24"/>
          <w:szCs w:val="24"/>
        </w:rPr>
        <w:t xml:space="preserve"> </w:t>
      </w:r>
      <w:r w:rsidR="00C4106F" w:rsidRPr="00B92144">
        <w:rPr>
          <w:rFonts w:asciiTheme="majorBidi" w:hAnsiTheme="majorBidi" w:cstheme="majorBidi"/>
          <w:sz w:val="24"/>
          <w:szCs w:val="24"/>
        </w:rPr>
        <w:t>On one hand, l</w:t>
      </w:r>
      <w:r w:rsidR="00020A03" w:rsidRPr="00B92144">
        <w:rPr>
          <w:rFonts w:asciiTheme="majorBidi" w:hAnsiTheme="majorBidi" w:cstheme="majorBidi"/>
          <w:sz w:val="24"/>
          <w:szCs w:val="24"/>
        </w:rPr>
        <w:t xml:space="preserve">isted companies </w:t>
      </w:r>
      <w:r w:rsidR="00A56527" w:rsidRPr="00B92144">
        <w:rPr>
          <w:rFonts w:asciiTheme="majorBidi" w:hAnsiTheme="majorBidi" w:cstheme="majorBidi"/>
          <w:sz w:val="24"/>
          <w:szCs w:val="24"/>
        </w:rPr>
        <w:t xml:space="preserve">suffer from greater agency problems, </w:t>
      </w:r>
      <w:r w:rsidR="00020A03" w:rsidRPr="00B92144">
        <w:rPr>
          <w:rFonts w:asciiTheme="majorBidi" w:hAnsiTheme="majorBidi" w:cstheme="majorBidi"/>
          <w:sz w:val="24"/>
          <w:szCs w:val="24"/>
        </w:rPr>
        <w:t>are</w:t>
      </w:r>
      <w:r w:rsidR="00E06FD2" w:rsidRPr="00B92144">
        <w:rPr>
          <w:rFonts w:asciiTheme="majorBidi" w:hAnsiTheme="majorBidi" w:cstheme="majorBidi"/>
          <w:sz w:val="24"/>
          <w:szCs w:val="24"/>
        </w:rPr>
        <w:t xml:space="preserve"> </w:t>
      </w:r>
      <w:r w:rsidR="00020A03" w:rsidRPr="00B92144">
        <w:rPr>
          <w:rFonts w:asciiTheme="majorBidi" w:hAnsiTheme="majorBidi" w:cstheme="majorBidi"/>
          <w:sz w:val="24"/>
          <w:szCs w:val="24"/>
        </w:rPr>
        <w:t>more visible in society</w:t>
      </w:r>
      <w:r w:rsidR="00E06FD2" w:rsidRPr="00B92144">
        <w:rPr>
          <w:rFonts w:asciiTheme="majorBidi" w:hAnsiTheme="majorBidi" w:cstheme="majorBidi"/>
          <w:sz w:val="24"/>
          <w:szCs w:val="24"/>
        </w:rPr>
        <w:t>, and</w:t>
      </w:r>
      <w:r w:rsidR="00A56527" w:rsidRPr="00B92144">
        <w:rPr>
          <w:rFonts w:asciiTheme="majorBidi" w:hAnsiTheme="majorBidi" w:cstheme="majorBidi"/>
          <w:sz w:val="24"/>
          <w:szCs w:val="24"/>
        </w:rPr>
        <w:t xml:space="preserve"> are thus</w:t>
      </w:r>
      <w:r w:rsidR="00E06FD2" w:rsidRPr="00B92144">
        <w:rPr>
          <w:rFonts w:asciiTheme="majorBidi" w:hAnsiTheme="majorBidi" w:cstheme="majorBidi"/>
          <w:sz w:val="24"/>
          <w:szCs w:val="24"/>
        </w:rPr>
        <w:t xml:space="preserve"> </w:t>
      </w:r>
      <w:r w:rsidR="00A56527" w:rsidRPr="00B92144">
        <w:rPr>
          <w:rFonts w:asciiTheme="majorBidi" w:hAnsiTheme="majorBidi" w:cstheme="majorBidi"/>
          <w:sz w:val="24"/>
          <w:szCs w:val="24"/>
        </w:rPr>
        <w:t xml:space="preserve">exposed to higher </w:t>
      </w:r>
      <w:r w:rsidR="00E06FD2" w:rsidRPr="00B92144">
        <w:rPr>
          <w:rFonts w:asciiTheme="majorBidi" w:hAnsiTheme="majorBidi" w:cstheme="majorBidi"/>
          <w:sz w:val="24"/>
          <w:szCs w:val="24"/>
        </w:rPr>
        <w:t>stakeholder</w:t>
      </w:r>
      <w:r w:rsidR="00A56527" w:rsidRPr="00B92144">
        <w:rPr>
          <w:rFonts w:asciiTheme="majorBidi" w:hAnsiTheme="majorBidi" w:cstheme="majorBidi"/>
          <w:sz w:val="24"/>
          <w:szCs w:val="24"/>
        </w:rPr>
        <w:t>s’</w:t>
      </w:r>
      <w:r w:rsidR="00E06FD2" w:rsidRPr="00B92144">
        <w:rPr>
          <w:rFonts w:asciiTheme="majorBidi" w:hAnsiTheme="majorBidi" w:cstheme="majorBidi"/>
          <w:sz w:val="24"/>
          <w:szCs w:val="24"/>
        </w:rPr>
        <w:t xml:space="preserve"> monitoring </w:t>
      </w:r>
      <w:r w:rsidR="00A56527" w:rsidRPr="00B92144">
        <w:rPr>
          <w:rFonts w:asciiTheme="majorBidi" w:hAnsiTheme="majorBidi" w:cstheme="majorBidi"/>
          <w:sz w:val="24"/>
          <w:szCs w:val="24"/>
        </w:rPr>
        <w:t xml:space="preserve">compared to </w:t>
      </w:r>
      <w:r w:rsidR="00020A03" w:rsidRPr="00B92144">
        <w:rPr>
          <w:rFonts w:asciiTheme="majorBidi" w:hAnsiTheme="majorBidi" w:cstheme="majorBidi"/>
          <w:sz w:val="24"/>
          <w:szCs w:val="24"/>
        </w:rPr>
        <w:t>unlisted companies</w:t>
      </w:r>
      <w:r w:rsidR="00A56527" w:rsidRPr="00B92144">
        <w:rPr>
          <w:rFonts w:asciiTheme="majorBidi" w:hAnsiTheme="majorBidi" w:cstheme="majorBidi"/>
          <w:sz w:val="24"/>
          <w:szCs w:val="24"/>
        </w:rPr>
        <w:t xml:space="preserve"> (</w:t>
      </w:r>
      <w:r w:rsidR="00A56527" w:rsidRPr="00B92144">
        <w:rPr>
          <w:rFonts w:asciiTheme="majorBidi" w:hAnsiTheme="majorBidi" w:cstheme="majorBidi"/>
          <w:color w:val="365F91" w:themeColor="accent1" w:themeShade="BF"/>
          <w:sz w:val="24"/>
          <w:szCs w:val="24"/>
        </w:rPr>
        <w:t xml:space="preserve">Branco and Rodrigues, 2006; Oliveira et al., 2006; Oliveira, Rodrigues </w:t>
      </w:r>
      <w:r w:rsidR="00E05652" w:rsidRPr="00B92144">
        <w:rPr>
          <w:rFonts w:asciiTheme="majorBidi" w:hAnsiTheme="majorBidi" w:cstheme="majorBidi"/>
          <w:color w:val="365F91" w:themeColor="accent1" w:themeShade="BF"/>
          <w:sz w:val="24"/>
          <w:szCs w:val="24"/>
        </w:rPr>
        <w:t>&amp;</w:t>
      </w:r>
      <w:r w:rsidR="00A56527" w:rsidRPr="00B92144">
        <w:rPr>
          <w:rFonts w:asciiTheme="majorBidi" w:hAnsiTheme="majorBidi" w:cstheme="majorBidi"/>
          <w:color w:val="365F91" w:themeColor="accent1" w:themeShade="BF"/>
          <w:sz w:val="24"/>
          <w:szCs w:val="24"/>
        </w:rPr>
        <w:t xml:space="preserve"> Craig, 2011</w:t>
      </w:r>
      <w:r w:rsidR="007C01F1" w:rsidRPr="00B92144">
        <w:rPr>
          <w:rFonts w:asciiTheme="majorBidi" w:hAnsiTheme="majorBidi" w:cstheme="majorBidi"/>
          <w:color w:val="365F91" w:themeColor="accent1" w:themeShade="BF"/>
          <w:sz w:val="24"/>
          <w:szCs w:val="24"/>
        </w:rPr>
        <w:t>b</w:t>
      </w:r>
      <w:r w:rsidR="00A56527" w:rsidRPr="00B92144">
        <w:rPr>
          <w:rFonts w:asciiTheme="majorBidi" w:hAnsiTheme="majorBidi" w:cstheme="majorBidi"/>
          <w:sz w:val="24"/>
          <w:szCs w:val="24"/>
        </w:rPr>
        <w:t>)</w:t>
      </w:r>
      <w:r w:rsidR="00020A03" w:rsidRPr="00B92144">
        <w:rPr>
          <w:rFonts w:asciiTheme="majorBidi" w:hAnsiTheme="majorBidi" w:cstheme="majorBidi"/>
          <w:sz w:val="24"/>
          <w:szCs w:val="24"/>
        </w:rPr>
        <w:t xml:space="preserve">.  </w:t>
      </w:r>
      <w:r w:rsidR="00C4106F" w:rsidRPr="00B92144">
        <w:rPr>
          <w:rFonts w:asciiTheme="majorBidi" w:hAnsiTheme="majorBidi" w:cstheme="majorBidi"/>
          <w:sz w:val="24"/>
          <w:szCs w:val="24"/>
        </w:rPr>
        <w:t xml:space="preserve">On the other hand, listed companies need </w:t>
      </w:r>
      <w:r w:rsidR="004D0310" w:rsidRPr="00B92144">
        <w:rPr>
          <w:rFonts w:asciiTheme="majorBidi" w:hAnsiTheme="majorBidi" w:cstheme="majorBidi"/>
          <w:sz w:val="24"/>
          <w:szCs w:val="24"/>
        </w:rPr>
        <w:t xml:space="preserve">more </w:t>
      </w:r>
      <w:r w:rsidR="00C4106F" w:rsidRPr="00B92144">
        <w:rPr>
          <w:rFonts w:asciiTheme="majorBidi" w:hAnsiTheme="majorBidi" w:cstheme="majorBidi"/>
          <w:sz w:val="24"/>
          <w:szCs w:val="24"/>
        </w:rPr>
        <w:t>resources to operate</w:t>
      </w:r>
      <w:r w:rsidR="004D0310" w:rsidRPr="00B92144">
        <w:rPr>
          <w:rFonts w:asciiTheme="majorBidi" w:hAnsiTheme="majorBidi" w:cstheme="majorBidi"/>
          <w:sz w:val="24"/>
          <w:szCs w:val="24"/>
        </w:rPr>
        <w:t xml:space="preserve"> </w:t>
      </w:r>
      <w:r w:rsidR="00C4106F" w:rsidRPr="00B92144">
        <w:rPr>
          <w:rFonts w:asciiTheme="majorBidi" w:hAnsiTheme="majorBidi" w:cstheme="majorBidi"/>
          <w:sz w:val="24"/>
          <w:szCs w:val="24"/>
        </w:rPr>
        <w:t xml:space="preserve">and </w:t>
      </w:r>
      <w:r w:rsidR="00CC2CAB" w:rsidRPr="00B92144">
        <w:rPr>
          <w:rFonts w:asciiTheme="majorBidi" w:hAnsiTheme="majorBidi" w:cstheme="majorBidi"/>
          <w:sz w:val="24"/>
          <w:szCs w:val="24"/>
        </w:rPr>
        <w:t>therefore</w:t>
      </w:r>
      <w:r w:rsidR="004D0310" w:rsidRPr="00B92144">
        <w:rPr>
          <w:rFonts w:asciiTheme="majorBidi" w:hAnsiTheme="majorBidi" w:cstheme="majorBidi"/>
          <w:sz w:val="24"/>
          <w:szCs w:val="24"/>
        </w:rPr>
        <w:t xml:space="preserve"> put more efforts in implementing </w:t>
      </w:r>
      <w:r w:rsidR="00C4106F" w:rsidRPr="00B92144">
        <w:rPr>
          <w:rFonts w:asciiTheme="majorBidi" w:hAnsiTheme="majorBidi" w:cstheme="majorBidi"/>
          <w:sz w:val="24"/>
          <w:szCs w:val="24"/>
        </w:rPr>
        <w:t>disclosure strategies t</w:t>
      </w:r>
      <w:r w:rsidR="004D0310" w:rsidRPr="00B92144">
        <w:rPr>
          <w:rFonts w:asciiTheme="majorBidi" w:hAnsiTheme="majorBidi" w:cstheme="majorBidi"/>
          <w:sz w:val="24"/>
          <w:szCs w:val="24"/>
        </w:rPr>
        <w:t>hat help them</w:t>
      </w:r>
      <w:r w:rsidR="00C4106F" w:rsidRPr="00B92144">
        <w:rPr>
          <w:rFonts w:asciiTheme="majorBidi" w:hAnsiTheme="majorBidi" w:cstheme="majorBidi"/>
          <w:sz w:val="24"/>
          <w:szCs w:val="24"/>
        </w:rPr>
        <w:t xml:space="preserve"> get access to the required funds at low</w:t>
      </w:r>
      <w:r w:rsidR="004D0310" w:rsidRPr="00B92144">
        <w:rPr>
          <w:rFonts w:asciiTheme="majorBidi" w:hAnsiTheme="majorBidi" w:cstheme="majorBidi"/>
          <w:sz w:val="24"/>
          <w:szCs w:val="24"/>
        </w:rPr>
        <w:t>er</w:t>
      </w:r>
      <w:r w:rsidR="00C4106F" w:rsidRPr="00B92144">
        <w:rPr>
          <w:rFonts w:asciiTheme="majorBidi" w:hAnsiTheme="majorBidi" w:cstheme="majorBidi"/>
          <w:sz w:val="24"/>
          <w:szCs w:val="24"/>
        </w:rPr>
        <w:t xml:space="preserve"> cost of capital.</w:t>
      </w:r>
      <w:r w:rsidR="004D0310" w:rsidRPr="00B92144">
        <w:rPr>
          <w:rFonts w:asciiTheme="majorBidi" w:hAnsiTheme="majorBidi" w:cstheme="majorBidi"/>
          <w:sz w:val="24"/>
          <w:szCs w:val="24"/>
        </w:rPr>
        <w:t xml:space="preserve"> In a similar vein, </w:t>
      </w:r>
      <w:r w:rsidR="002C5442" w:rsidRPr="00B92144">
        <w:rPr>
          <w:rFonts w:asciiTheme="majorBidi" w:hAnsiTheme="majorBidi" w:cstheme="majorBidi"/>
          <w:color w:val="365F91" w:themeColor="accent1" w:themeShade="BF"/>
          <w:sz w:val="24"/>
          <w:szCs w:val="24"/>
        </w:rPr>
        <w:t>Oliveira, Rodrigues and Craig, (2011</w:t>
      </w:r>
      <w:r w:rsidR="007C01F1" w:rsidRPr="00B92144">
        <w:rPr>
          <w:rFonts w:asciiTheme="majorBidi" w:hAnsiTheme="majorBidi" w:cstheme="majorBidi"/>
          <w:color w:val="365F91" w:themeColor="accent1" w:themeShade="BF"/>
          <w:sz w:val="24"/>
          <w:szCs w:val="24"/>
        </w:rPr>
        <w:t>b</w:t>
      </w:r>
      <w:r w:rsidR="002C5442" w:rsidRPr="00B92144">
        <w:rPr>
          <w:rFonts w:asciiTheme="majorBidi" w:hAnsiTheme="majorBidi" w:cstheme="majorBidi"/>
          <w:color w:val="365F91" w:themeColor="accent1" w:themeShade="BF"/>
          <w:sz w:val="24"/>
          <w:szCs w:val="24"/>
        </w:rPr>
        <w:t xml:space="preserve">) </w:t>
      </w:r>
      <w:r w:rsidR="002C5442" w:rsidRPr="00B92144">
        <w:rPr>
          <w:rFonts w:asciiTheme="majorBidi" w:hAnsiTheme="majorBidi" w:cstheme="majorBidi"/>
          <w:sz w:val="24"/>
          <w:szCs w:val="24"/>
        </w:rPr>
        <w:t xml:space="preserve">suggest that </w:t>
      </w:r>
      <w:r w:rsidR="00920F83" w:rsidRPr="00B92144">
        <w:rPr>
          <w:rFonts w:asciiTheme="majorBidi" w:hAnsiTheme="majorBidi" w:cstheme="majorBidi"/>
          <w:sz w:val="24"/>
          <w:szCs w:val="24"/>
        </w:rPr>
        <w:t xml:space="preserve">listed Banks </w:t>
      </w:r>
      <w:r w:rsidR="002C5442" w:rsidRPr="00B92144">
        <w:rPr>
          <w:rFonts w:asciiTheme="majorBidi" w:hAnsiTheme="majorBidi" w:cstheme="majorBidi"/>
          <w:sz w:val="24"/>
          <w:szCs w:val="24"/>
        </w:rPr>
        <w:t xml:space="preserve">tend </w:t>
      </w:r>
      <w:r w:rsidR="00920F83" w:rsidRPr="00B92144">
        <w:rPr>
          <w:rFonts w:asciiTheme="majorBidi" w:hAnsiTheme="majorBidi" w:cstheme="majorBidi"/>
          <w:sz w:val="24"/>
          <w:szCs w:val="24"/>
        </w:rPr>
        <w:t xml:space="preserve">to manage their </w:t>
      </w:r>
      <w:r w:rsidR="002C5442" w:rsidRPr="00B92144">
        <w:rPr>
          <w:rFonts w:asciiTheme="majorBidi" w:hAnsiTheme="majorBidi" w:cstheme="majorBidi"/>
          <w:sz w:val="24"/>
          <w:szCs w:val="24"/>
        </w:rPr>
        <w:t>pub</w:t>
      </w:r>
      <w:r w:rsidR="00920F83" w:rsidRPr="00B92144">
        <w:rPr>
          <w:rFonts w:asciiTheme="majorBidi" w:hAnsiTheme="majorBidi" w:cstheme="majorBidi"/>
          <w:sz w:val="24"/>
          <w:szCs w:val="24"/>
        </w:rPr>
        <w:t>l</w:t>
      </w:r>
      <w:r w:rsidR="002C5442" w:rsidRPr="00B92144">
        <w:rPr>
          <w:rFonts w:asciiTheme="majorBidi" w:hAnsiTheme="majorBidi" w:cstheme="majorBidi"/>
          <w:sz w:val="24"/>
          <w:szCs w:val="24"/>
        </w:rPr>
        <w:t>ic</w:t>
      </w:r>
      <w:r w:rsidR="00920F83" w:rsidRPr="00B92144">
        <w:rPr>
          <w:rFonts w:asciiTheme="majorBidi" w:hAnsiTheme="majorBidi" w:cstheme="majorBidi"/>
          <w:sz w:val="24"/>
          <w:szCs w:val="24"/>
        </w:rPr>
        <w:t xml:space="preserve"> visibility and </w:t>
      </w:r>
      <w:r w:rsidR="00025BF1" w:rsidRPr="00B92144">
        <w:rPr>
          <w:rFonts w:asciiTheme="majorBidi" w:hAnsiTheme="majorBidi" w:cstheme="majorBidi"/>
          <w:sz w:val="24"/>
          <w:szCs w:val="24"/>
        </w:rPr>
        <w:t>promot</w:t>
      </w:r>
      <w:r w:rsidR="00920F83" w:rsidRPr="00B92144">
        <w:rPr>
          <w:rFonts w:asciiTheme="majorBidi" w:hAnsiTheme="majorBidi" w:cstheme="majorBidi"/>
          <w:sz w:val="24"/>
          <w:szCs w:val="24"/>
        </w:rPr>
        <w:t>e</w:t>
      </w:r>
      <w:r w:rsidR="00025BF1" w:rsidRPr="00B92144">
        <w:rPr>
          <w:rFonts w:asciiTheme="majorBidi" w:hAnsiTheme="majorBidi" w:cstheme="majorBidi"/>
          <w:sz w:val="24"/>
          <w:szCs w:val="24"/>
        </w:rPr>
        <w:t xml:space="preserve"> </w:t>
      </w:r>
      <w:r w:rsidR="002C5442" w:rsidRPr="00B92144">
        <w:rPr>
          <w:rFonts w:asciiTheme="majorBidi" w:hAnsiTheme="majorBidi" w:cstheme="majorBidi"/>
          <w:sz w:val="24"/>
          <w:szCs w:val="24"/>
        </w:rPr>
        <w:t xml:space="preserve">their social </w:t>
      </w:r>
      <w:r w:rsidR="00025BF1" w:rsidRPr="00B92144">
        <w:rPr>
          <w:rFonts w:asciiTheme="majorBidi" w:hAnsiTheme="majorBidi" w:cstheme="majorBidi"/>
          <w:sz w:val="24"/>
          <w:szCs w:val="24"/>
        </w:rPr>
        <w:t>legitimacy through</w:t>
      </w:r>
      <w:r w:rsidR="00A56527" w:rsidRPr="00B92144">
        <w:rPr>
          <w:rFonts w:asciiTheme="majorBidi" w:hAnsiTheme="majorBidi" w:cstheme="majorBidi"/>
          <w:sz w:val="24"/>
          <w:szCs w:val="24"/>
        </w:rPr>
        <w:t xml:space="preserve"> </w:t>
      </w:r>
      <w:r w:rsidR="00920F83" w:rsidRPr="00B92144">
        <w:rPr>
          <w:rFonts w:asciiTheme="majorBidi" w:hAnsiTheme="majorBidi" w:cstheme="majorBidi"/>
          <w:sz w:val="24"/>
          <w:szCs w:val="24"/>
        </w:rPr>
        <w:t>risk-related disclosure</w:t>
      </w:r>
      <w:r w:rsidR="00025BF1" w:rsidRPr="00B92144">
        <w:rPr>
          <w:rFonts w:asciiTheme="majorBidi" w:hAnsiTheme="majorBidi" w:cstheme="majorBidi"/>
          <w:sz w:val="24"/>
          <w:szCs w:val="24"/>
        </w:rPr>
        <w:t xml:space="preserve">. </w:t>
      </w:r>
      <w:r w:rsidR="002C5442" w:rsidRPr="00B92144">
        <w:rPr>
          <w:rFonts w:asciiTheme="majorBidi" w:hAnsiTheme="majorBidi" w:cstheme="majorBidi"/>
          <w:sz w:val="24"/>
          <w:szCs w:val="24"/>
        </w:rPr>
        <w:t>B</w:t>
      </w:r>
      <w:r w:rsidR="00025BF1" w:rsidRPr="00B92144">
        <w:rPr>
          <w:rFonts w:asciiTheme="majorBidi" w:hAnsiTheme="majorBidi" w:cstheme="majorBidi"/>
          <w:sz w:val="24"/>
          <w:szCs w:val="24"/>
        </w:rPr>
        <w:t xml:space="preserve">ecause most </w:t>
      </w:r>
      <w:r w:rsidR="002C5442" w:rsidRPr="00B92144">
        <w:rPr>
          <w:rFonts w:asciiTheme="majorBidi" w:hAnsiTheme="majorBidi" w:cstheme="majorBidi"/>
          <w:sz w:val="24"/>
          <w:szCs w:val="24"/>
        </w:rPr>
        <w:t>important</w:t>
      </w:r>
      <w:r w:rsidR="00025BF1" w:rsidRPr="00B92144">
        <w:rPr>
          <w:rFonts w:asciiTheme="majorBidi" w:hAnsiTheme="majorBidi" w:cstheme="majorBidi"/>
          <w:sz w:val="24"/>
          <w:szCs w:val="24"/>
        </w:rPr>
        <w:t xml:space="preserve"> stakeholders do not </w:t>
      </w:r>
      <w:r w:rsidR="002C5442" w:rsidRPr="00B92144">
        <w:rPr>
          <w:rFonts w:asciiTheme="majorBidi" w:hAnsiTheme="majorBidi" w:cstheme="majorBidi"/>
          <w:sz w:val="24"/>
          <w:szCs w:val="24"/>
        </w:rPr>
        <w:t xml:space="preserve">play an active role </w:t>
      </w:r>
      <w:r w:rsidR="00025BF1" w:rsidRPr="00B92144">
        <w:rPr>
          <w:rFonts w:asciiTheme="majorBidi" w:hAnsiTheme="majorBidi" w:cstheme="majorBidi"/>
          <w:sz w:val="24"/>
          <w:szCs w:val="24"/>
        </w:rPr>
        <w:t>in a bank’s da</w:t>
      </w:r>
      <w:r w:rsidR="004D0310" w:rsidRPr="00B92144">
        <w:rPr>
          <w:rFonts w:asciiTheme="majorBidi" w:hAnsiTheme="majorBidi" w:cstheme="majorBidi"/>
          <w:sz w:val="24"/>
          <w:szCs w:val="24"/>
        </w:rPr>
        <w:t xml:space="preserve">ily </w:t>
      </w:r>
      <w:r w:rsidR="00025BF1" w:rsidRPr="00B92144">
        <w:rPr>
          <w:rFonts w:asciiTheme="majorBidi" w:hAnsiTheme="majorBidi" w:cstheme="majorBidi"/>
          <w:sz w:val="24"/>
          <w:szCs w:val="24"/>
        </w:rPr>
        <w:t>management</w:t>
      </w:r>
      <w:r w:rsidR="002C5442" w:rsidRPr="00B92144">
        <w:rPr>
          <w:rFonts w:asciiTheme="majorBidi" w:hAnsiTheme="majorBidi" w:cstheme="majorBidi"/>
          <w:sz w:val="24"/>
          <w:szCs w:val="24"/>
        </w:rPr>
        <w:t>, listed banks</w:t>
      </w:r>
      <w:r w:rsidR="00025BF1" w:rsidRPr="00B92144">
        <w:rPr>
          <w:rFonts w:asciiTheme="majorBidi" w:hAnsiTheme="majorBidi" w:cstheme="majorBidi"/>
          <w:sz w:val="24"/>
          <w:szCs w:val="24"/>
        </w:rPr>
        <w:t xml:space="preserve"> are </w:t>
      </w:r>
      <w:r w:rsidR="002C5442" w:rsidRPr="00B92144">
        <w:rPr>
          <w:rFonts w:asciiTheme="majorBidi" w:hAnsiTheme="majorBidi" w:cstheme="majorBidi"/>
          <w:sz w:val="24"/>
          <w:szCs w:val="24"/>
        </w:rPr>
        <w:lastRenderedPageBreak/>
        <w:t xml:space="preserve">subject </w:t>
      </w:r>
      <w:r w:rsidR="00025BF1" w:rsidRPr="00B92144">
        <w:rPr>
          <w:rFonts w:asciiTheme="majorBidi" w:hAnsiTheme="majorBidi" w:cstheme="majorBidi"/>
          <w:sz w:val="24"/>
          <w:szCs w:val="24"/>
        </w:rPr>
        <w:t>to extra institutional</w:t>
      </w:r>
      <w:r w:rsidR="00424875" w:rsidRPr="00B92144">
        <w:rPr>
          <w:rFonts w:asciiTheme="majorBidi" w:hAnsiTheme="majorBidi" w:cstheme="majorBidi"/>
          <w:sz w:val="24"/>
          <w:szCs w:val="24"/>
        </w:rPr>
        <w:t xml:space="preserve"> </w:t>
      </w:r>
      <w:r w:rsidR="00025BF1" w:rsidRPr="00B92144">
        <w:rPr>
          <w:rFonts w:asciiTheme="majorBidi" w:hAnsiTheme="majorBidi" w:cstheme="majorBidi"/>
          <w:sz w:val="24"/>
          <w:szCs w:val="24"/>
        </w:rPr>
        <w:t>pressures to c</w:t>
      </w:r>
      <w:r w:rsidR="002C5442" w:rsidRPr="00B92144">
        <w:rPr>
          <w:rFonts w:asciiTheme="majorBidi" w:hAnsiTheme="majorBidi" w:cstheme="majorBidi"/>
          <w:sz w:val="24"/>
          <w:szCs w:val="24"/>
        </w:rPr>
        <w:t xml:space="preserve">omply with </w:t>
      </w:r>
      <w:r w:rsidR="00025BF1" w:rsidRPr="00B92144">
        <w:rPr>
          <w:rFonts w:asciiTheme="majorBidi" w:hAnsiTheme="majorBidi" w:cstheme="majorBidi"/>
          <w:sz w:val="24"/>
          <w:szCs w:val="24"/>
        </w:rPr>
        <w:t>minim</w:t>
      </w:r>
      <w:r w:rsidR="002C5442" w:rsidRPr="00B92144">
        <w:rPr>
          <w:rFonts w:asciiTheme="majorBidi" w:hAnsiTheme="majorBidi" w:cstheme="majorBidi"/>
          <w:sz w:val="24"/>
          <w:szCs w:val="24"/>
        </w:rPr>
        <w:t>um</w:t>
      </w:r>
      <w:r w:rsidR="00025BF1" w:rsidRPr="00B92144">
        <w:rPr>
          <w:rFonts w:asciiTheme="majorBidi" w:hAnsiTheme="majorBidi" w:cstheme="majorBidi"/>
          <w:sz w:val="24"/>
          <w:szCs w:val="24"/>
        </w:rPr>
        <w:t xml:space="preserve"> RRD requirements</w:t>
      </w:r>
      <w:r w:rsidR="002C5442" w:rsidRPr="00B92144">
        <w:rPr>
          <w:rFonts w:asciiTheme="majorBidi" w:hAnsiTheme="majorBidi" w:cstheme="majorBidi"/>
          <w:sz w:val="24"/>
          <w:szCs w:val="24"/>
        </w:rPr>
        <w:t>.</w:t>
      </w:r>
      <w:r w:rsidR="00025BF1" w:rsidRPr="00B92144">
        <w:rPr>
          <w:rFonts w:asciiTheme="majorBidi" w:hAnsiTheme="majorBidi" w:cstheme="majorBidi"/>
          <w:sz w:val="24"/>
          <w:szCs w:val="24"/>
        </w:rPr>
        <w:t xml:space="preserve"> </w:t>
      </w:r>
      <w:r w:rsidR="00C4106F" w:rsidRPr="00B92144">
        <w:rPr>
          <w:rFonts w:asciiTheme="majorBidi" w:hAnsiTheme="majorBidi" w:cstheme="majorBidi"/>
          <w:sz w:val="24"/>
          <w:szCs w:val="24"/>
        </w:rPr>
        <w:t xml:space="preserve">These </w:t>
      </w:r>
      <w:r w:rsidR="002C5442" w:rsidRPr="00B92144">
        <w:rPr>
          <w:rFonts w:asciiTheme="majorBidi" w:hAnsiTheme="majorBidi" w:cstheme="majorBidi"/>
          <w:sz w:val="24"/>
          <w:szCs w:val="24"/>
        </w:rPr>
        <w:t xml:space="preserve">RRD </w:t>
      </w:r>
      <w:r w:rsidR="00025BF1" w:rsidRPr="00B92144">
        <w:rPr>
          <w:rFonts w:asciiTheme="majorBidi" w:hAnsiTheme="majorBidi" w:cstheme="majorBidi"/>
          <w:sz w:val="24"/>
          <w:szCs w:val="24"/>
        </w:rPr>
        <w:t>are considered c</w:t>
      </w:r>
      <w:r w:rsidR="002C5442" w:rsidRPr="00B92144">
        <w:rPr>
          <w:rFonts w:asciiTheme="majorBidi" w:hAnsiTheme="majorBidi" w:cstheme="majorBidi"/>
          <w:sz w:val="24"/>
          <w:szCs w:val="24"/>
        </w:rPr>
        <w:t>rucial</w:t>
      </w:r>
      <w:r w:rsidR="00025BF1" w:rsidRPr="00B92144">
        <w:rPr>
          <w:rFonts w:asciiTheme="majorBidi" w:hAnsiTheme="majorBidi" w:cstheme="majorBidi"/>
          <w:sz w:val="24"/>
          <w:szCs w:val="24"/>
        </w:rPr>
        <w:t xml:space="preserve"> to</w:t>
      </w:r>
      <w:r w:rsidR="00424875" w:rsidRPr="00B92144">
        <w:rPr>
          <w:rFonts w:asciiTheme="majorBidi" w:hAnsiTheme="majorBidi" w:cstheme="majorBidi"/>
          <w:sz w:val="24"/>
          <w:szCs w:val="24"/>
        </w:rPr>
        <w:t xml:space="preserve"> </w:t>
      </w:r>
      <w:r w:rsidR="00CE69FC" w:rsidRPr="00B92144">
        <w:rPr>
          <w:rFonts w:asciiTheme="majorBidi" w:hAnsiTheme="majorBidi" w:cstheme="majorBidi"/>
          <w:sz w:val="24"/>
          <w:szCs w:val="24"/>
        </w:rPr>
        <w:t>mitigating</w:t>
      </w:r>
      <w:r w:rsidR="00025BF1" w:rsidRPr="00B92144">
        <w:rPr>
          <w:rFonts w:asciiTheme="majorBidi" w:hAnsiTheme="majorBidi" w:cstheme="majorBidi"/>
          <w:sz w:val="24"/>
          <w:szCs w:val="24"/>
        </w:rPr>
        <w:t xml:space="preserve"> information asymmetries</w:t>
      </w:r>
      <w:r w:rsidR="002C5442" w:rsidRPr="00B92144">
        <w:rPr>
          <w:rFonts w:asciiTheme="majorBidi" w:hAnsiTheme="majorBidi" w:cstheme="majorBidi"/>
          <w:sz w:val="24"/>
          <w:szCs w:val="24"/>
        </w:rPr>
        <w:t>,</w:t>
      </w:r>
      <w:r w:rsidR="00025BF1" w:rsidRPr="00B92144">
        <w:rPr>
          <w:rFonts w:asciiTheme="majorBidi" w:hAnsiTheme="majorBidi" w:cstheme="majorBidi"/>
          <w:sz w:val="24"/>
          <w:szCs w:val="24"/>
        </w:rPr>
        <w:t xml:space="preserve"> </w:t>
      </w:r>
      <w:r w:rsidR="00CE69FC" w:rsidRPr="00B92144">
        <w:rPr>
          <w:rFonts w:asciiTheme="majorBidi" w:hAnsiTheme="majorBidi" w:cstheme="majorBidi"/>
          <w:sz w:val="24"/>
          <w:szCs w:val="24"/>
        </w:rPr>
        <w:t>fosterin</w:t>
      </w:r>
      <w:r w:rsidR="002C5442" w:rsidRPr="00B92144">
        <w:rPr>
          <w:rFonts w:asciiTheme="majorBidi" w:hAnsiTheme="majorBidi" w:cstheme="majorBidi"/>
          <w:sz w:val="24"/>
          <w:szCs w:val="24"/>
        </w:rPr>
        <w:t>g</w:t>
      </w:r>
      <w:r w:rsidR="00025BF1" w:rsidRPr="00B92144">
        <w:rPr>
          <w:rFonts w:asciiTheme="majorBidi" w:hAnsiTheme="majorBidi" w:cstheme="majorBidi"/>
          <w:sz w:val="24"/>
          <w:szCs w:val="24"/>
        </w:rPr>
        <w:t xml:space="preserve"> stability of the</w:t>
      </w:r>
      <w:r w:rsidR="00424875" w:rsidRPr="00B92144">
        <w:rPr>
          <w:rFonts w:asciiTheme="majorBidi" w:hAnsiTheme="majorBidi" w:cstheme="majorBidi"/>
          <w:sz w:val="24"/>
          <w:szCs w:val="24"/>
        </w:rPr>
        <w:t xml:space="preserve"> </w:t>
      </w:r>
      <w:r w:rsidR="00025BF1" w:rsidRPr="00B92144">
        <w:rPr>
          <w:rFonts w:asciiTheme="majorBidi" w:hAnsiTheme="majorBidi" w:cstheme="majorBidi"/>
          <w:sz w:val="24"/>
          <w:szCs w:val="24"/>
        </w:rPr>
        <w:t xml:space="preserve">banking system, </w:t>
      </w:r>
      <w:r w:rsidR="002C5442" w:rsidRPr="00B92144">
        <w:rPr>
          <w:rFonts w:asciiTheme="majorBidi" w:hAnsiTheme="majorBidi" w:cstheme="majorBidi"/>
          <w:sz w:val="24"/>
          <w:szCs w:val="24"/>
        </w:rPr>
        <w:t xml:space="preserve">increasing </w:t>
      </w:r>
      <w:r w:rsidR="00025BF1" w:rsidRPr="00B92144">
        <w:rPr>
          <w:rFonts w:asciiTheme="majorBidi" w:hAnsiTheme="majorBidi" w:cstheme="majorBidi"/>
          <w:sz w:val="24"/>
          <w:szCs w:val="24"/>
        </w:rPr>
        <w:t>market discipline and sustain</w:t>
      </w:r>
      <w:r w:rsidR="002C5442" w:rsidRPr="00B92144">
        <w:rPr>
          <w:rFonts w:asciiTheme="majorBidi" w:hAnsiTheme="majorBidi" w:cstheme="majorBidi"/>
          <w:sz w:val="24"/>
          <w:szCs w:val="24"/>
        </w:rPr>
        <w:t>ing</w:t>
      </w:r>
      <w:r w:rsidR="00025BF1" w:rsidRPr="00B92144">
        <w:rPr>
          <w:rFonts w:asciiTheme="majorBidi" w:hAnsiTheme="majorBidi" w:cstheme="majorBidi"/>
          <w:sz w:val="24"/>
          <w:szCs w:val="24"/>
        </w:rPr>
        <w:t xml:space="preserve"> the </w:t>
      </w:r>
      <w:r w:rsidR="004D0310" w:rsidRPr="00B92144">
        <w:rPr>
          <w:rFonts w:asciiTheme="majorBidi" w:hAnsiTheme="majorBidi" w:cstheme="majorBidi"/>
          <w:sz w:val="24"/>
          <w:szCs w:val="24"/>
        </w:rPr>
        <w:t>access to capital</w:t>
      </w:r>
      <w:r w:rsidR="00025BF1" w:rsidRPr="00B92144">
        <w:rPr>
          <w:rFonts w:asciiTheme="majorBidi" w:hAnsiTheme="majorBidi" w:cstheme="majorBidi"/>
          <w:sz w:val="24"/>
          <w:szCs w:val="24"/>
        </w:rPr>
        <w:t>.</w:t>
      </w:r>
    </w:p>
    <w:p w14:paraId="402A596E" w14:textId="45F926D5" w:rsidR="00020A03" w:rsidRPr="00B92144" w:rsidRDefault="00020A03" w:rsidP="00020A03">
      <w:pPr>
        <w:autoSpaceDE w:val="0"/>
        <w:autoSpaceDN w:val="0"/>
        <w:adjustRightInd w:val="0"/>
        <w:spacing w:before="120" w:after="12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Thus, </w:t>
      </w:r>
      <w:r w:rsidR="002C5442" w:rsidRPr="00B92144">
        <w:rPr>
          <w:rFonts w:asciiTheme="majorBidi" w:hAnsiTheme="majorBidi" w:cstheme="majorBidi"/>
          <w:sz w:val="24"/>
          <w:szCs w:val="24"/>
        </w:rPr>
        <w:t>we</w:t>
      </w:r>
      <w:r w:rsidRPr="00B92144">
        <w:rPr>
          <w:rFonts w:asciiTheme="majorBidi" w:hAnsiTheme="majorBidi" w:cstheme="majorBidi"/>
          <w:sz w:val="24"/>
          <w:szCs w:val="24"/>
        </w:rPr>
        <w:t xml:space="preserve"> expect</w:t>
      </w:r>
      <w:r w:rsidR="00C4106F" w:rsidRPr="00B92144">
        <w:rPr>
          <w:rFonts w:asciiTheme="majorBidi" w:hAnsiTheme="majorBidi" w:cstheme="majorBidi"/>
          <w:sz w:val="24"/>
          <w:szCs w:val="24"/>
        </w:rPr>
        <w:t xml:space="preserve"> that</w:t>
      </w:r>
      <w:r w:rsidRPr="00B92144">
        <w:rPr>
          <w:rFonts w:asciiTheme="majorBidi" w:hAnsiTheme="majorBidi" w:cstheme="majorBidi"/>
          <w:sz w:val="24"/>
          <w:szCs w:val="24"/>
        </w:rPr>
        <w:t>:</w:t>
      </w:r>
    </w:p>
    <w:p w14:paraId="04B54F4D" w14:textId="4606721A" w:rsidR="00AB0C67" w:rsidRPr="00B92144" w:rsidRDefault="00020A03" w:rsidP="00410EDE">
      <w:pPr>
        <w:autoSpaceDE w:val="0"/>
        <w:autoSpaceDN w:val="0"/>
        <w:adjustRightInd w:val="0"/>
        <w:spacing w:before="120" w:after="120" w:line="360" w:lineRule="auto"/>
        <w:jc w:val="both"/>
        <w:rPr>
          <w:rFonts w:asciiTheme="majorBidi" w:hAnsiTheme="majorBidi" w:cstheme="majorBidi"/>
          <w:i/>
          <w:iCs/>
          <w:sz w:val="24"/>
          <w:szCs w:val="24"/>
        </w:rPr>
      </w:pPr>
      <w:r w:rsidRPr="00B92144">
        <w:rPr>
          <w:rFonts w:asciiTheme="majorBidi" w:hAnsiTheme="majorBidi" w:cstheme="majorBidi"/>
          <w:i/>
          <w:iCs/>
          <w:sz w:val="24"/>
          <w:szCs w:val="24"/>
        </w:rPr>
        <w:t>H</w:t>
      </w:r>
      <w:r w:rsidR="0080796B" w:rsidRPr="00B92144">
        <w:rPr>
          <w:rFonts w:asciiTheme="majorBidi" w:hAnsiTheme="majorBidi" w:cstheme="majorBidi"/>
          <w:i/>
          <w:iCs/>
          <w:sz w:val="24"/>
          <w:szCs w:val="24"/>
        </w:rPr>
        <w:t>6</w:t>
      </w:r>
      <w:r w:rsidRPr="00B92144">
        <w:rPr>
          <w:rFonts w:asciiTheme="majorBidi" w:hAnsiTheme="majorBidi" w:cstheme="majorBidi"/>
          <w:i/>
          <w:iCs/>
          <w:sz w:val="24"/>
          <w:szCs w:val="24"/>
        </w:rPr>
        <w:t xml:space="preserve">. There is a positive association between </w:t>
      </w:r>
      <w:r w:rsidR="00980272" w:rsidRPr="00B92144">
        <w:rPr>
          <w:rFonts w:asciiTheme="majorBidi" w:hAnsiTheme="majorBidi" w:cstheme="majorBidi"/>
          <w:i/>
          <w:iCs/>
          <w:sz w:val="24"/>
          <w:szCs w:val="24"/>
        </w:rPr>
        <w:t>bank</w:t>
      </w:r>
      <w:r w:rsidRPr="00B92144">
        <w:rPr>
          <w:rFonts w:asciiTheme="majorBidi" w:hAnsiTheme="majorBidi" w:cstheme="majorBidi"/>
          <w:i/>
          <w:iCs/>
          <w:sz w:val="24"/>
          <w:szCs w:val="24"/>
        </w:rPr>
        <w:t xml:space="preserve"> listing status and the level of </w:t>
      </w:r>
      <w:r w:rsidR="00410EDE" w:rsidRPr="00B92144">
        <w:rPr>
          <w:rFonts w:asciiTheme="majorBidi" w:hAnsiTheme="majorBidi" w:cstheme="majorBidi"/>
          <w:i/>
          <w:iCs/>
          <w:sz w:val="24"/>
          <w:szCs w:val="24"/>
        </w:rPr>
        <w:t>RRD</w:t>
      </w:r>
      <w:r w:rsidRPr="00B92144">
        <w:rPr>
          <w:rFonts w:asciiTheme="majorBidi" w:hAnsiTheme="majorBidi" w:cstheme="majorBidi"/>
          <w:i/>
          <w:iCs/>
          <w:sz w:val="24"/>
          <w:szCs w:val="24"/>
        </w:rPr>
        <w:t>.</w:t>
      </w:r>
    </w:p>
    <w:p w14:paraId="4EC4FA29" w14:textId="77777777" w:rsidR="00325EF1" w:rsidRPr="00B92144" w:rsidRDefault="00325EF1" w:rsidP="00D238A2">
      <w:pPr>
        <w:autoSpaceDE w:val="0"/>
        <w:autoSpaceDN w:val="0"/>
        <w:adjustRightInd w:val="0"/>
        <w:spacing w:after="0" w:line="360" w:lineRule="auto"/>
        <w:jc w:val="both"/>
        <w:rPr>
          <w:rFonts w:asciiTheme="majorBidi" w:hAnsiTheme="majorBidi" w:cstheme="majorBidi"/>
          <w:sz w:val="24"/>
          <w:szCs w:val="24"/>
        </w:rPr>
      </w:pPr>
    </w:p>
    <w:p w14:paraId="69EA525E" w14:textId="77777777" w:rsidR="00325EF1" w:rsidRPr="00B92144" w:rsidRDefault="00325EF1">
      <w:pPr>
        <w:rPr>
          <w:rFonts w:asciiTheme="majorBidi" w:hAnsiTheme="majorBidi" w:cstheme="majorBidi"/>
          <w:sz w:val="24"/>
          <w:szCs w:val="24"/>
        </w:rPr>
      </w:pPr>
      <w:r w:rsidRPr="00B92144">
        <w:rPr>
          <w:rFonts w:asciiTheme="majorBidi" w:hAnsiTheme="majorBidi" w:cstheme="majorBidi"/>
          <w:sz w:val="24"/>
          <w:szCs w:val="24"/>
        </w:rPr>
        <w:br w:type="page"/>
      </w:r>
    </w:p>
    <w:p w14:paraId="5612CB1F" w14:textId="2E32B22E" w:rsidR="00A273B5" w:rsidRPr="00B92144" w:rsidRDefault="00166143" w:rsidP="00D238A2">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lastRenderedPageBreak/>
        <w:t>Recent s</w:t>
      </w:r>
      <w:r w:rsidR="004223B1" w:rsidRPr="00B92144">
        <w:rPr>
          <w:rFonts w:asciiTheme="majorBidi" w:hAnsiTheme="majorBidi" w:cstheme="majorBidi"/>
          <w:sz w:val="24"/>
          <w:szCs w:val="24"/>
        </w:rPr>
        <w:t>tudies</w:t>
      </w:r>
      <w:r w:rsidRPr="00B92144">
        <w:rPr>
          <w:rFonts w:asciiTheme="majorBidi" w:hAnsiTheme="majorBidi" w:cstheme="majorBidi"/>
          <w:sz w:val="24"/>
          <w:szCs w:val="24"/>
        </w:rPr>
        <w:t xml:space="preserve"> have </w:t>
      </w:r>
      <w:r w:rsidR="004223B1" w:rsidRPr="00B92144">
        <w:rPr>
          <w:rFonts w:asciiTheme="majorBidi" w:hAnsiTheme="majorBidi" w:cstheme="majorBidi"/>
          <w:sz w:val="24"/>
          <w:szCs w:val="24"/>
        </w:rPr>
        <w:t xml:space="preserve">shown also </w:t>
      </w:r>
      <w:r w:rsidRPr="00B92144">
        <w:rPr>
          <w:rFonts w:asciiTheme="majorBidi" w:hAnsiTheme="majorBidi" w:cstheme="majorBidi"/>
          <w:sz w:val="24"/>
          <w:szCs w:val="24"/>
        </w:rPr>
        <w:t xml:space="preserve">a growing interest in </w:t>
      </w:r>
      <w:r w:rsidR="00147AB4" w:rsidRPr="00B92144">
        <w:rPr>
          <w:rFonts w:asciiTheme="majorBidi" w:hAnsiTheme="majorBidi" w:cstheme="majorBidi"/>
          <w:sz w:val="24"/>
          <w:szCs w:val="24"/>
        </w:rPr>
        <w:t xml:space="preserve">how </w:t>
      </w:r>
      <w:r w:rsidR="000D2F6C" w:rsidRPr="00B92144">
        <w:rPr>
          <w:rFonts w:asciiTheme="majorBidi" w:hAnsiTheme="majorBidi" w:cstheme="majorBidi"/>
          <w:sz w:val="24"/>
          <w:szCs w:val="24"/>
        </w:rPr>
        <w:t xml:space="preserve">governance </w:t>
      </w:r>
      <w:r w:rsidR="00026BE6" w:rsidRPr="00B92144">
        <w:rPr>
          <w:rFonts w:asciiTheme="majorBidi" w:hAnsiTheme="majorBidi" w:cstheme="majorBidi"/>
          <w:sz w:val="24"/>
          <w:szCs w:val="24"/>
        </w:rPr>
        <w:t>mechanisms</w:t>
      </w:r>
      <w:r w:rsidR="00147AB4" w:rsidRPr="00B92144">
        <w:rPr>
          <w:rFonts w:asciiTheme="majorBidi" w:hAnsiTheme="majorBidi" w:cstheme="majorBidi"/>
          <w:sz w:val="24"/>
          <w:szCs w:val="24"/>
        </w:rPr>
        <w:t xml:space="preserve"> </w:t>
      </w:r>
      <w:r w:rsidR="000D2F6C" w:rsidRPr="00B92144">
        <w:rPr>
          <w:rFonts w:asciiTheme="majorBidi" w:hAnsiTheme="majorBidi" w:cstheme="majorBidi"/>
          <w:sz w:val="24"/>
          <w:szCs w:val="24"/>
        </w:rPr>
        <w:t>(CG)</w:t>
      </w:r>
      <w:r w:rsidR="00147AB4" w:rsidRPr="00B92144">
        <w:rPr>
          <w:rFonts w:asciiTheme="majorBidi" w:hAnsiTheme="majorBidi" w:cstheme="majorBidi"/>
          <w:sz w:val="24"/>
          <w:szCs w:val="24"/>
        </w:rPr>
        <w:t xml:space="preserve"> influence financial reporting</w:t>
      </w:r>
      <w:r w:rsidRPr="00B92144">
        <w:rPr>
          <w:rFonts w:asciiTheme="majorBidi" w:hAnsiTheme="majorBidi" w:cstheme="majorBidi"/>
          <w:sz w:val="24"/>
          <w:szCs w:val="24"/>
        </w:rPr>
        <w:t xml:space="preserve">. </w:t>
      </w:r>
      <w:r w:rsidR="000D2F6C" w:rsidRPr="00B92144">
        <w:rPr>
          <w:rFonts w:asciiTheme="majorBidi" w:hAnsiTheme="majorBidi" w:cstheme="majorBidi"/>
          <w:color w:val="365F91" w:themeColor="accent1" w:themeShade="BF"/>
          <w:sz w:val="24"/>
          <w:szCs w:val="24"/>
        </w:rPr>
        <w:t xml:space="preserve">Taylor et al. (2010) </w:t>
      </w:r>
      <w:r w:rsidR="000D2F6C" w:rsidRPr="00B92144">
        <w:rPr>
          <w:rFonts w:asciiTheme="majorBidi" w:hAnsiTheme="majorBidi" w:cstheme="majorBidi"/>
          <w:sz w:val="24"/>
          <w:szCs w:val="24"/>
        </w:rPr>
        <w:t>suggest that f</w:t>
      </w:r>
      <w:r w:rsidRPr="00B92144">
        <w:rPr>
          <w:rFonts w:asciiTheme="majorBidi" w:hAnsiTheme="majorBidi" w:cstheme="majorBidi"/>
          <w:sz w:val="24"/>
          <w:szCs w:val="24"/>
        </w:rPr>
        <w:t xml:space="preserve">irms with strong CG </w:t>
      </w:r>
      <w:r w:rsidR="00A30066" w:rsidRPr="00B92144">
        <w:rPr>
          <w:rFonts w:asciiTheme="majorBidi" w:hAnsiTheme="majorBidi" w:cstheme="majorBidi"/>
          <w:sz w:val="24"/>
          <w:szCs w:val="24"/>
        </w:rPr>
        <w:t>practice</w:t>
      </w:r>
      <w:r w:rsidRPr="00B92144">
        <w:rPr>
          <w:rFonts w:asciiTheme="majorBidi" w:hAnsiTheme="majorBidi" w:cstheme="majorBidi"/>
          <w:sz w:val="24"/>
          <w:szCs w:val="24"/>
        </w:rPr>
        <w:t xml:space="preserve">s are more involved in corporate risk disclosure. </w:t>
      </w:r>
      <w:r w:rsidR="000D2F6C" w:rsidRPr="00B92144">
        <w:rPr>
          <w:rFonts w:asciiTheme="majorBidi" w:hAnsiTheme="majorBidi" w:cstheme="majorBidi"/>
          <w:sz w:val="24"/>
          <w:szCs w:val="24"/>
        </w:rPr>
        <w:t>Our</w:t>
      </w:r>
      <w:r w:rsidRPr="00B92144">
        <w:rPr>
          <w:rFonts w:asciiTheme="majorBidi" w:hAnsiTheme="majorBidi" w:cstheme="majorBidi"/>
          <w:sz w:val="24"/>
          <w:szCs w:val="24"/>
        </w:rPr>
        <w:t xml:space="preserve"> study uses a set of </w:t>
      </w:r>
      <w:r w:rsidR="000D2F6C" w:rsidRPr="00B92144">
        <w:rPr>
          <w:rFonts w:asciiTheme="majorBidi" w:hAnsiTheme="majorBidi" w:cstheme="majorBidi"/>
          <w:sz w:val="24"/>
          <w:szCs w:val="24"/>
        </w:rPr>
        <w:t>five</w:t>
      </w:r>
      <w:r w:rsidRPr="00B92144">
        <w:rPr>
          <w:rFonts w:asciiTheme="majorBidi" w:hAnsiTheme="majorBidi" w:cstheme="majorBidi"/>
          <w:sz w:val="24"/>
          <w:szCs w:val="24"/>
        </w:rPr>
        <w:t xml:space="preserve"> CG mechanisms that are more likely to affec</w:t>
      </w:r>
      <w:r w:rsidR="00A30066" w:rsidRPr="00B92144">
        <w:rPr>
          <w:rFonts w:asciiTheme="majorBidi" w:hAnsiTheme="majorBidi" w:cstheme="majorBidi"/>
          <w:sz w:val="24"/>
          <w:szCs w:val="24"/>
        </w:rPr>
        <w:t>t</w:t>
      </w:r>
      <w:r w:rsidRPr="00B92144">
        <w:rPr>
          <w:rFonts w:asciiTheme="majorBidi" w:hAnsiTheme="majorBidi" w:cstheme="majorBidi"/>
          <w:sz w:val="24"/>
          <w:szCs w:val="24"/>
        </w:rPr>
        <w:t xml:space="preserve"> risk disclosure in annual reports of </w:t>
      </w:r>
      <w:r w:rsidR="00A83A95" w:rsidRPr="00B92144">
        <w:rPr>
          <w:rFonts w:asciiTheme="majorBidi" w:hAnsiTheme="majorBidi" w:cstheme="majorBidi"/>
          <w:sz w:val="24"/>
          <w:szCs w:val="24"/>
        </w:rPr>
        <w:t>banks</w:t>
      </w:r>
      <w:r w:rsidRPr="00B92144">
        <w:rPr>
          <w:rFonts w:asciiTheme="majorBidi" w:hAnsiTheme="majorBidi" w:cstheme="majorBidi"/>
          <w:sz w:val="24"/>
          <w:szCs w:val="24"/>
        </w:rPr>
        <w:t xml:space="preserve"> </w:t>
      </w:r>
      <w:r w:rsidR="000D2F6C" w:rsidRPr="00B92144">
        <w:rPr>
          <w:rFonts w:asciiTheme="majorBidi" w:hAnsiTheme="majorBidi" w:cstheme="majorBidi"/>
          <w:sz w:val="24"/>
          <w:szCs w:val="24"/>
        </w:rPr>
        <w:t>in emerging markets</w:t>
      </w:r>
      <w:r w:rsidRPr="00B92144">
        <w:rPr>
          <w:rFonts w:asciiTheme="majorBidi" w:hAnsiTheme="majorBidi" w:cstheme="majorBidi"/>
          <w:sz w:val="24"/>
          <w:szCs w:val="24"/>
        </w:rPr>
        <w:t xml:space="preserve">. </w:t>
      </w:r>
      <w:r w:rsidR="00961EE0" w:rsidRPr="00B92144">
        <w:rPr>
          <w:rFonts w:asciiTheme="majorBidi" w:hAnsiTheme="majorBidi" w:cstheme="majorBidi"/>
          <w:sz w:val="24"/>
          <w:szCs w:val="24"/>
        </w:rPr>
        <w:t>It</w:t>
      </w:r>
      <w:r w:rsidRPr="00B92144">
        <w:rPr>
          <w:rFonts w:asciiTheme="majorBidi" w:hAnsiTheme="majorBidi" w:cstheme="majorBidi"/>
          <w:sz w:val="24"/>
          <w:szCs w:val="24"/>
        </w:rPr>
        <w:t xml:space="preserve"> focuses on major investors 5%</w:t>
      </w:r>
      <w:r w:rsidR="003803A0" w:rsidRPr="00B92144">
        <w:rPr>
          <w:rFonts w:asciiTheme="majorBidi" w:hAnsiTheme="majorBidi" w:cstheme="majorBidi"/>
          <w:sz w:val="24"/>
          <w:szCs w:val="24"/>
        </w:rPr>
        <w:t xml:space="preserve"> or more, foreign investors, </w:t>
      </w:r>
      <w:r w:rsidRPr="00B92144">
        <w:rPr>
          <w:rFonts w:asciiTheme="majorBidi" w:hAnsiTheme="majorBidi" w:cstheme="majorBidi"/>
          <w:sz w:val="24"/>
          <w:szCs w:val="24"/>
        </w:rPr>
        <w:t>board size</w:t>
      </w:r>
      <w:r w:rsidR="004223B1" w:rsidRPr="00B92144">
        <w:rPr>
          <w:rFonts w:asciiTheme="majorBidi" w:hAnsiTheme="majorBidi" w:cstheme="majorBidi"/>
          <w:sz w:val="24"/>
          <w:szCs w:val="24"/>
        </w:rPr>
        <w:t>,</w:t>
      </w:r>
      <w:r w:rsidRPr="00B92144">
        <w:rPr>
          <w:rFonts w:asciiTheme="majorBidi" w:hAnsiTheme="majorBidi" w:cstheme="majorBidi"/>
          <w:sz w:val="24"/>
          <w:szCs w:val="24"/>
        </w:rPr>
        <w:t xml:space="preserve"> board </w:t>
      </w:r>
      <w:r w:rsidR="004223B1" w:rsidRPr="00B92144">
        <w:rPr>
          <w:rFonts w:asciiTheme="majorBidi" w:hAnsiTheme="majorBidi" w:cstheme="majorBidi"/>
          <w:sz w:val="24"/>
          <w:szCs w:val="24"/>
        </w:rPr>
        <w:t xml:space="preserve">independence and board </w:t>
      </w:r>
      <w:r w:rsidR="000D2F6C" w:rsidRPr="00B92144">
        <w:rPr>
          <w:rFonts w:asciiTheme="majorBidi" w:hAnsiTheme="majorBidi" w:cstheme="majorBidi"/>
          <w:sz w:val="24"/>
          <w:szCs w:val="24"/>
        </w:rPr>
        <w:t>foreign members</w:t>
      </w:r>
      <w:r w:rsidRPr="00B92144">
        <w:rPr>
          <w:rFonts w:asciiTheme="majorBidi" w:hAnsiTheme="majorBidi" w:cstheme="majorBidi"/>
          <w:sz w:val="24"/>
          <w:szCs w:val="24"/>
        </w:rPr>
        <w:t xml:space="preserve"> as follows.</w:t>
      </w:r>
    </w:p>
    <w:p w14:paraId="634074E1" w14:textId="14BB2D06" w:rsidR="005C2C63" w:rsidRPr="00B92144" w:rsidRDefault="003219DB" w:rsidP="00A273B5">
      <w:pPr>
        <w:pStyle w:val="ListParagraph"/>
        <w:numPr>
          <w:ilvl w:val="1"/>
          <w:numId w:val="8"/>
        </w:numPr>
        <w:autoSpaceDE w:val="0"/>
        <w:autoSpaceDN w:val="0"/>
        <w:adjustRightInd w:val="0"/>
        <w:spacing w:before="120" w:after="120" w:line="360" w:lineRule="auto"/>
        <w:jc w:val="both"/>
        <w:rPr>
          <w:rFonts w:asciiTheme="majorBidi" w:hAnsiTheme="majorBidi" w:cstheme="majorBidi"/>
          <w:b/>
          <w:bCs/>
          <w:sz w:val="24"/>
          <w:szCs w:val="24"/>
        </w:rPr>
      </w:pPr>
      <w:r w:rsidRPr="00B92144">
        <w:rPr>
          <w:rFonts w:asciiTheme="majorBidi" w:hAnsiTheme="majorBidi" w:cstheme="majorBidi"/>
          <w:b/>
          <w:bCs/>
          <w:sz w:val="24"/>
          <w:szCs w:val="24"/>
        </w:rPr>
        <w:t>Governance characteristics and RRD</w:t>
      </w:r>
    </w:p>
    <w:p w14:paraId="163D03AA" w14:textId="77777777" w:rsidR="00E15209" w:rsidRPr="00B92144" w:rsidRDefault="00334B31" w:rsidP="00A7568D">
      <w:pPr>
        <w:pStyle w:val="ListParagraph"/>
        <w:numPr>
          <w:ilvl w:val="0"/>
          <w:numId w:val="4"/>
        </w:numPr>
        <w:spacing w:after="120" w:line="360" w:lineRule="auto"/>
        <w:jc w:val="both"/>
        <w:rPr>
          <w:rFonts w:asciiTheme="majorBidi" w:hAnsiTheme="majorBidi" w:cstheme="majorBidi"/>
          <w:sz w:val="24"/>
          <w:szCs w:val="24"/>
          <w:u w:val="single"/>
        </w:rPr>
      </w:pPr>
      <w:r w:rsidRPr="00B92144">
        <w:rPr>
          <w:rFonts w:asciiTheme="majorBidi" w:hAnsiTheme="majorBidi" w:cstheme="majorBidi"/>
          <w:sz w:val="24"/>
          <w:szCs w:val="24"/>
          <w:u w:val="single"/>
        </w:rPr>
        <w:t>Large shareholders</w:t>
      </w:r>
      <w:r w:rsidR="00A30066" w:rsidRPr="00B92144">
        <w:rPr>
          <w:rFonts w:asciiTheme="majorBidi" w:hAnsiTheme="majorBidi" w:cstheme="majorBidi"/>
          <w:sz w:val="24"/>
          <w:szCs w:val="24"/>
          <w:u w:val="single"/>
        </w:rPr>
        <w:t xml:space="preserve"> and RRD</w:t>
      </w:r>
    </w:p>
    <w:p w14:paraId="58B5AF17" w14:textId="31E4F473" w:rsidR="00C46738" w:rsidRPr="00B92144" w:rsidRDefault="00E15209" w:rsidP="0090331A">
      <w:pPr>
        <w:spacing w:after="120" w:line="360" w:lineRule="auto"/>
        <w:jc w:val="both"/>
        <w:rPr>
          <w:rFonts w:asciiTheme="majorBidi" w:hAnsiTheme="majorBidi" w:cstheme="majorBidi"/>
          <w:sz w:val="24"/>
          <w:szCs w:val="24"/>
        </w:rPr>
      </w:pPr>
      <w:r w:rsidRPr="00B92144">
        <w:rPr>
          <w:rFonts w:asciiTheme="majorBidi" w:hAnsiTheme="majorBidi" w:cstheme="majorBidi"/>
          <w:sz w:val="24"/>
          <w:szCs w:val="24"/>
        </w:rPr>
        <w:t>L</w:t>
      </w:r>
      <w:r w:rsidR="00726A70" w:rsidRPr="00B92144">
        <w:rPr>
          <w:rFonts w:asciiTheme="majorBidi" w:hAnsiTheme="majorBidi" w:cstheme="majorBidi"/>
          <w:sz w:val="24"/>
          <w:szCs w:val="24"/>
        </w:rPr>
        <w:t xml:space="preserve">arge </w:t>
      </w:r>
      <w:r w:rsidR="003D2DBD" w:rsidRPr="00B92144">
        <w:rPr>
          <w:rFonts w:asciiTheme="majorBidi" w:hAnsiTheme="majorBidi" w:cstheme="majorBidi"/>
          <w:sz w:val="24"/>
          <w:szCs w:val="24"/>
        </w:rPr>
        <w:t xml:space="preserve">outside </w:t>
      </w:r>
      <w:r w:rsidR="00726A70" w:rsidRPr="00B92144">
        <w:rPr>
          <w:rFonts w:asciiTheme="majorBidi" w:hAnsiTheme="majorBidi" w:cstheme="majorBidi"/>
          <w:sz w:val="24"/>
          <w:szCs w:val="24"/>
        </w:rPr>
        <w:t xml:space="preserve">shareholders play a critical role in corporate governance, because their sizable stakes give them incentives to bear the cost of monitoring the integrity and </w:t>
      </w:r>
      <w:r w:rsidR="00301801" w:rsidRPr="00B92144">
        <w:rPr>
          <w:rFonts w:asciiTheme="majorBidi" w:hAnsiTheme="majorBidi" w:cstheme="majorBidi"/>
          <w:sz w:val="24"/>
          <w:szCs w:val="24"/>
        </w:rPr>
        <w:t xml:space="preserve">the </w:t>
      </w:r>
      <w:r w:rsidR="00726A70" w:rsidRPr="00B92144">
        <w:rPr>
          <w:rFonts w:asciiTheme="majorBidi" w:hAnsiTheme="majorBidi" w:cstheme="majorBidi"/>
          <w:sz w:val="24"/>
          <w:szCs w:val="24"/>
        </w:rPr>
        <w:t xml:space="preserve">efficiency of </w:t>
      </w:r>
      <w:r w:rsidR="00301801" w:rsidRPr="00B92144">
        <w:rPr>
          <w:rFonts w:asciiTheme="majorBidi" w:hAnsiTheme="majorBidi" w:cstheme="majorBidi"/>
          <w:sz w:val="24"/>
          <w:szCs w:val="24"/>
        </w:rPr>
        <w:t xml:space="preserve">firms’ </w:t>
      </w:r>
      <w:r w:rsidR="00726A70" w:rsidRPr="00B92144">
        <w:rPr>
          <w:rFonts w:asciiTheme="majorBidi" w:hAnsiTheme="majorBidi" w:cstheme="majorBidi"/>
          <w:sz w:val="24"/>
          <w:szCs w:val="24"/>
        </w:rPr>
        <w:t>management (</w:t>
      </w:r>
      <w:r w:rsidR="00726A70" w:rsidRPr="00B92144">
        <w:rPr>
          <w:rFonts w:asciiTheme="majorBidi" w:hAnsiTheme="majorBidi" w:cstheme="majorBidi"/>
          <w:color w:val="365F91" w:themeColor="accent1" w:themeShade="BF"/>
          <w:sz w:val="24"/>
          <w:szCs w:val="24"/>
        </w:rPr>
        <w:t>Barakat &amp; Hussainey, 2013</w:t>
      </w:r>
      <w:r w:rsidR="00726A70" w:rsidRPr="00B92144">
        <w:rPr>
          <w:rFonts w:asciiTheme="majorBidi" w:hAnsiTheme="majorBidi" w:cstheme="majorBidi"/>
          <w:sz w:val="24"/>
          <w:szCs w:val="24"/>
        </w:rPr>
        <w:t>).</w:t>
      </w:r>
      <w:r w:rsidR="00FF7CDB" w:rsidRPr="00B92144">
        <w:rPr>
          <w:rFonts w:asciiTheme="majorBidi" w:hAnsiTheme="majorBidi" w:cstheme="majorBidi"/>
          <w:sz w:val="24"/>
          <w:szCs w:val="24"/>
        </w:rPr>
        <w:t xml:space="preserve"> </w:t>
      </w:r>
      <w:r w:rsidRPr="00B92144">
        <w:rPr>
          <w:rFonts w:asciiTheme="majorBidi" w:hAnsiTheme="majorBidi" w:cstheme="majorBidi"/>
          <w:sz w:val="24"/>
          <w:szCs w:val="24"/>
        </w:rPr>
        <w:t>L</w:t>
      </w:r>
      <w:r w:rsidR="00FF7CDB" w:rsidRPr="00B92144">
        <w:rPr>
          <w:rFonts w:asciiTheme="majorBidi" w:hAnsiTheme="majorBidi" w:cstheme="majorBidi"/>
          <w:sz w:val="24"/>
          <w:szCs w:val="24"/>
        </w:rPr>
        <w:t xml:space="preserve">arge shareholders exert </w:t>
      </w:r>
      <w:r w:rsidRPr="00B92144">
        <w:rPr>
          <w:rFonts w:asciiTheme="majorBidi" w:hAnsiTheme="majorBidi" w:cstheme="majorBidi"/>
          <w:sz w:val="24"/>
          <w:szCs w:val="24"/>
        </w:rPr>
        <w:t xml:space="preserve">indeed, </w:t>
      </w:r>
      <w:r w:rsidR="00FF7CDB" w:rsidRPr="00B92144">
        <w:rPr>
          <w:rFonts w:asciiTheme="majorBidi" w:hAnsiTheme="majorBidi" w:cstheme="majorBidi"/>
          <w:sz w:val="24"/>
          <w:szCs w:val="24"/>
        </w:rPr>
        <w:t xml:space="preserve">governance through </w:t>
      </w:r>
      <w:r w:rsidR="002747AD" w:rsidRPr="00B92144">
        <w:rPr>
          <w:rFonts w:asciiTheme="majorBidi" w:hAnsiTheme="majorBidi" w:cstheme="majorBidi"/>
          <w:sz w:val="24"/>
          <w:szCs w:val="24"/>
        </w:rPr>
        <w:t xml:space="preserve">two basic </w:t>
      </w:r>
      <w:r w:rsidR="00FF7CDB" w:rsidRPr="00B92144">
        <w:rPr>
          <w:rFonts w:asciiTheme="majorBidi" w:hAnsiTheme="majorBidi" w:cstheme="majorBidi"/>
          <w:sz w:val="24"/>
          <w:szCs w:val="24"/>
        </w:rPr>
        <w:t xml:space="preserve">mechanisms. </w:t>
      </w:r>
      <w:r w:rsidR="00CC7FD4" w:rsidRPr="00B92144">
        <w:rPr>
          <w:rFonts w:asciiTheme="majorBidi" w:hAnsiTheme="majorBidi" w:cstheme="majorBidi"/>
          <w:sz w:val="24"/>
          <w:szCs w:val="24"/>
        </w:rPr>
        <w:t xml:space="preserve">First, they can </w:t>
      </w:r>
      <w:r w:rsidR="00FF7CDB" w:rsidRPr="00B92144">
        <w:rPr>
          <w:rFonts w:asciiTheme="majorBidi" w:hAnsiTheme="majorBidi" w:cstheme="majorBidi"/>
          <w:sz w:val="24"/>
          <w:szCs w:val="24"/>
        </w:rPr>
        <w:t>dire</w:t>
      </w:r>
      <w:r w:rsidR="00EE1075" w:rsidRPr="00B92144">
        <w:rPr>
          <w:rFonts w:asciiTheme="majorBidi" w:hAnsiTheme="majorBidi" w:cstheme="majorBidi"/>
          <w:sz w:val="24"/>
          <w:szCs w:val="24"/>
        </w:rPr>
        <w:t>ct</w:t>
      </w:r>
      <w:r w:rsidR="00CC7FD4" w:rsidRPr="00B92144">
        <w:rPr>
          <w:rFonts w:asciiTheme="majorBidi" w:hAnsiTheme="majorBidi" w:cstheme="majorBidi"/>
          <w:sz w:val="24"/>
          <w:szCs w:val="24"/>
        </w:rPr>
        <w:t>ly</w:t>
      </w:r>
      <w:r w:rsidR="00EE1075" w:rsidRPr="00B92144">
        <w:rPr>
          <w:rFonts w:asciiTheme="majorBidi" w:hAnsiTheme="majorBidi" w:cstheme="majorBidi"/>
          <w:sz w:val="24"/>
          <w:szCs w:val="24"/>
        </w:rPr>
        <w:t xml:space="preserve"> </w:t>
      </w:r>
      <w:r w:rsidR="00FD44A5" w:rsidRPr="00B92144">
        <w:rPr>
          <w:rFonts w:asciiTheme="majorBidi" w:hAnsiTheme="majorBidi" w:cstheme="majorBidi"/>
          <w:sz w:val="24"/>
          <w:szCs w:val="24"/>
        </w:rPr>
        <w:t>interven</w:t>
      </w:r>
      <w:r w:rsidR="00CC7FD4" w:rsidRPr="00B92144">
        <w:rPr>
          <w:rFonts w:asciiTheme="majorBidi" w:hAnsiTheme="majorBidi" w:cstheme="majorBidi"/>
          <w:sz w:val="24"/>
          <w:szCs w:val="24"/>
        </w:rPr>
        <w:t>e</w:t>
      </w:r>
      <w:r w:rsidR="00FF7CDB" w:rsidRPr="00B92144">
        <w:rPr>
          <w:rFonts w:asciiTheme="majorBidi" w:hAnsiTheme="majorBidi" w:cstheme="majorBidi"/>
          <w:sz w:val="24"/>
          <w:szCs w:val="24"/>
        </w:rPr>
        <w:t xml:space="preserve"> within a firm</w:t>
      </w:r>
      <w:r w:rsidR="00CC7FD4" w:rsidRPr="00B92144">
        <w:rPr>
          <w:rFonts w:asciiTheme="majorBidi" w:hAnsiTheme="majorBidi" w:cstheme="majorBidi"/>
          <w:sz w:val="24"/>
          <w:szCs w:val="24"/>
        </w:rPr>
        <w:t xml:space="preserve"> and voice for</w:t>
      </w:r>
      <w:r w:rsidR="00FF7CDB" w:rsidRPr="00B92144">
        <w:rPr>
          <w:rFonts w:asciiTheme="majorBidi" w:hAnsiTheme="majorBidi" w:cstheme="majorBidi"/>
          <w:sz w:val="24"/>
          <w:szCs w:val="24"/>
        </w:rPr>
        <w:t xml:space="preserve"> a strategic change </w:t>
      </w:r>
      <w:r w:rsidR="00CC7FD4" w:rsidRPr="00B92144">
        <w:rPr>
          <w:rFonts w:asciiTheme="majorBidi" w:hAnsiTheme="majorBidi" w:cstheme="majorBidi"/>
          <w:sz w:val="24"/>
          <w:szCs w:val="24"/>
        </w:rPr>
        <w:t xml:space="preserve">either </w:t>
      </w:r>
      <w:r w:rsidR="00FF7CDB" w:rsidRPr="00B92144">
        <w:rPr>
          <w:rFonts w:asciiTheme="majorBidi" w:hAnsiTheme="majorBidi" w:cstheme="majorBidi"/>
          <w:sz w:val="24"/>
          <w:szCs w:val="24"/>
        </w:rPr>
        <w:t>via a public shareholder proposal</w:t>
      </w:r>
      <w:r w:rsidR="00A87B00" w:rsidRPr="00B92144">
        <w:rPr>
          <w:rFonts w:asciiTheme="majorBidi" w:hAnsiTheme="majorBidi" w:cstheme="majorBidi"/>
          <w:sz w:val="24"/>
          <w:szCs w:val="24"/>
        </w:rPr>
        <w:t>,</w:t>
      </w:r>
      <w:r w:rsidR="00FF7CDB" w:rsidRPr="00B92144">
        <w:rPr>
          <w:rFonts w:asciiTheme="majorBidi" w:hAnsiTheme="majorBidi" w:cstheme="majorBidi"/>
          <w:sz w:val="24"/>
          <w:szCs w:val="24"/>
        </w:rPr>
        <w:t xml:space="preserve"> a private letter to management,</w:t>
      </w:r>
      <w:r w:rsidRPr="00B92144">
        <w:rPr>
          <w:rFonts w:asciiTheme="majorBidi" w:hAnsiTheme="majorBidi" w:cstheme="majorBidi"/>
          <w:sz w:val="24"/>
          <w:szCs w:val="24"/>
        </w:rPr>
        <w:t xml:space="preserve"> </w:t>
      </w:r>
      <w:r w:rsidR="00FF7CDB" w:rsidRPr="00B92144">
        <w:rPr>
          <w:rFonts w:asciiTheme="majorBidi" w:hAnsiTheme="majorBidi" w:cstheme="majorBidi"/>
          <w:sz w:val="24"/>
          <w:szCs w:val="24"/>
        </w:rPr>
        <w:t xml:space="preserve">or </w:t>
      </w:r>
      <w:r w:rsidR="00A87B00" w:rsidRPr="00B92144">
        <w:rPr>
          <w:rFonts w:asciiTheme="majorBidi" w:hAnsiTheme="majorBidi" w:cstheme="majorBidi"/>
          <w:sz w:val="24"/>
          <w:szCs w:val="24"/>
        </w:rPr>
        <w:t xml:space="preserve">through </w:t>
      </w:r>
      <w:r w:rsidR="00FF7CDB" w:rsidRPr="00B92144">
        <w:rPr>
          <w:rFonts w:asciiTheme="majorBidi" w:hAnsiTheme="majorBidi" w:cstheme="majorBidi"/>
          <w:sz w:val="24"/>
          <w:szCs w:val="24"/>
        </w:rPr>
        <w:t>voting against directors.</w:t>
      </w:r>
      <w:r w:rsidR="002747AD" w:rsidRPr="00B92144">
        <w:rPr>
          <w:rFonts w:asciiTheme="majorBidi" w:hAnsiTheme="majorBidi" w:cstheme="majorBidi"/>
          <w:sz w:val="24"/>
          <w:szCs w:val="24"/>
        </w:rPr>
        <w:t xml:space="preserve"> Second</w:t>
      </w:r>
      <w:r w:rsidR="00E75331" w:rsidRPr="00B92144">
        <w:rPr>
          <w:rFonts w:asciiTheme="majorBidi" w:hAnsiTheme="majorBidi" w:cstheme="majorBidi"/>
          <w:sz w:val="24"/>
          <w:szCs w:val="24"/>
        </w:rPr>
        <w:t>,</w:t>
      </w:r>
      <w:r w:rsidR="002747AD" w:rsidRPr="00B92144">
        <w:rPr>
          <w:rFonts w:asciiTheme="majorBidi" w:hAnsiTheme="majorBidi" w:cstheme="majorBidi"/>
          <w:sz w:val="24"/>
          <w:szCs w:val="24"/>
        </w:rPr>
        <w:t xml:space="preserve"> they can </w:t>
      </w:r>
      <w:r w:rsidR="0090331A" w:rsidRPr="00B92144">
        <w:rPr>
          <w:rFonts w:asciiTheme="majorBidi" w:hAnsiTheme="majorBidi" w:cstheme="majorBidi"/>
          <w:sz w:val="24"/>
          <w:szCs w:val="24"/>
        </w:rPr>
        <w:t>use</w:t>
      </w:r>
      <w:r w:rsidR="002747AD" w:rsidRPr="00B92144">
        <w:rPr>
          <w:rFonts w:asciiTheme="majorBidi" w:hAnsiTheme="majorBidi" w:cstheme="majorBidi"/>
          <w:sz w:val="24"/>
          <w:szCs w:val="24"/>
        </w:rPr>
        <w:t xml:space="preserve"> share trading</w:t>
      </w:r>
      <w:r w:rsidR="0090331A" w:rsidRPr="00B92144">
        <w:rPr>
          <w:rFonts w:asciiTheme="majorBidi" w:hAnsiTheme="majorBidi" w:cstheme="majorBidi"/>
          <w:sz w:val="24"/>
          <w:szCs w:val="24"/>
        </w:rPr>
        <w:t xml:space="preserve"> strategy and</w:t>
      </w:r>
      <w:r w:rsidR="002747AD" w:rsidRPr="00B92144">
        <w:rPr>
          <w:rFonts w:asciiTheme="majorBidi" w:hAnsiTheme="majorBidi" w:cstheme="majorBidi"/>
          <w:sz w:val="24"/>
          <w:szCs w:val="24"/>
        </w:rPr>
        <w:t xml:space="preserve"> push down stock prices</w:t>
      </w:r>
      <w:r w:rsidR="0090331A" w:rsidRPr="00B92144">
        <w:rPr>
          <w:rFonts w:asciiTheme="majorBidi" w:hAnsiTheme="majorBidi" w:cstheme="majorBidi"/>
          <w:sz w:val="24"/>
          <w:szCs w:val="24"/>
        </w:rPr>
        <w:t>,</w:t>
      </w:r>
      <w:r w:rsidR="002747AD" w:rsidRPr="00B92144">
        <w:rPr>
          <w:rFonts w:asciiTheme="majorBidi" w:hAnsiTheme="majorBidi" w:cstheme="majorBidi"/>
          <w:sz w:val="24"/>
          <w:szCs w:val="24"/>
        </w:rPr>
        <w:t xml:space="preserve"> punishing then managers for their misbehavior. </w:t>
      </w:r>
      <w:r w:rsidR="00A336D4" w:rsidRPr="00B92144">
        <w:rPr>
          <w:rFonts w:asciiTheme="majorBidi" w:hAnsiTheme="majorBidi" w:cstheme="majorBidi"/>
          <w:sz w:val="24"/>
          <w:szCs w:val="24"/>
        </w:rPr>
        <w:t>T</w:t>
      </w:r>
      <w:r w:rsidR="0090331A" w:rsidRPr="00B92144">
        <w:rPr>
          <w:rFonts w:asciiTheme="majorBidi" w:hAnsiTheme="majorBidi" w:cstheme="majorBidi"/>
          <w:sz w:val="24"/>
          <w:szCs w:val="24"/>
        </w:rPr>
        <w:t>he threat of</w:t>
      </w:r>
      <w:r w:rsidR="00A336D4" w:rsidRPr="00B92144">
        <w:rPr>
          <w:rFonts w:asciiTheme="majorBidi" w:hAnsiTheme="majorBidi" w:cstheme="majorBidi"/>
          <w:sz w:val="24"/>
          <w:szCs w:val="24"/>
        </w:rPr>
        <w:t xml:space="preserve"> both</w:t>
      </w:r>
      <w:r w:rsidR="0090331A" w:rsidRPr="00B92144">
        <w:rPr>
          <w:rFonts w:asciiTheme="majorBidi" w:hAnsiTheme="majorBidi" w:cstheme="majorBidi"/>
          <w:sz w:val="24"/>
          <w:szCs w:val="24"/>
        </w:rPr>
        <w:t xml:space="preserve"> intervention</w:t>
      </w:r>
      <w:r w:rsidR="00A336D4" w:rsidRPr="00B92144">
        <w:rPr>
          <w:rFonts w:asciiTheme="majorBidi" w:hAnsiTheme="majorBidi" w:cstheme="majorBidi"/>
          <w:sz w:val="24"/>
          <w:szCs w:val="24"/>
        </w:rPr>
        <w:t xml:space="preserve"> and exit mechanisms induces</w:t>
      </w:r>
      <w:r w:rsidR="0090331A" w:rsidRPr="00B92144">
        <w:rPr>
          <w:rFonts w:asciiTheme="majorBidi" w:hAnsiTheme="majorBidi" w:cstheme="majorBidi"/>
          <w:sz w:val="24"/>
          <w:szCs w:val="24"/>
        </w:rPr>
        <w:t xml:space="preserve"> </w:t>
      </w:r>
      <w:r w:rsidR="002747AD" w:rsidRPr="00B92144">
        <w:rPr>
          <w:rFonts w:asciiTheme="majorBidi" w:hAnsiTheme="majorBidi" w:cstheme="majorBidi"/>
          <w:sz w:val="24"/>
          <w:szCs w:val="24"/>
        </w:rPr>
        <w:t xml:space="preserve">manager to maximize </w:t>
      </w:r>
      <w:r w:rsidR="0090331A" w:rsidRPr="00B92144">
        <w:rPr>
          <w:rFonts w:asciiTheme="majorBidi" w:hAnsiTheme="majorBidi" w:cstheme="majorBidi"/>
          <w:sz w:val="24"/>
          <w:szCs w:val="24"/>
        </w:rPr>
        <w:t xml:space="preserve">shareholders’ </w:t>
      </w:r>
      <w:r w:rsidR="002747AD" w:rsidRPr="00B92144">
        <w:rPr>
          <w:rFonts w:asciiTheme="majorBidi" w:hAnsiTheme="majorBidi" w:cstheme="majorBidi"/>
          <w:sz w:val="24"/>
          <w:szCs w:val="24"/>
        </w:rPr>
        <w:t>value</w:t>
      </w:r>
      <w:r w:rsidR="00A336D4" w:rsidRPr="00B92144">
        <w:rPr>
          <w:rFonts w:asciiTheme="majorBidi" w:hAnsiTheme="majorBidi" w:cstheme="majorBidi"/>
          <w:sz w:val="24"/>
          <w:szCs w:val="24"/>
        </w:rPr>
        <w:t xml:space="preserve"> (</w:t>
      </w:r>
      <w:r w:rsidR="00A336D4" w:rsidRPr="00B92144">
        <w:rPr>
          <w:rFonts w:asciiTheme="majorBidi" w:hAnsiTheme="majorBidi" w:cstheme="majorBidi"/>
          <w:color w:val="365F91" w:themeColor="accent1" w:themeShade="BF"/>
          <w:sz w:val="24"/>
          <w:szCs w:val="24"/>
        </w:rPr>
        <w:t>Edmans, 2014</w:t>
      </w:r>
      <w:r w:rsidR="00A336D4" w:rsidRPr="00B92144">
        <w:rPr>
          <w:rFonts w:asciiTheme="majorBidi" w:hAnsiTheme="majorBidi" w:cstheme="majorBidi"/>
          <w:sz w:val="24"/>
          <w:szCs w:val="24"/>
        </w:rPr>
        <w:t xml:space="preserve">). </w:t>
      </w:r>
    </w:p>
    <w:p w14:paraId="2DEB490E" w14:textId="6686EDCC" w:rsidR="00AB0C67" w:rsidRPr="00B92144" w:rsidRDefault="001570CC" w:rsidP="00E76E6A">
      <w:pPr>
        <w:spacing w:after="12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In the banking sector, </w:t>
      </w:r>
      <w:r w:rsidR="00D21CC0" w:rsidRPr="00B92144">
        <w:rPr>
          <w:rFonts w:asciiTheme="majorBidi" w:hAnsiTheme="majorBidi" w:cstheme="majorBidi"/>
          <w:color w:val="365F91" w:themeColor="accent1" w:themeShade="BF"/>
          <w:sz w:val="24"/>
          <w:szCs w:val="24"/>
        </w:rPr>
        <w:t>Barakat &amp; Hussainey (2013</w:t>
      </w:r>
      <w:r w:rsidRPr="00B92144">
        <w:rPr>
          <w:rFonts w:asciiTheme="majorBidi" w:hAnsiTheme="majorBidi" w:cstheme="majorBidi"/>
          <w:color w:val="365F91" w:themeColor="accent1" w:themeShade="BF"/>
          <w:sz w:val="24"/>
          <w:szCs w:val="24"/>
        </w:rPr>
        <w:t xml:space="preserve">) </w:t>
      </w:r>
      <w:r w:rsidRPr="00B92144">
        <w:rPr>
          <w:rFonts w:asciiTheme="majorBidi" w:hAnsiTheme="majorBidi" w:cstheme="majorBidi"/>
          <w:sz w:val="24"/>
          <w:szCs w:val="24"/>
        </w:rPr>
        <w:t>argue that b</w:t>
      </w:r>
      <w:r w:rsidR="00A77666" w:rsidRPr="00B92144">
        <w:rPr>
          <w:rFonts w:asciiTheme="majorBidi" w:hAnsiTheme="majorBidi" w:cstheme="majorBidi"/>
          <w:sz w:val="24"/>
          <w:szCs w:val="24"/>
        </w:rPr>
        <w:t>lock owners</w:t>
      </w:r>
      <w:r w:rsidR="00C46738" w:rsidRPr="00B92144">
        <w:rPr>
          <w:rFonts w:asciiTheme="majorBidi" w:hAnsiTheme="majorBidi" w:cstheme="majorBidi"/>
          <w:sz w:val="24"/>
          <w:szCs w:val="24"/>
        </w:rPr>
        <w:t xml:space="preserve"> </w:t>
      </w:r>
      <w:r w:rsidR="00673391" w:rsidRPr="00B92144">
        <w:rPr>
          <w:rFonts w:asciiTheme="majorBidi" w:hAnsiTheme="majorBidi" w:cstheme="majorBidi"/>
          <w:sz w:val="24"/>
          <w:szCs w:val="24"/>
        </w:rPr>
        <w:t>have the power to</w:t>
      </w:r>
      <w:r w:rsidR="00C46738" w:rsidRPr="00B92144">
        <w:rPr>
          <w:rFonts w:asciiTheme="majorBidi" w:hAnsiTheme="majorBidi" w:cstheme="majorBidi"/>
          <w:sz w:val="24"/>
          <w:szCs w:val="24"/>
        </w:rPr>
        <w:t xml:space="preserve"> influenc</w:t>
      </w:r>
      <w:r w:rsidR="00673391" w:rsidRPr="00B92144">
        <w:rPr>
          <w:rFonts w:asciiTheme="majorBidi" w:hAnsiTheme="majorBidi" w:cstheme="majorBidi"/>
          <w:sz w:val="24"/>
          <w:szCs w:val="24"/>
        </w:rPr>
        <w:t xml:space="preserve">e strategic decisions </w:t>
      </w:r>
      <w:r w:rsidR="00A77666" w:rsidRPr="00B92144">
        <w:rPr>
          <w:rFonts w:asciiTheme="majorBidi" w:hAnsiTheme="majorBidi" w:cstheme="majorBidi"/>
          <w:sz w:val="24"/>
          <w:szCs w:val="24"/>
        </w:rPr>
        <w:t xml:space="preserve">towards risk management and disclosure </w:t>
      </w:r>
      <w:r w:rsidR="00673391" w:rsidRPr="00B92144">
        <w:rPr>
          <w:rFonts w:asciiTheme="majorBidi" w:hAnsiTheme="majorBidi" w:cstheme="majorBidi"/>
          <w:sz w:val="24"/>
          <w:szCs w:val="24"/>
        </w:rPr>
        <w:t>because of their strong voting rights. For instance, if managers fail to effectively perform their fiduciary duties, major shareholder</w:t>
      </w:r>
      <w:r w:rsidR="008C45D9" w:rsidRPr="00B92144">
        <w:rPr>
          <w:rFonts w:asciiTheme="majorBidi" w:hAnsiTheme="majorBidi" w:cstheme="majorBidi"/>
          <w:sz w:val="24"/>
          <w:szCs w:val="24"/>
        </w:rPr>
        <w:t>s</w:t>
      </w:r>
      <w:r w:rsidR="00673391" w:rsidRPr="00B92144">
        <w:rPr>
          <w:rFonts w:asciiTheme="majorBidi" w:hAnsiTheme="majorBidi" w:cstheme="majorBidi"/>
          <w:sz w:val="24"/>
          <w:szCs w:val="24"/>
        </w:rPr>
        <w:t xml:space="preserve"> might activate </w:t>
      </w:r>
      <w:r w:rsidR="008C45D9" w:rsidRPr="00B92144">
        <w:rPr>
          <w:rFonts w:asciiTheme="majorBidi" w:hAnsiTheme="majorBidi" w:cstheme="majorBidi"/>
          <w:sz w:val="24"/>
          <w:szCs w:val="24"/>
        </w:rPr>
        <w:t>their</w:t>
      </w:r>
      <w:r w:rsidR="00673391" w:rsidRPr="00B92144">
        <w:rPr>
          <w:rFonts w:asciiTheme="majorBidi" w:hAnsiTheme="majorBidi" w:cstheme="majorBidi"/>
          <w:sz w:val="24"/>
          <w:szCs w:val="24"/>
        </w:rPr>
        <w:t xml:space="preserve"> influential voting rights and</w:t>
      </w:r>
      <w:r w:rsidR="00245DF0" w:rsidRPr="00B92144">
        <w:rPr>
          <w:rFonts w:asciiTheme="majorBidi" w:hAnsiTheme="majorBidi" w:cstheme="majorBidi"/>
          <w:sz w:val="24"/>
          <w:szCs w:val="24"/>
        </w:rPr>
        <w:t xml:space="preserve"> </w:t>
      </w:r>
      <w:r w:rsidR="00673391" w:rsidRPr="00B92144">
        <w:rPr>
          <w:rFonts w:asciiTheme="majorBidi" w:hAnsiTheme="majorBidi" w:cstheme="majorBidi"/>
          <w:sz w:val="24"/>
          <w:szCs w:val="24"/>
        </w:rPr>
        <w:t>remov</w:t>
      </w:r>
      <w:r w:rsidR="00245DF0" w:rsidRPr="00B92144">
        <w:rPr>
          <w:rFonts w:asciiTheme="majorBidi" w:hAnsiTheme="majorBidi" w:cstheme="majorBidi"/>
          <w:sz w:val="24"/>
          <w:szCs w:val="24"/>
        </w:rPr>
        <w:t xml:space="preserve">e the </w:t>
      </w:r>
      <w:r w:rsidR="00673391" w:rsidRPr="00B92144">
        <w:rPr>
          <w:rFonts w:asciiTheme="majorBidi" w:hAnsiTheme="majorBidi" w:cstheme="majorBidi"/>
          <w:sz w:val="24"/>
          <w:szCs w:val="24"/>
        </w:rPr>
        <w:t>underperforming executive.</w:t>
      </w:r>
      <w:r w:rsidR="00F11B05" w:rsidRPr="00B92144">
        <w:rPr>
          <w:rFonts w:asciiTheme="majorBidi" w:hAnsiTheme="majorBidi" w:cstheme="majorBidi"/>
          <w:sz w:val="24"/>
          <w:szCs w:val="24"/>
        </w:rPr>
        <w:t xml:space="preserve"> </w:t>
      </w:r>
      <w:r w:rsidR="0047558A" w:rsidRPr="00B92144">
        <w:rPr>
          <w:rFonts w:asciiTheme="majorBidi" w:hAnsiTheme="majorBidi" w:cstheme="majorBidi"/>
          <w:color w:val="365F91" w:themeColor="accent1" w:themeShade="BF"/>
          <w:sz w:val="24"/>
          <w:szCs w:val="24"/>
        </w:rPr>
        <w:t>Oliveira, Rodrigues, &amp; Craig</w:t>
      </w:r>
      <w:r w:rsidR="00F11B05" w:rsidRPr="00B92144">
        <w:rPr>
          <w:rFonts w:asciiTheme="majorBidi" w:hAnsiTheme="majorBidi" w:cstheme="majorBidi"/>
          <w:color w:val="365F91" w:themeColor="accent1" w:themeShade="BF"/>
          <w:sz w:val="24"/>
          <w:szCs w:val="24"/>
        </w:rPr>
        <w:t xml:space="preserve"> (2011</w:t>
      </w:r>
      <w:r w:rsidR="0047558A" w:rsidRPr="00B92144">
        <w:rPr>
          <w:rFonts w:asciiTheme="majorBidi" w:hAnsiTheme="majorBidi" w:cstheme="majorBidi"/>
          <w:color w:val="365F91" w:themeColor="accent1" w:themeShade="BF"/>
          <w:sz w:val="24"/>
          <w:szCs w:val="24"/>
        </w:rPr>
        <w:t>b</w:t>
      </w:r>
      <w:r w:rsidR="00F11B05" w:rsidRPr="00B92144">
        <w:rPr>
          <w:rFonts w:asciiTheme="majorBidi" w:hAnsiTheme="majorBidi" w:cstheme="majorBidi"/>
          <w:color w:val="365F91" w:themeColor="accent1" w:themeShade="BF"/>
          <w:sz w:val="24"/>
          <w:szCs w:val="24"/>
        </w:rPr>
        <w:t xml:space="preserve">) </w:t>
      </w:r>
      <w:r w:rsidR="00F11B05" w:rsidRPr="00B92144">
        <w:rPr>
          <w:rFonts w:asciiTheme="majorBidi" w:hAnsiTheme="majorBidi" w:cstheme="majorBidi"/>
          <w:sz w:val="24"/>
          <w:szCs w:val="24"/>
        </w:rPr>
        <w:t xml:space="preserve">suggest however that in banks with major shareholders, agency costs are lower as owners tend to appropriate the benefits of monitoring management. This is likely to reduce managers’ opportunistic behavior and </w:t>
      </w:r>
      <w:r w:rsidR="00CB0ABF" w:rsidRPr="00B92144">
        <w:rPr>
          <w:rFonts w:asciiTheme="majorBidi" w:hAnsiTheme="majorBidi" w:cstheme="majorBidi"/>
          <w:sz w:val="24"/>
          <w:szCs w:val="24"/>
        </w:rPr>
        <w:t xml:space="preserve">accordingly the </w:t>
      </w:r>
      <w:r w:rsidR="00F11B05" w:rsidRPr="00B92144">
        <w:rPr>
          <w:rFonts w:asciiTheme="majorBidi" w:hAnsiTheme="majorBidi" w:cstheme="majorBidi"/>
          <w:sz w:val="24"/>
          <w:szCs w:val="24"/>
        </w:rPr>
        <w:t xml:space="preserve">level of </w:t>
      </w:r>
      <w:r w:rsidR="00CB0ABF" w:rsidRPr="00B92144">
        <w:rPr>
          <w:rFonts w:asciiTheme="majorBidi" w:hAnsiTheme="majorBidi" w:cstheme="majorBidi"/>
          <w:sz w:val="24"/>
          <w:szCs w:val="24"/>
        </w:rPr>
        <w:t>risk related information.</w:t>
      </w:r>
      <w:r w:rsidR="00A77666" w:rsidRPr="00B92144">
        <w:rPr>
          <w:rFonts w:asciiTheme="majorBidi" w:hAnsiTheme="majorBidi" w:cstheme="majorBidi"/>
          <w:color w:val="000000"/>
          <w:sz w:val="24"/>
          <w:szCs w:val="24"/>
        </w:rPr>
        <w:t xml:space="preserve"> </w:t>
      </w:r>
      <w:r w:rsidR="00A77666" w:rsidRPr="00B92144">
        <w:rPr>
          <w:rFonts w:asciiTheme="majorBidi" w:hAnsiTheme="majorBidi" w:cstheme="majorBidi"/>
          <w:color w:val="365F91" w:themeColor="accent1" w:themeShade="BF"/>
          <w:sz w:val="24"/>
          <w:szCs w:val="24"/>
        </w:rPr>
        <w:t>Ntim et al., (2013)</w:t>
      </w:r>
      <w:r w:rsidR="00A77666" w:rsidRPr="00B92144">
        <w:rPr>
          <w:rFonts w:asciiTheme="majorBidi" w:hAnsiTheme="majorBidi" w:cstheme="majorBidi"/>
          <w:sz w:val="24"/>
          <w:szCs w:val="24"/>
        </w:rPr>
        <w:t xml:space="preserve"> </w:t>
      </w:r>
      <w:r w:rsidR="00CB0ABF" w:rsidRPr="00B92144">
        <w:rPr>
          <w:rFonts w:asciiTheme="majorBidi" w:hAnsiTheme="majorBidi" w:cstheme="majorBidi"/>
          <w:sz w:val="24"/>
          <w:szCs w:val="24"/>
        </w:rPr>
        <w:t xml:space="preserve">contend further, </w:t>
      </w:r>
      <w:r w:rsidR="00A77666" w:rsidRPr="00B92144">
        <w:rPr>
          <w:rFonts w:asciiTheme="majorBidi" w:hAnsiTheme="majorBidi" w:cstheme="majorBidi"/>
          <w:sz w:val="24"/>
          <w:szCs w:val="24"/>
        </w:rPr>
        <w:t>that management of firms with large shareholders may not take on disclosure practices because the costs of risk related information i.e., cost of competition, cost of litigation, and cost of regulation are most probably greater than its possible benefit i.e., information symmetry.</w:t>
      </w:r>
      <w:r w:rsidR="008150FE" w:rsidRPr="00B92144">
        <w:rPr>
          <w:rFonts w:asciiTheme="majorBidi" w:hAnsiTheme="majorBidi" w:cstheme="majorBidi"/>
          <w:sz w:val="24"/>
          <w:szCs w:val="24"/>
        </w:rPr>
        <w:t xml:space="preserve"> </w:t>
      </w:r>
    </w:p>
    <w:p w14:paraId="25262073" w14:textId="4759F159" w:rsidR="001867E6" w:rsidRPr="00B92144" w:rsidRDefault="00CB0ABF" w:rsidP="008150FE">
      <w:pPr>
        <w:spacing w:after="120" w:line="360" w:lineRule="auto"/>
        <w:jc w:val="both"/>
        <w:rPr>
          <w:rFonts w:asciiTheme="majorBidi" w:hAnsiTheme="majorBidi" w:cstheme="majorBidi"/>
          <w:sz w:val="24"/>
          <w:szCs w:val="24"/>
        </w:rPr>
      </w:pPr>
      <w:r w:rsidRPr="00B92144">
        <w:rPr>
          <w:rFonts w:asciiTheme="majorBidi" w:hAnsiTheme="majorBidi" w:cstheme="majorBidi"/>
          <w:sz w:val="24"/>
          <w:szCs w:val="24"/>
        </w:rPr>
        <w:t>Surprisingly</w:t>
      </w:r>
      <w:r w:rsidR="001867E6" w:rsidRPr="00B92144">
        <w:rPr>
          <w:rFonts w:asciiTheme="majorBidi" w:hAnsiTheme="majorBidi" w:cstheme="majorBidi"/>
          <w:sz w:val="24"/>
          <w:szCs w:val="24"/>
        </w:rPr>
        <w:t xml:space="preserve">, empirical </w:t>
      </w:r>
      <w:r w:rsidRPr="00B92144">
        <w:rPr>
          <w:rFonts w:asciiTheme="majorBidi" w:hAnsiTheme="majorBidi" w:cstheme="majorBidi"/>
          <w:sz w:val="24"/>
          <w:szCs w:val="24"/>
        </w:rPr>
        <w:t>research</w:t>
      </w:r>
      <w:r w:rsidR="001867E6" w:rsidRPr="00B92144">
        <w:rPr>
          <w:rFonts w:asciiTheme="majorBidi" w:hAnsiTheme="majorBidi" w:cstheme="majorBidi"/>
          <w:sz w:val="24"/>
          <w:szCs w:val="24"/>
        </w:rPr>
        <w:t xml:space="preserve"> </w:t>
      </w:r>
      <w:r w:rsidRPr="00B92144">
        <w:rPr>
          <w:rFonts w:asciiTheme="majorBidi" w:hAnsiTheme="majorBidi" w:cstheme="majorBidi"/>
          <w:sz w:val="24"/>
          <w:szCs w:val="24"/>
        </w:rPr>
        <w:t>investigating</w:t>
      </w:r>
      <w:r w:rsidR="001867E6" w:rsidRPr="00B92144">
        <w:rPr>
          <w:rFonts w:asciiTheme="majorBidi" w:hAnsiTheme="majorBidi" w:cstheme="majorBidi"/>
          <w:sz w:val="24"/>
          <w:szCs w:val="24"/>
        </w:rPr>
        <w:t xml:space="preserve"> the relationship between block ownership and</w:t>
      </w:r>
      <w:r w:rsidRPr="00B92144">
        <w:rPr>
          <w:rFonts w:asciiTheme="majorBidi" w:hAnsiTheme="majorBidi" w:cstheme="majorBidi"/>
          <w:sz w:val="24"/>
          <w:szCs w:val="24"/>
        </w:rPr>
        <w:t xml:space="preserve"> corporate risk disclosure</w:t>
      </w:r>
      <w:r w:rsidR="001867E6" w:rsidRPr="00B92144">
        <w:rPr>
          <w:rFonts w:asciiTheme="majorBidi" w:hAnsiTheme="majorBidi" w:cstheme="majorBidi"/>
          <w:sz w:val="24"/>
          <w:szCs w:val="24"/>
        </w:rPr>
        <w:t xml:space="preserve"> are scarce, with those by </w:t>
      </w:r>
      <w:r w:rsidR="001867E6" w:rsidRPr="00B92144">
        <w:rPr>
          <w:rFonts w:asciiTheme="majorBidi" w:hAnsiTheme="majorBidi" w:cstheme="majorBidi"/>
          <w:color w:val="365F91" w:themeColor="accent1" w:themeShade="BF"/>
          <w:sz w:val="24"/>
          <w:szCs w:val="24"/>
        </w:rPr>
        <w:t xml:space="preserve">Lopes </w:t>
      </w:r>
      <w:r w:rsidR="00E05652" w:rsidRPr="00B92144">
        <w:rPr>
          <w:rFonts w:asciiTheme="majorBidi" w:hAnsiTheme="majorBidi" w:cstheme="majorBidi"/>
          <w:color w:val="365F91" w:themeColor="accent1" w:themeShade="BF"/>
          <w:sz w:val="24"/>
          <w:szCs w:val="24"/>
        </w:rPr>
        <w:t>&amp;</w:t>
      </w:r>
      <w:r w:rsidR="001867E6" w:rsidRPr="00B92144">
        <w:rPr>
          <w:rFonts w:asciiTheme="majorBidi" w:hAnsiTheme="majorBidi" w:cstheme="majorBidi"/>
          <w:color w:val="365F91" w:themeColor="accent1" w:themeShade="BF"/>
          <w:sz w:val="24"/>
          <w:szCs w:val="24"/>
        </w:rPr>
        <w:t xml:space="preserve"> Rodrigues (2007)</w:t>
      </w:r>
      <w:r w:rsidRPr="00B92144">
        <w:rPr>
          <w:rFonts w:asciiTheme="majorBidi" w:hAnsiTheme="majorBidi" w:cstheme="majorBidi"/>
          <w:sz w:val="24"/>
          <w:szCs w:val="24"/>
        </w:rPr>
        <w:t xml:space="preserve">, </w:t>
      </w:r>
      <w:r w:rsidR="0047558A" w:rsidRPr="00B92144">
        <w:rPr>
          <w:rFonts w:asciiTheme="majorBidi" w:hAnsiTheme="majorBidi" w:cstheme="majorBidi"/>
          <w:color w:val="365F91" w:themeColor="accent1" w:themeShade="BF"/>
          <w:sz w:val="24"/>
          <w:szCs w:val="24"/>
        </w:rPr>
        <w:t xml:space="preserve">Oliveira, Rodrigues, </w:t>
      </w:r>
      <w:r w:rsidR="0047558A" w:rsidRPr="00B92144">
        <w:rPr>
          <w:rFonts w:asciiTheme="majorBidi" w:hAnsiTheme="majorBidi" w:cstheme="majorBidi"/>
          <w:color w:val="365F91" w:themeColor="accent1" w:themeShade="BF"/>
          <w:sz w:val="24"/>
          <w:szCs w:val="24"/>
        </w:rPr>
        <w:lastRenderedPageBreak/>
        <w:t xml:space="preserve">&amp; Craig </w:t>
      </w:r>
      <w:r w:rsidR="001867E6" w:rsidRPr="00B92144">
        <w:rPr>
          <w:rFonts w:asciiTheme="majorBidi" w:hAnsiTheme="majorBidi" w:cstheme="majorBidi"/>
          <w:color w:val="365F91" w:themeColor="accent1" w:themeShade="BF"/>
          <w:sz w:val="24"/>
          <w:szCs w:val="24"/>
        </w:rPr>
        <w:t>(2011</w:t>
      </w:r>
      <w:r w:rsidR="0047558A" w:rsidRPr="00B92144">
        <w:rPr>
          <w:rFonts w:asciiTheme="majorBidi" w:hAnsiTheme="majorBidi" w:cstheme="majorBidi"/>
          <w:color w:val="365F91" w:themeColor="accent1" w:themeShade="BF"/>
          <w:sz w:val="24"/>
          <w:szCs w:val="24"/>
        </w:rPr>
        <w:t>b</w:t>
      </w:r>
      <w:r w:rsidR="001867E6" w:rsidRPr="00B92144">
        <w:rPr>
          <w:rFonts w:asciiTheme="majorBidi" w:hAnsiTheme="majorBidi" w:cstheme="majorBidi"/>
          <w:color w:val="365F91" w:themeColor="accent1" w:themeShade="BF"/>
          <w:sz w:val="24"/>
          <w:szCs w:val="24"/>
        </w:rPr>
        <w:t>)</w:t>
      </w:r>
      <w:r w:rsidRPr="00B92144">
        <w:rPr>
          <w:rFonts w:asciiTheme="majorBidi" w:hAnsiTheme="majorBidi" w:cstheme="majorBidi"/>
          <w:color w:val="365F91" w:themeColor="accent1" w:themeShade="BF"/>
          <w:sz w:val="24"/>
          <w:szCs w:val="24"/>
        </w:rPr>
        <w:t xml:space="preserve"> and Ntim et al</w:t>
      </w:r>
      <w:r w:rsidR="00536D17" w:rsidRPr="00B92144">
        <w:rPr>
          <w:rFonts w:asciiTheme="majorBidi" w:hAnsiTheme="majorBidi" w:cstheme="majorBidi"/>
          <w:color w:val="365F91" w:themeColor="accent1" w:themeShade="BF"/>
          <w:sz w:val="24"/>
          <w:szCs w:val="24"/>
        </w:rPr>
        <w:t>., (2013)</w:t>
      </w:r>
      <w:r w:rsidR="001867E6" w:rsidRPr="00B92144">
        <w:rPr>
          <w:rFonts w:asciiTheme="majorBidi" w:hAnsiTheme="majorBidi" w:cstheme="majorBidi"/>
          <w:color w:val="365F91" w:themeColor="accent1" w:themeShade="BF"/>
          <w:sz w:val="24"/>
          <w:szCs w:val="24"/>
        </w:rPr>
        <w:t xml:space="preserve"> </w:t>
      </w:r>
      <w:r w:rsidR="001867E6" w:rsidRPr="00B92144">
        <w:rPr>
          <w:rFonts w:asciiTheme="majorBidi" w:hAnsiTheme="majorBidi" w:cstheme="majorBidi"/>
          <w:sz w:val="24"/>
          <w:szCs w:val="24"/>
        </w:rPr>
        <w:t xml:space="preserve">being </w:t>
      </w:r>
      <w:r w:rsidRPr="00B92144">
        <w:rPr>
          <w:rFonts w:asciiTheme="majorBidi" w:hAnsiTheme="majorBidi" w:cstheme="majorBidi"/>
          <w:sz w:val="24"/>
          <w:szCs w:val="24"/>
        </w:rPr>
        <w:t xml:space="preserve">notable </w:t>
      </w:r>
      <w:r w:rsidR="001867E6" w:rsidRPr="00B92144">
        <w:rPr>
          <w:rFonts w:asciiTheme="majorBidi" w:hAnsiTheme="majorBidi" w:cstheme="majorBidi"/>
          <w:sz w:val="24"/>
          <w:szCs w:val="24"/>
        </w:rPr>
        <w:t xml:space="preserve">exceptions. </w:t>
      </w:r>
      <w:r w:rsidR="00536D17" w:rsidRPr="00B92144">
        <w:rPr>
          <w:rFonts w:asciiTheme="majorBidi" w:hAnsiTheme="majorBidi" w:cstheme="majorBidi"/>
          <w:sz w:val="24"/>
          <w:szCs w:val="24"/>
        </w:rPr>
        <w:t>These</w:t>
      </w:r>
      <w:r w:rsidR="001867E6" w:rsidRPr="00B92144">
        <w:rPr>
          <w:rFonts w:asciiTheme="majorBidi" w:hAnsiTheme="majorBidi" w:cstheme="majorBidi"/>
          <w:sz w:val="24"/>
          <w:szCs w:val="24"/>
        </w:rPr>
        <w:t xml:space="preserve"> studies find that </w:t>
      </w:r>
      <w:r w:rsidR="00A77666" w:rsidRPr="00B92144">
        <w:rPr>
          <w:rFonts w:asciiTheme="majorBidi" w:hAnsiTheme="majorBidi" w:cstheme="majorBidi"/>
          <w:sz w:val="24"/>
          <w:szCs w:val="24"/>
        </w:rPr>
        <w:t>block</w:t>
      </w:r>
      <w:r w:rsidR="00C062B4" w:rsidRPr="00B92144">
        <w:rPr>
          <w:rFonts w:asciiTheme="majorBidi" w:hAnsiTheme="majorBidi" w:cstheme="majorBidi"/>
          <w:sz w:val="24"/>
          <w:szCs w:val="24"/>
        </w:rPr>
        <w:t xml:space="preserve"> </w:t>
      </w:r>
      <w:r w:rsidR="00A77666" w:rsidRPr="00B92144">
        <w:rPr>
          <w:rFonts w:asciiTheme="majorBidi" w:hAnsiTheme="majorBidi" w:cstheme="majorBidi"/>
          <w:sz w:val="24"/>
          <w:szCs w:val="24"/>
        </w:rPr>
        <w:t>ownershi</w:t>
      </w:r>
      <w:r w:rsidR="008150FE" w:rsidRPr="00B92144">
        <w:rPr>
          <w:rFonts w:asciiTheme="majorBidi" w:hAnsiTheme="majorBidi" w:cstheme="majorBidi"/>
          <w:sz w:val="24"/>
          <w:szCs w:val="24"/>
        </w:rPr>
        <w:t>p</w:t>
      </w:r>
      <w:r w:rsidR="001867E6" w:rsidRPr="00B92144">
        <w:rPr>
          <w:rFonts w:asciiTheme="majorBidi" w:hAnsiTheme="majorBidi" w:cstheme="majorBidi"/>
          <w:sz w:val="24"/>
          <w:szCs w:val="24"/>
        </w:rPr>
        <w:t xml:space="preserve"> has a negative effect on </w:t>
      </w:r>
      <w:r w:rsidRPr="00B92144">
        <w:rPr>
          <w:rFonts w:asciiTheme="majorBidi" w:hAnsiTheme="majorBidi" w:cstheme="majorBidi"/>
          <w:sz w:val="24"/>
          <w:szCs w:val="24"/>
        </w:rPr>
        <w:t>risk disclosure</w:t>
      </w:r>
      <w:r w:rsidR="001867E6" w:rsidRPr="00B92144">
        <w:rPr>
          <w:rFonts w:asciiTheme="majorBidi" w:hAnsiTheme="majorBidi" w:cstheme="majorBidi"/>
          <w:sz w:val="24"/>
          <w:szCs w:val="24"/>
        </w:rPr>
        <w:t xml:space="preserve">. Thus, our hypothesis is </w:t>
      </w:r>
      <w:r w:rsidR="008150FE" w:rsidRPr="00B92144">
        <w:rPr>
          <w:rFonts w:asciiTheme="majorBidi" w:hAnsiTheme="majorBidi" w:cstheme="majorBidi"/>
          <w:sz w:val="24"/>
          <w:szCs w:val="24"/>
        </w:rPr>
        <w:t>s</w:t>
      </w:r>
      <w:r w:rsidR="001867E6" w:rsidRPr="00B92144">
        <w:rPr>
          <w:rFonts w:asciiTheme="majorBidi" w:hAnsiTheme="majorBidi" w:cstheme="majorBidi"/>
          <w:sz w:val="24"/>
          <w:szCs w:val="24"/>
        </w:rPr>
        <w:t>t</w:t>
      </w:r>
      <w:r w:rsidR="008150FE" w:rsidRPr="00B92144">
        <w:rPr>
          <w:rFonts w:asciiTheme="majorBidi" w:hAnsiTheme="majorBidi" w:cstheme="majorBidi"/>
          <w:sz w:val="24"/>
          <w:szCs w:val="24"/>
        </w:rPr>
        <w:t>ated as follows</w:t>
      </w:r>
      <w:r w:rsidR="001867E6" w:rsidRPr="00B92144">
        <w:rPr>
          <w:rFonts w:asciiTheme="majorBidi" w:hAnsiTheme="majorBidi" w:cstheme="majorBidi"/>
          <w:sz w:val="24"/>
          <w:szCs w:val="24"/>
        </w:rPr>
        <w:t>:</w:t>
      </w:r>
    </w:p>
    <w:p w14:paraId="02C49B7F" w14:textId="2A074992" w:rsidR="00E76E6A" w:rsidRPr="00B92144" w:rsidRDefault="001867E6" w:rsidP="00A7568D">
      <w:pPr>
        <w:spacing w:after="120" w:line="360" w:lineRule="auto"/>
        <w:jc w:val="both"/>
        <w:rPr>
          <w:rFonts w:asciiTheme="majorBidi" w:hAnsiTheme="majorBidi" w:cstheme="majorBidi"/>
          <w:i/>
          <w:iCs/>
          <w:sz w:val="24"/>
          <w:szCs w:val="24"/>
        </w:rPr>
      </w:pPr>
      <w:r w:rsidRPr="00B92144">
        <w:rPr>
          <w:rFonts w:asciiTheme="majorBidi" w:hAnsiTheme="majorBidi" w:cstheme="majorBidi"/>
          <w:i/>
          <w:iCs/>
          <w:sz w:val="24"/>
          <w:szCs w:val="24"/>
        </w:rPr>
        <w:t>H</w:t>
      </w:r>
      <w:r w:rsidR="008150FE" w:rsidRPr="00B92144">
        <w:rPr>
          <w:rFonts w:asciiTheme="majorBidi" w:hAnsiTheme="majorBidi" w:cstheme="majorBidi"/>
          <w:i/>
          <w:iCs/>
          <w:sz w:val="24"/>
          <w:szCs w:val="24"/>
        </w:rPr>
        <w:t>7.</w:t>
      </w:r>
      <w:r w:rsidRPr="00B92144">
        <w:rPr>
          <w:rFonts w:asciiTheme="majorBidi" w:hAnsiTheme="majorBidi" w:cstheme="majorBidi"/>
          <w:i/>
          <w:iCs/>
          <w:sz w:val="24"/>
          <w:szCs w:val="24"/>
        </w:rPr>
        <w:t xml:space="preserve"> There is a negative association between block ownership and the extent of</w:t>
      </w:r>
      <w:r w:rsidR="008150FE" w:rsidRPr="00B92144">
        <w:rPr>
          <w:rFonts w:asciiTheme="majorBidi" w:hAnsiTheme="majorBidi" w:cstheme="majorBidi"/>
          <w:i/>
          <w:iCs/>
          <w:sz w:val="24"/>
          <w:szCs w:val="24"/>
        </w:rPr>
        <w:t xml:space="preserve"> bank</w:t>
      </w:r>
      <w:r w:rsidRPr="00B92144">
        <w:rPr>
          <w:rFonts w:asciiTheme="majorBidi" w:hAnsiTheme="majorBidi" w:cstheme="majorBidi"/>
          <w:i/>
          <w:iCs/>
          <w:sz w:val="24"/>
          <w:szCs w:val="24"/>
        </w:rPr>
        <w:t xml:space="preserve"> risk disclosure.</w:t>
      </w:r>
    </w:p>
    <w:p w14:paraId="6F50ADA3" w14:textId="77777777" w:rsidR="00A273B5" w:rsidRPr="00B92144" w:rsidRDefault="00A273B5" w:rsidP="00A7568D">
      <w:pPr>
        <w:spacing w:after="120" w:line="360" w:lineRule="auto"/>
        <w:jc w:val="both"/>
        <w:rPr>
          <w:rFonts w:asciiTheme="majorBidi" w:hAnsiTheme="majorBidi" w:cstheme="majorBidi"/>
          <w:i/>
          <w:iCs/>
          <w:sz w:val="24"/>
          <w:szCs w:val="24"/>
        </w:rPr>
      </w:pPr>
    </w:p>
    <w:p w14:paraId="28F4E58C" w14:textId="5CF9F5FF" w:rsidR="00A30066" w:rsidRPr="00B92144" w:rsidRDefault="00A7568D" w:rsidP="00A7568D">
      <w:pPr>
        <w:pStyle w:val="ListParagraph"/>
        <w:numPr>
          <w:ilvl w:val="0"/>
          <w:numId w:val="4"/>
        </w:numPr>
        <w:autoSpaceDE w:val="0"/>
        <w:autoSpaceDN w:val="0"/>
        <w:adjustRightInd w:val="0"/>
        <w:spacing w:after="120" w:line="360" w:lineRule="auto"/>
        <w:rPr>
          <w:rFonts w:asciiTheme="majorBidi" w:hAnsiTheme="majorBidi" w:cstheme="majorBidi"/>
          <w:sz w:val="24"/>
          <w:szCs w:val="24"/>
          <w:u w:val="single"/>
        </w:rPr>
      </w:pPr>
      <w:r w:rsidRPr="00B92144">
        <w:rPr>
          <w:rFonts w:asciiTheme="majorBidi" w:hAnsiTheme="majorBidi" w:cstheme="majorBidi"/>
          <w:sz w:val="24"/>
          <w:szCs w:val="24"/>
          <w:u w:val="single"/>
        </w:rPr>
        <w:t>F</w:t>
      </w:r>
      <w:r w:rsidR="00A30066" w:rsidRPr="00B92144">
        <w:rPr>
          <w:rFonts w:asciiTheme="majorBidi" w:hAnsiTheme="majorBidi" w:cstheme="majorBidi"/>
          <w:sz w:val="24"/>
          <w:szCs w:val="24"/>
          <w:u w:val="single"/>
        </w:rPr>
        <w:t>oreign ownership</w:t>
      </w:r>
      <w:r w:rsidR="00015898" w:rsidRPr="00B92144">
        <w:rPr>
          <w:rFonts w:asciiTheme="majorBidi" w:hAnsiTheme="majorBidi" w:cstheme="majorBidi"/>
          <w:sz w:val="24"/>
          <w:szCs w:val="24"/>
          <w:u w:val="single"/>
        </w:rPr>
        <w:t xml:space="preserve"> and RRD</w:t>
      </w:r>
    </w:p>
    <w:p w14:paraId="3B894E15" w14:textId="14DF193E" w:rsidR="00D722BF" w:rsidRPr="00B92144" w:rsidRDefault="009247EC" w:rsidP="00A6081F">
      <w:pPr>
        <w:autoSpaceDE w:val="0"/>
        <w:autoSpaceDN w:val="0"/>
        <w:adjustRightInd w:val="0"/>
        <w:spacing w:after="12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It is </w:t>
      </w:r>
      <w:r w:rsidR="001673AD" w:rsidRPr="00B92144">
        <w:rPr>
          <w:rFonts w:asciiTheme="majorBidi" w:hAnsiTheme="majorBidi" w:cstheme="majorBidi"/>
          <w:sz w:val="24"/>
          <w:szCs w:val="24"/>
        </w:rPr>
        <w:t>widely held</w:t>
      </w:r>
      <w:r w:rsidRPr="00B92144">
        <w:rPr>
          <w:rFonts w:asciiTheme="majorBidi" w:hAnsiTheme="majorBidi" w:cstheme="majorBidi"/>
          <w:sz w:val="24"/>
          <w:szCs w:val="24"/>
        </w:rPr>
        <w:t xml:space="preserve"> that foreign investors are more sophisticated </w:t>
      </w:r>
      <w:r w:rsidR="001673AD" w:rsidRPr="00B92144">
        <w:rPr>
          <w:rFonts w:asciiTheme="majorBidi" w:hAnsiTheme="majorBidi" w:cstheme="majorBidi"/>
          <w:sz w:val="24"/>
          <w:szCs w:val="24"/>
        </w:rPr>
        <w:t xml:space="preserve">than local investors </w:t>
      </w:r>
      <w:r w:rsidRPr="00B92144">
        <w:rPr>
          <w:rFonts w:asciiTheme="majorBidi" w:hAnsiTheme="majorBidi" w:cstheme="majorBidi"/>
          <w:sz w:val="24"/>
          <w:szCs w:val="24"/>
        </w:rPr>
        <w:t xml:space="preserve">due to their quality and advanced knowledge about trading and </w:t>
      </w:r>
      <w:r w:rsidR="00F34418" w:rsidRPr="00B92144">
        <w:rPr>
          <w:rFonts w:asciiTheme="majorBidi" w:hAnsiTheme="majorBidi" w:cstheme="majorBidi"/>
          <w:sz w:val="24"/>
          <w:szCs w:val="24"/>
        </w:rPr>
        <w:t xml:space="preserve">financial </w:t>
      </w:r>
      <w:r w:rsidRPr="00B92144">
        <w:rPr>
          <w:rFonts w:asciiTheme="majorBidi" w:hAnsiTheme="majorBidi" w:cstheme="majorBidi"/>
          <w:sz w:val="24"/>
          <w:szCs w:val="24"/>
        </w:rPr>
        <w:t xml:space="preserve">market regulations. </w:t>
      </w:r>
      <w:r w:rsidR="00A6081F" w:rsidRPr="00B92144">
        <w:rPr>
          <w:rFonts w:asciiTheme="majorBidi" w:hAnsiTheme="majorBidi" w:cstheme="majorBidi"/>
          <w:color w:val="365F91" w:themeColor="accent1" w:themeShade="BF"/>
          <w:sz w:val="24"/>
          <w:szCs w:val="24"/>
        </w:rPr>
        <w:t>Choi</w:t>
      </w:r>
      <w:r w:rsidR="001673AD" w:rsidRPr="00B92144">
        <w:rPr>
          <w:rFonts w:asciiTheme="majorBidi" w:hAnsiTheme="majorBidi" w:cstheme="majorBidi"/>
          <w:color w:val="365F91" w:themeColor="accent1" w:themeShade="BF"/>
          <w:sz w:val="24"/>
          <w:szCs w:val="24"/>
        </w:rPr>
        <w:t xml:space="preserve"> et al, (201</w:t>
      </w:r>
      <w:r w:rsidR="00776597" w:rsidRPr="00B92144">
        <w:rPr>
          <w:rFonts w:asciiTheme="majorBidi" w:hAnsiTheme="majorBidi" w:cstheme="majorBidi"/>
          <w:color w:val="365F91" w:themeColor="accent1" w:themeShade="BF"/>
          <w:sz w:val="24"/>
          <w:szCs w:val="24"/>
        </w:rPr>
        <w:t>3</w:t>
      </w:r>
      <w:r w:rsidR="001673AD" w:rsidRPr="00B92144">
        <w:rPr>
          <w:rFonts w:asciiTheme="majorBidi" w:hAnsiTheme="majorBidi" w:cstheme="majorBidi"/>
          <w:color w:val="365F91" w:themeColor="accent1" w:themeShade="BF"/>
          <w:sz w:val="24"/>
          <w:szCs w:val="24"/>
        </w:rPr>
        <w:t xml:space="preserve">) </w:t>
      </w:r>
      <w:r w:rsidR="001673AD" w:rsidRPr="00B92144">
        <w:rPr>
          <w:rFonts w:asciiTheme="majorBidi" w:hAnsiTheme="majorBidi" w:cstheme="majorBidi"/>
          <w:sz w:val="24"/>
          <w:szCs w:val="24"/>
        </w:rPr>
        <w:t xml:space="preserve">contend that an increase in foreign ownership leads to </w:t>
      </w:r>
      <w:r w:rsidR="00F34418" w:rsidRPr="00B92144">
        <w:rPr>
          <w:rFonts w:asciiTheme="majorBidi" w:hAnsiTheme="majorBidi" w:cstheme="majorBidi"/>
          <w:sz w:val="24"/>
          <w:szCs w:val="24"/>
        </w:rPr>
        <w:t>a rise in</w:t>
      </w:r>
      <w:r w:rsidRPr="00B92144">
        <w:rPr>
          <w:rFonts w:asciiTheme="majorBidi" w:hAnsiTheme="majorBidi" w:cstheme="majorBidi"/>
          <w:sz w:val="24"/>
          <w:szCs w:val="24"/>
        </w:rPr>
        <w:t xml:space="preserve"> shareholder activism</w:t>
      </w:r>
      <w:r w:rsidR="001673AD" w:rsidRPr="00B92144">
        <w:rPr>
          <w:rFonts w:asciiTheme="majorBidi" w:hAnsiTheme="majorBidi" w:cstheme="majorBidi"/>
          <w:sz w:val="24"/>
          <w:szCs w:val="24"/>
        </w:rPr>
        <w:t xml:space="preserve"> </w:t>
      </w:r>
      <w:r w:rsidR="00FA4617" w:rsidRPr="00B92144">
        <w:rPr>
          <w:rFonts w:asciiTheme="majorBidi" w:hAnsiTheme="majorBidi" w:cstheme="majorBidi"/>
          <w:sz w:val="24"/>
          <w:szCs w:val="24"/>
        </w:rPr>
        <w:t xml:space="preserve">and </w:t>
      </w:r>
      <w:r w:rsidR="00F34418" w:rsidRPr="00B92144">
        <w:rPr>
          <w:rFonts w:asciiTheme="majorBidi" w:hAnsiTheme="majorBidi" w:cstheme="majorBidi"/>
          <w:sz w:val="24"/>
          <w:szCs w:val="24"/>
        </w:rPr>
        <w:t xml:space="preserve">to an </w:t>
      </w:r>
      <w:r w:rsidR="001673AD" w:rsidRPr="00B92144">
        <w:rPr>
          <w:rFonts w:asciiTheme="majorBidi" w:hAnsiTheme="majorBidi" w:cstheme="majorBidi"/>
          <w:sz w:val="24"/>
          <w:szCs w:val="24"/>
        </w:rPr>
        <w:t>improv</w:t>
      </w:r>
      <w:r w:rsidR="00F34418" w:rsidRPr="00B92144">
        <w:rPr>
          <w:rFonts w:asciiTheme="majorBidi" w:hAnsiTheme="majorBidi" w:cstheme="majorBidi"/>
          <w:sz w:val="24"/>
          <w:szCs w:val="24"/>
        </w:rPr>
        <w:t xml:space="preserve">ement in </w:t>
      </w:r>
      <w:r w:rsidRPr="00B92144">
        <w:rPr>
          <w:rFonts w:asciiTheme="majorBidi" w:hAnsiTheme="majorBidi" w:cstheme="majorBidi"/>
          <w:sz w:val="24"/>
          <w:szCs w:val="24"/>
        </w:rPr>
        <w:t xml:space="preserve">board </w:t>
      </w:r>
      <w:r w:rsidR="00F34418" w:rsidRPr="00B92144">
        <w:rPr>
          <w:rFonts w:asciiTheme="majorBidi" w:hAnsiTheme="majorBidi" w:cstheme="majorBidi"/>
          <w:sz w:val="24"/>
          <w:szCs w:val="24"/>
        </w:rPr>
        <w:t>composition</w:t>
      </w:r>
      <w:r w:rsidR="00FA4617" w:rsidRPr="00B92144">
        <w:rPr>
          <w:rFonts w:asciiTheme="majorBidi" w:hAnsiTheme="majorBidi" w:cstheme="majorBidi"/>
          <w:sz w:val="24"/>
          <w:szCs w:val="24"/>
        </w:rPr>
        <w:t xml:space="preserve">. </w:t>
      </w:r>
      <w:r w:rsidR="00F34418" w:rsidRPr="00B92144">
        <w:rPr>
          <w:rFonts w:asciiTheme="majorBidi" w:hAnsiTheme="majorBidi" w:cstheme="majorBidi"/>
          <w:sz w:val="24"/>
          <w:szCs w:val="24"/>
        </w:rPr>
        <w:t xml:space="preserve">In this case, </w:t>
      </w:r>
      <w:r w:rsidR="00C85951" w:rsidRPr="00B92144">
        <w:rPr>
          <w:rFonts w:asciiTheme="majorBidi" w:hAnsiTheme="majorBidi" w:cstheme="majorBidi"/>
          <w:sz w:val="24"/>
          <w:szCs w:val="24"/>
        </w:rPr>
        <w:t xml:space="preserve">local </w:t>
      </w:r>
      <w:r w:rsidR="00F34418" w:rsidRPr="00B92144">
        <w:rPr>
          <w:rFonts w:asciiTheme="majorBidi" w:hAnsiTheme="majorBidi" w:cstheme="majorBidi"/>
          <w:sz w:val="24"/>
          <w:szCs w:val="24"/>
        </w:rPr>
        <w:t xml:space="preserve">firms </w:t>
      </w:r>
      <w:r w:rsidR="00C85951" w:rsidRPr="00B92144">
        <w:rPr>
          <w:rFonts w:asciiTheme="majorBidi" w:hAnsiTheme="majorBidi" w:cstheme="majorBidi"/>
          <w:sz w:val="24"/>
          <w:szCs w:val="24"/>
        </w:rPr>
        <w:t>are subject to</w:t>
      </w:r>
      <w:r w:rsidR="00F34418" w:rsidRPr="00B92144">
        <w:rPr>
          <w:rFonts w:asciiTheme="majorBidi" w:hAnsiTheme="majorBidi" w:cstheme="majorBidi"/>
          <w:sz w:val="24"/>
          <w:szCs w:val="24"/>
        </w:rPr>
        <w:t xml:space="preserve"> </w:t>
      </w:r>
      <w:r w:rsidR="000662A2" w:rsidRPr="00B92144">
        <w:rPr>
          <w:rFonts w:asciiTheme="majorBidi" w:hAnsiTheme="majorBidi" w:cstheme="majorBidi"/>
          <w:sz w:val="24"/>
          <w:szCs w:val="24"/>
        </w:rPr>
        <w:t>great</w:t>
      </w:r>
      <w:r w:rsidR="00C85951" w:rsidRPr="00B92144">
        <w:rPr>
          <w:rFonts w:asciiTheme="majorBidi" w:hAnsiTheme="majorBidi" w:cstheme="majorBidi"/>
          <w:sz w:val="24"/>
          <w:szCs w:val="24"/>
        </w:rPr>
        <w:t>er monitoring</w:t>
      </w:r>
      <w:r w:rsidR="001673AD" w:rsidRPr="00B92144">
        <w:rPr>
          <w:rFonts w:asciiTheme="majorBidi" w:hAnsiTheme="majorBidi" w:cstheme="majorBidi"/>
          <w:sz w:val="24"/>
          <w:szCs w:val="24"/>
        </w:rPr>
        <w:t xml:space="preserve"> </w:t>
      </w:r>
      <w:r w:rsidR="00C85951" w:rsidRPr="00B92144">
        <w:rPr>
          <w:rFonts w:asciiTheme="majorBidi" w:hAnsiTheme="majorBidi" w:cstheme="majorBidi"/>
          <w:sz w:val="24"/>
          <w:szCs w:val="24"/>
        </w:rPr>
        <w:t xml:space="preserve">system </w:t>
      </w:r>
      <w:r w:rsidR="001673AD" w:rsidRPr="00B92144">
        <w:rPr>
          <w:rFonts w:asciiTheme="majorBidi" w:hAnsiTheme="majorBidi" w:cstheme="majorBidi"/>
          <w:sz w:val="24"/>
          <w:szCs w:val="24"/>
        </w:rPr>
        <w:t>and</w:t>
      </w:r>
      <w:r w:rsidRPr="00B92144">
        <w:rPr>
          <w:rFonts w:asciiTheme="majorBidi" w:hAnsiTheme="majorBidi" w:cstheme="majorBidi"/>
          <w:sz w:val="24"/>
          <w:szCs w:val="24"/>
        </w:rPr>
        <w:t xml:space="preserve"> </w:t>
      </w:r>
      <w:r w:rsidR="001673AD" w:rsidRPr="00B92144">
        <w:rPr>
          <w:rFonts w:asciiTheme="majorBidi" w:hAnsiTheme="majorBidi" w:cstheme="majorBidi"/>
          <w:sz w:val="24"/>
          <w:szCs w:val="24"/>
        </w:rPr>
        <w:t xml:space="preserve">more refined </w:t>
      </w:r>
      <w:r w:rsidRPr="00B92144">
        <w:rPr>
          <w:rFonts w:asciiTheme="majorBidi" w:hAnsiTheme="majorBidi" w:cstheme="majorBidi"/>
          <w:sz w:val="24"/>
          <w:szCs w:val="24"/>
        </w:rPr>
        <w:t>valuation methods.</w:t>
      </w:r>
      <w:r w:rsidR="00C85951" w:rsidRPr="00B92144">
        <w:rPr>
          <w:rFonts w:asciiTheme="majorBidi" w:hAnsiTheme="majorBidi" w:cstheme="majorBidi"/>
          <w:sz w:val="24"/>
          <w:szCs w:val="24"/>
        </w:rPr>
        <w:t xml:space="preserve"> Nonetheless,</w:t>
      </w:r>
      <w:r w:rsidR="001673AD" w:rsidRPr="00B92144">
        <w:rPr>
          <w:rFonts w:asciiTheme="majorBidi" w:hAnsiTheme="majorBidi" w:cstheme="majorBidi"/>
          <w:sz w:val="24"/>
          <w:szCs w:val="24"/>
        </w:rPr>
        <w:t xml:space="preserve"> </w:t>
      </w:r>
      <w:r w:rsidR="00C85951" w:rsidRPr="00B92144">
        <w:rPr>
          <w:rFonts w:asciiTheme="majorBidi" w:hAnsiTheme="majorBidi" w:cstheme="majorBidi"/>
          <w:sz w:val="24"/>
          <w:szCs w:val="24"/>
        </w:rPr>
        <w:t>f</w:t>
      </w:r>
      <w:r w:rsidR="00771857" w:rsidRPr="00B92144">
        <w:rPr>
          <w:rFonts w:asciiTheme="majorBidi" w:hAnsiTheme="majorBidi" w:cstheme="majorBidi"/>
          <w:sz w:val="24"/>
          <w:szCs w:val="24"/>
        </w:rPr>
        <w:t xml:space="preserve">oreign investors </w:t>
      </w:r>
      <w:r w:rsidR="00F9709E" w:rsidRPr="00B92144">
        <w:rPr>
          <w:rFonts w:asciiTheme="majorBidi" w:hAnsiTheme="majorBidi" w:cstheme="majorBidi"/>
          <w:sz w:val="24"/>
          <w:szCs w:val="24"/>
        </w:rPr>
        <w:t>are at an information disadvantage compared with domestic investors (</w:t>
      </w:r>
      <w:r w:rsidR="00F9709E" w:rsidRPr="00B92144">
        <w:rPr>
          <w:rFonts w:asciiTheme="majorBidi" w:hAnsiTheme="majorBidi" w:cstheme="majorBidi"/>
          <w:color w:val="365F91" w:themeColor="accent1" w:themeShade="BF"/>
          <w:sz w:val="24"/>
          <w:szCs w:val="24"/>
        </w:rPr>
        <w:t>Choe et al., 2005</w:t>
      </w:r>
      <w:r w:rsidR="00F9709E" w:rsidRPr="00B92144">
        <w:rPr>
          <w:rFonts w:asciiTheme="majorBidi" w:hAnsiTheme="majorBidi" w:cstheme="majorBidi"/>
          <w:sz w:val="24"/>
          <w:szCs w:val="24"/>
        </w:rPr>
        <w:t>).</w:t>
      </w:r>
      <w:r w:rsidR="0059485C" w:rsidRPr="00B92144">
        <w:rPr>
          <w:rFonts w:asciiTheme="majorBidi" w:hAnsiTheme="majorBidi" w:cstheme="majorBidi"/>
          <w:sz w:val="24"/>
          <w:szCs w:val="24"/>
        </w:rPr>
        <w:t xml:space="preserve"> Indeed, </w:t>
      </w:r>
      <w:r w:rsidR="00C13E5F" w:rsidRPr="00B92144">
        <w:rPr>
          <w:rFonts w:asciiTheme="majorBidi" w:hAnsiTheme="majorBidi" w:cstheme="majorBidi"/>
          <w:color w:val="365F91" w:themeColor="accent1" w:themeShade="BF"/>
          <w:sz w:val="24"/>
          <w:szCs w:val="24"/>
        </w:rPr>
        <w:t>Huafang &amp; Jiango, (2007)</w:t>
      </w:r>
      <w:r w:rsidR="00BA1B6A" w:rsidRPr="00B92144">
        <w:rPr>
          <w:rFonts w:asciiTheme="majorBidi" w:hAnsiTheme="majorBidi" w:cstheme="majorBidi"/>
          <w:sz w:val="24"/>
          <w:szCs w:val="24"/>
        </w:rPr>
        <w:t xml:space="preserve"> </w:t>
      </w:r>
      <w:r w:rsidR="00D75763" w:rsidRPr="00B92144">
        <w:rPr>
          <w:rFonts w:asciiTheme="majorBidi" w:hAnsiTheme="majorBidi" w:cstheme="majorBidi"/>
          <w:sz w:val="24"/>
          <w:szCs w:val="24"/>
        </w:rPr>
        <w:t>argue that due to space and language barriers, foreign shareholders suffer from a higher level of information asymmetry.</w:t>
      </w:r>
      <w:r w:rsidR="00842C0F" w:rsidRPr="00B92144">
        <w:rPr>
          <w:rFonts w:asciiTheme="majorBidi" w:hAnsiTheme="majorBidi" w:cstheme="majorBidi"/>
          <w:sz w:val="24"/>
          <w:szCs w:val="24"/>
        </w:rPr>
        <w:t xml:space="preserve"> If so, foreign investors would </w:t>
      </w:r>
      <w:r w:rsidR="008319AC" w:rsidRPr="00B92144">
        <w:rPr>
          <w:rFonts w:asciiTheme="majorBidi" w:hAnsiTheme="majorBidi" w:cstheme="majorBidi"/>
          <w:sz w:val="24"/>
          <w:szCs w:val="24"/>
        </w:rPr>
        <w:t xml:space="preserve">associate themselves with firms </w:t>
      </w:r>
      <w:r w:rsidR="00403B06" w:rsidRPr="00B92144">
        <w:rPr>
          <w:rFonts w:asciiTheme="majorBidi" w:hAnsiTheme="majorBidi" w:cstheme="majorBidi"/>
          <w:sz w:val="24"/>
          <w:szCs w:val="24"/>
        </w:rPr>
        <w:t xml:space="preserve">offering </w:t>
      </w:r>
      <w:r w:rsidR="008319AC" w:rsidRPr="00B92144">
        <w:rPr>
          <w:rFonts w:asciiTheme="majorBidi" w:hAnsiTheme="majorBidi" w:cstheme="majorBidi"/>
          <w:sz w:val="24"/>
          <w:szCs w:val="24"/>
        </w:rPr>
        <w:t>a rich information environment</w:t>
      </w:r>
      <w:r w:rsidR="009B380C" w:rsidRPr="00B92144">
        <w:rPr>
          <w:rFonts w:asciiTheme="majorBidi" w:hAnsiTheme="majorBidi" w:cstheme="majorBidi"/>
          <w:sz w:val="24"/>
          <w:szCs w:val="24"/>
        </w:rPr>
        <w:t xml:space="preserve"> (</w:t>
      </w:r>
      <w:r w:rsidR="009B380C" w:rsidRPr="00B92144">
        <w:rPr>
          <w:rFonts w:asciiTheme="majorBidi" w:hAnsiTheme="majorBidi" w:cstheme="majorBidi"/>
          <w:color w:val="365F91" w:themeColor="accent1" w:themeShade="BF"/>
          <w:sz w:val="24"/>
          <w:szCs w:val="24"/>
        </w:rPr>
        <w:t>Jiang &amp; Kim, 2004</w:t>
      </w:r>
      <w:r w:rsidR="009B380C" w:rsidRPr="00B92144">
        <w:rPr>
          <w:rFonts w:asciiTheme="majorBidi" w:hAnsiTheme="majorBidi" w:cstheme="majorBidi"/>
          <w:sz w:val="24"/>
          <w:szCs w:val="24"/>
        </w:rPr>
        <w:t>)</w:t>
      </w:r>
      <w:r w:rsidR="00403B06" w:rsidRPr="00B92144">
        <w:rPr>
          <w:rFonts w:asciiTheme="majorBidi" w:hAnsiTheme="majorBidi" w:cstheme="majorBidi"/>
          <w:sz w:val="24"/>
          <w:szCs w:val="24"/>
        </w:rPr>
        <w:t xml:space="preserve">. On these terms, </w:t>
      </w:r>
      <w:r w:rsidR="00C85951" w:rsidRPr="00B92144">
        <w:rPr>
          <w:rFonts w:asciiTheme="majorBidi" w:hAnsiTheme="majorBidi" w:cstheme="majorBidi"/>
          <w:sz w:val="24"/>
          <w:szCs w:val="24"/>
        </w:rPr>
        <w:t>pressure mounts to the directors to enhance corporate transparency and</w:t>
      </w:r>
      <w:r w:rsidR="00403B06" w:rsidRPr="00B92144">
        <w:rPr>
          <w:rFonts w:asciiTheme="majorBidi" w:hAnsiTheme="majorBidi" w:cstheme="majorBidi"/>
          <w:sz w:val="24"/>
          <w:szCs w:val="24"/>
        </w:rPr>
        <w:t xml:space="preserve"> </w:t>
      </w:r>
      <w:r w:rsidR="00C85951" w:rsidRPr="00B92144">
        <w:rPr>
          <w:rFonts w:asciiTheme="majorBidi" w:hAnsiTheme="majorBidi" w:cstheme="majorBidi"/>
          <w:sz w:val="24"/>
          <w:szCs w:val="24"/>
        </w:rPr>
        <w:t>provide</w:t>
      </w:r>
      <w:r w:rsidR="00403B06" w:rsidRPr="00B92144">
        <w:rPr>
          <w:rFonts w:asciiTheme="majorBidi" w:hAnsiTheme="majorBidi" w:cstheme="majorBidi"/>
          <w:sz w:val="24"/>
          <w:szCs w:val="24"/>
        </w:rPr>
        <w:t xml:space="preserve"> </w:t>
      </w:r>
      <w:r w:rsidR="00916DC3" w:rsidRPr="00B92144">
        <w:rPr>
          <w:rFonts w:asciiTheme="majorBidi" w:hAnsiTheme="majorBidi" w:cstheme="majorBidi"/>
          <w:sz w:val="24"/>
          <w:szCs w:val="24"/>
        </w:rPr>
        <w:t>high quality accounting information</w:t>
      </w:r>
      <w:r w:rsidR="00C85951" w:rsidRPr="00B92144">
        <w:rPr>
          <w:rFonts w:asciiTheme="majorBidi" w:hAnsiTheme="majorBidi" w:cstheme="majorBidi"/>
          <w:sz w:val="24"/>
          <w:szCs w:val="24"/>
        </w:rPr>
        <w:t xml:space="preserve"> including </w:t>
      </w:r>
      <w:r w:rsidR="00410EDE" w:rsidRPr="00B92144">
        <w:rPr>
          <w:rFonts w:asciiTheme="majorBidi" w:hAnsiTheme="majorBidi" w:cstheme="majorBidi"/>
          <w:sz w:val="24"/>
          <w:szCs w:val="24"/>
        </w:rPr>
        <w:t>RRD</w:t>
      </w:r>
      <w:r w:rsidR="00403B06" w:rsidRPr="00B92144">
        <w:rPr>
          <w:rFonts w:asciiTheme="majorBidi" w:hAnsiTheme="majorBidi" w:cstheme="majorBidi"/>
          <w:sz w:val="24"/>
          <w:szCs w:val="24"/>
        </w:rPr>
        <w:t xml:space="preserve"> </w:t>
      </w:r>
      <w:r w:rsidR="00626BDD" w:rsidRPr="00B92144">
        <w:rPr>
          <w:rFonts w:asciiTheme="majorBidi" w:hAnsiTheme="majorBidi" w:cstheme="majorBidi"/>
          <w:sz w:val="24"/>
          <w:szCs w:val="24"/>
        </w:rPr>
        <w:t>(</w:t>
      </w:r>
      <w:r w:rsidR="00626BDD" w:rsidRPr="00B92144">
        <w:rPr>
          <w:rFonts w:asciiTheme="majorBidi" w:hAnsiTheme="majorBidi" w:cstheme="majorBidi"/>
          <w:color w:val="365F91" w:themeColor="accent1" w:themeShade="BF"/>
          <w:sz w:val="24"/>
          <w:szCs w:val="24"/>
        </w:rPr>
        <w:t xml:space="preserve">Sami </w:t>
      </w:r>
      <w:r w:rsidR="00E05652" w:rsidRPr="00B92144">
        <w:rPr>
          <w:rFonts w:asciiTheme="majorBidi" w:hAnsiTheme="majorBidi" w:cstheme="majorBidi"/>
          <w:color w:val="365F91" w:themeColor="accent1" w:themeShade="BF"/>
          <w:sz w:val="24"/>
          <w:szCs w:val="24"/>
        </w:rPr>
        <w:t>&amp;</w:t>
      </w:r>
      <w:r w:rsidR="00626BDD" w:rsidRPr="00B92144">
        <w:rPr>
          <w:rFonts w:asciiTheme="majorBidi" w:hAnsiTheme="majorBidi" w:cstheme="majorBidi"/>
          <w:color w:val="365F91" w:themeColor="accent1" w:themeShade="BF"/>
          <w:sz w:val="24"/>
          <w:szCs w:val="24"/>
        </w:rPr>
        <w:t xml:space="preserve"> Zhou, 2004</w:t>
      </w:r>
      <w:r w:rsidR="00C85951" w:rsidRPr="00B92144">
        <w:rPr>
          <w:rFonts w:asciiTheme="majorBidi" w:hAnsiTheme="majorBidi" w:cstheme="majorBidi"/>
          <w:color w:val="365F91" w:themeColor="accent1" w:themeShade="BF"/>
          <w:sz w:val="24"/>
          <w:szCs w:val="24"/>
        </w:rPr>
        <w:t>; Mohobbot, 2005</w:t>
      </w:r>
      <w:r w:rsidR="00626BDD" w:rsidRPr="00B92144">
        <w:rPr>
          <w:rFonts w:asciiTheme="majorBidi" w:hAnsiTheme="majorBidi" w:cstheme="majorBidi"/>
          <w:sz w:val="24"/>
          <w:szCs w:val="24"/>
        </w:rPr>
        <w:t>)</w:t>
      </w:r>
      <w:r w:rsidR="00916DC3" w:rsidRPr="00B92144">
        <w:rPr>
          <w:rFonts w:asciiTheme="majorBidi" w:hAnsiTheme="majorBidi" w:cstheme="majorBidi"/>
          <w:sz w:val="24"/>
          <w:szCs w:val="24"/>
        </w:rPr>
        <w:t>.</w:t>
      </w:r>
      <w:r w:rsidR="00776597" w:rsidRPr="00B92144">
        <w:rPr>
          <w:rFonts w:asciiTheme="majorBidi" w:hAnsiTheme="majorBidi" w:cstheme="majorBidi"/>
          <w:sz w:val="24"/>
          <w:szCs w:val="24"/>
        </w:rPr>
        <w:t xml:space="preserve"> </w:t>
      </w:r>
      <w:r w:rsidR="00EF2BC5" w:rsidRPr="00B92144">
        <w:rPr>
          <w:rFonts w:asciiTheme="majorBidi" w:hAnsiTheme="majorBidi" w:cstheme="majorBidi"/>
          <w:sz w:val="24"/>
          <w:szCs w:val="24"/>
        </w:rPr>
        <w:t>It follows that information asymmetry should decline with an increase in foreign ownership while there is an increase in general transparency in the market.</w:t>
      </w:r>
    </w:p>
    <w:p w14:paraId="3E21FC15" w14:textId="5E37D656" w:rsidR="007F088B" w:rsidRPr="00B92144" w:rsidRDefault="00D752C0" w:rsidP="007F088B">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Empirical finding on the association between corporate disclosure and foreign ownership are mixed. While </w:t>
      </w:r>
      <w:r w:rsidRPr="00B92144">
        <w:rPr>
          <w:rFonts w:asciiTheme="majorBidi" w:hAnsiTheme="majorBidi" w:cstheme="majorBidi"/>
          <w:color w:val="365F91" w:themeColor="accent1" w:themeShade="BF"/>
          <w:sz w:val="24"/>
          <w:szCs w:val="24"/>
        </w:rPr>
        <w:t xml:space="preserve">Haniffa </w:t>
      </w:r>
      <w:r w:rsidR="00E05652" w:rsidRPr="00B92144">
        <w:rPr>
          <w:rFonts w:asciiTheme="majorBidi" w:hAnsiTheme="majorBidi" w:cstheme="majorBidi"/>
          <w:color w:val="365F91" w:themeColor="accent1" w:themeShade="BF"/>
          <w:sz w:val="24"/>
          <w:szCs w:val="24"/>
        </w:rPr>
        <w:t>&amp;</w:t>
      </w:r>
      <w:r w:rsidRPr="00B92144">
        <w:rPr>
          <w:rFonts w:asciiTheme="majorBidi" w:hAnsiTheme="majorBidi" w:cstheme="majorBidi"/>
          <w:color w:val="365F91" w:themeColor="accent1" w:themeShade="BF"/>
          <w:sz w:val="24"/>
          <w:szCs w:val="24"/>
        </w:rPr>
        <w:t xml:space="preserve"> Cooke (2002) </w:t>
      </w:r>
      <w:r w:rsidRPr="00B92144">
        <w:rPr>
          <w:rFonts w:asciiTheme="majorBidi" w:hAnsiTheme="majorBidi" w:cstheme="majorBidi"/>
          <w:sz w:val="24"/>
          <w:szCs w:val="24"/>
        </w:rPr>
        <w:t xml:space="preserve">and </w:t>
      </w:r>
      <w:r w:rsidRPr="00B92144">
        <w:rPr>
          <w:rFonts w:asciiTheme="majorBidi" w:hAnsiTheme="majorBidi" w:cstheme="majorBidi"/>
          <w:color w:val="365F91" w:themeColor="accent1" w:themeShade="BF"/>
          <w:sz w:val="24"/>
          <w:szCs w:val="24"/>
        </w:rPr>
        <w:t>Barako et al. (2006)</w:t>
      </w:r>
      <w:r w:rsidRPr="00B92144">
        <w:rPr>
          <w:rFonts w:asciiTheme="majorBidi" w:hAnsiTheme="majorBidi" w:cstheme="majorBidi"/>
          <w:sz w:val="24"/>
          <w:szCs w:val="24"/>
        </w:rPr>
        <w:t xml:space="preserve"> </w:t>
      </w:r>
      <w:r w:rsidR="007F088B" w:rsidRPr="00B92144">
        <w:rPr>
          <w:rFonts w:asciiTheme="majorBidi" w:hAnsiTheme="majorBidi" w:cstheme="majorBidi"/>
          <w:sz w:val="24"/>
          <w:szCs w:val="24"/>
        </w:rPr>
        <w:t xml:space="preserve">showed that higher level of foreign ownership increases corporate disclosure, </w:t>
      </w:r>
      <w:r w:rsidRPr="00B92144">
        <w:rPr>
          <w:rFonts w:asciiTheme="majorBidi" w:hAnsiTheme="majorBidi" w:cstheme="majorBidi"/>
          <w:color w:val="365F91" w:themeColor="accent1" w:themeShade="BF"/>
          <w:sz w:val="24"/>
          <w:szCs w:val="24"/>
        </w:rPr>
        <w:t>Mohobbot (2005)</w:t>
      </w:r>
      <w:r w:rsidR="007F088B" w:rsidRPr="00B92144">
        <w:rPr>
          <w:rFonts w:asciiTheme="majorBidi" w:hAnsiTheme="majorBidi" w:cstheme="majorBidi"/>
          <w:color w:val="365F91" w:themeColor="accent1" w:themeShade="BF"/>
          <w:sz w:val="24"/>
          <w:szCs w:val="24"/>
        </w:rPr>
        <w:t>,</w:t>
      </w:r>
      <w:r w:rsidRPr="00B92144">
        <w:rPr>
          <w:rFonts w:asciiTheme="majorBidi" w:hAnsiTheme="majorBidi" w:cstheme="majorBidi"/>
          <w:color w:val="365F91" w:themeColor="accent1" w:themeShade="BF"/>
          <w:sz w:val="24"/>
          <w:szCs w:val="24"/>
        </w:rPr>
        <w:t xml:space="preserve"> </w:t>
      </w:r>
      <w:r w:rsidR="00D722BF" w:rsidRPr="00B92144">
        <w:rPr>
          <w:rFonts w:asciiTheme="majorBidi" w:hAnsiTheme="majorBidi" w:cstheme="majorBidi"/>
          <w:color w:val="365F91" w:themeColor="accent1" w:themeShade="BF"/>
          <w:sz w:val="24"/>
          <w:szCs w:val="24"/>
        </w:rPr>
        <w:t xml:space="preserve">Koshini </w:t>
      </w:r>
      <w:r w:rsidR="00E05652" w:rsidRPr="00B92144">
        <w:rPr>
          <w:rFonts w:asciiTheme="majorBidi" w:hAnsiTheme="majorBidi" w:cstheme="majorBidi"/>
          <w:color w:val="365F91" w:themeColor="accent1" w:themeShade="BF"/>
          <w:sz w:val="24"/>
          <w:szCs w:val="24"/>
        </w:rPr>
        <w:t xml:space="preserve">&amp; </w:t>
      </w:r>
      <w:r w:rsidR="00D722BF" w:rsidRPr="00B92144">
        <w:rPr>
          <w:rFonts w:asciiTheme="majorBidi" w:hAnsiTheme="majorBidi" w:cstheme="majorBidi"/>
          <w:color w:val="365F91" w:themeColor="accent1" w:themeShade="BF"/>
          <w:sz w:val="24"/>
          <w:szCs w:val="24"/>
        </w:rPr>
        <w:t>Ali, (2007)</w:t>
      </w:r>
      <w:r w:rsidR="007F088B" w:rsidRPr="00B92144">
        <w:rPr>
          <w:rFonts w:asciiTheme="majorBidi" w:hAnsiTheme="majorBidi" w:cstheme="majorBidi"/>
          <w:color w:val="365F91" w:themeColor="accent1" w:themeShade="BF"/>
          <w:sz w:val="24"/>
          <w:szCs w:val="24"/>
        </w:rPr>
        <w:t xml:space="preserve"> and </w:t>
      </w:r>
      <w:r w:rsidR="00A86921" w:rsidRPr="00B92144">
        <w:rPr>
          <w:rFonts w:asciiTheme="majorBidi" w:hAnsiTheme="majorBidi" w:cstheme="majorBidi"/>
          <w:color w:val="365F91" w:themeColor="accent1" w:themeShade="BF"/>
          <w:sz w:val="24"/>
          <w:szCs w:val="24"/>
        </w:rPr>
        <w:t>Mousa &amp; Elamir (2014)</w:t>
      </w:r>
      <w:r w:rsidR="00D722BF" w:rsidRPr="00B92144">
        <w:rPr>
          <w:rFonts w:asciiTheme="majorBidi" w:hAnsiTheme="majorBidi" w:cstheme="majorBidi"/>
          <w:sz w:val="24"/>
          <w:szCs w:val="24"/>
        </w:rPr>
        <w:t xml:space="preserve"> found insignificant association between risk </w:t>
      </w:r>
      <w:r w:rsidR="007F088B" w:rsidRPr="00B92144">
        <w:rPr>
          <w:rFonts w:asciiTheme="majorBidi" w:hAnsiTheme="majorBidi" w:cstheme="majorBidi"/>
          <w:sz w:val="24"/>
          <w:szCs w:val="24"/>
        </w:rPr>
        <w:t>related information</w:t>
      </w:r>
      <w:r w:rsidR="00D722BF" w:rsidRPr="00B92144">
        <w:rPr>
          <w:rFonts w:asciiTheme="majorBidi" w:hAnsiTheme="majorBidi" w:cstheme="majorBidi"/>
          <w:sz w:val="24"/>
          <w:szCs w:val="24"/>
        </w:rPr>
        <w:t xml:space="preserve"> and foreign ownership.</w:t>
      </w:r>
      <w:r w:rsidR="007F088B" w:rsidRPr="00B92144">
        <w:rPr>
          <w:rFonts w:asciiTheme="majorBidi" w:hAnsiTheme="majorBidi" w:cstheme="majorBidi"/>
          <w:sz w:val="24"/>
          <w:szCs w:val="24"/>
        </w:rPr>
        <w:t xml:space="preserve"> Hence, we state the following hypothesis:</w:t>
      </w:r>
    </w:p>
    <w:p w14:paraId="34D4C4F1" w14:textId="05223D94" w:rsidR="00A7568D" w:rsidRPr="00B92144" w:rsidRDefault="007F088B" w:rsidP="00A273B5">
      <w:pPr>
        <w:autoSpaceDE w:val="0"/>
        <w:autoSpaceDN w:val="0"/>
        <w:adjustRightInd w:val="0"/>
        <w:spacing w:before="120" w:after="0" w:line="360" w:lineRule="auto"/>
        <w:jc w:val="both"/>
        <w:rPr>
          <w:rFonts w:asciiTheme="majorBidi" w:hAnsiTheme="majorBidi" w:cstheme="majorBidi"/>
          <w:i/>
          <w:iCs/>
          <w:sz w:val="24"/>
          <w:szCs w:val="24"/>
        </w:rPr>
      </w:pPr>
      <w:r w:rsidRPr="00B92144">
        <w:rPr>
          <w:rFonts w:asciiTheme="majorBidi" w:hAnsiTheme="majorBidi" w:cstheme="majorBidi"/>
          <w:i/>
          <w:iCs/>
          <w:sz w:val="24"/>
          <w:szCs w:val="24"/>
        </w:rPr>
        <w:t xml:space="preserve">H8. There is a significant </w:t>
      </w:r>
      <w:r w:rsidR="00584DAC" w:rsidRPr="00B92144">
        <w:rPr>
          <w:rFonts w:asciiTheme="majorBidi" w:hAnsiTheme="majorBidi" w:cstheme="majorBidi"/>
          <w:i/>
          <w:iCs/>
          <w:sz w:val="24"/>
          <w:szCs w:val="24"/>
        </w:rPr>
        <w:t xml:space="preserve">positive </w:t>
      </w:r>
      <w:r w:rsidRPr="00B92144">
        <w:rPr>
          <w:rFonts w:asciiTheme="majorBidi" w:hAnsiTheme="majorBidi" w:cstheme="majorBidi"/>
          <w:i/>
          <w:iCs/>
          <w:sz w:val="24"/>
          <w:szCs w:val="24"/>
        </w:rPr>
        <w:t>association between foreign investors and the extent of bank risk disclosure.</w:t>
      </w:r>
    </w:p>
    <w:p w14:paraId="31795043" w14:textId="07BF72B0" w:rsidR="00660270" w:rsidRPr="00B92144" w:rsidRDefault="00A7568D" w:rsidP="00A7568D">
      <w:pPr>
        <w:pStyle w:val="ListParagraph"/>
        <w:numPr>
          <w:ilvl w:val="0"/>
          <w:numId w:val="4"/>
        </w:numPr>
        <w:spacing w:before="120" w:after="120" w:line="360" w:lineRule="auto"/>
        <w:jc w:val="both"/>
        <w:rPr>
          <w:rFonts w:asciiTheme="majorBidi" w:hAnsiTheme="majorBidi" w:cstheme="majorBidi"/>
          <w:sz w:val="24"/>
          <w:szCs w:val="24"/>
          <w:u w:val="single"/>
        </w:rPr>
      </w:pPr>
      <w:r w:rsidRPr="00B92144">
        <w:rPr>
          <w:rFonts w:asciiTheme="majorBidi" w:hAnsiTheme="majorBidi" w:cstheme="majorBidi"/>
          <w:sz w:val="24"/>
          <w:szCs w:val="24"/>
          <w:u w:val="single"/>
        </w:rPr>
        <w:t>B</w:t>
      </w:r>
      <w:r w:rsidR="00660270" w:rsidRPr="00B92144">
        <w:rPr>
          <w:rFonts w:asciiTheme="majorBidi" w:hAnsiTheme="majorBidi" w:cstheme="majorBidi"/>
          <w:sz w:val="24"/>
          <w:szCs w:val="24"/>
          <w:u w:val="single"/>
        </w:rPr>
        <w:t>oard size</w:t>
      </w:r>
      <w:r w:rsidR="00015898" w:rsidRPr="00B92144">
        <w:rPr>
          <w:rFonts w:asciiTheme="majorBidi" w:hAnsiTheme="majorBidi" w:cstheme="majorBidi"/>
          <w:sz w:val="24"/>
          <w:szCs w:val="24"/>
          <w:u w:val="single"/>
        </w:rPr>
        <w:t xml:space="preserve"> and RRD</w:t>
      </w:r>
    </w:p>
    <w:p w14:paraId="1BA90884" w14:textId="241BF804" w:rsidR="00E76E6A" w:rsidRPr="00B92144" w:rsidRDefault="00287E0D" w:rsidP="00B608F7">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I</w:t>
      </w:r>
      <w:r w:rsidR="00C56A0C" w:rsidRPr="00B92144">
        <w:rPr>
          <w:rFonts w:asciiTheme="majorBidi" w:hAnsiTheme="majorBidi" w:cstheme="majorBidi"/>
          <w:sz w:val="24"/>
          <w:szCs w:val="24"/>
        </w:rPr>
        <w:t xml:space="preserve">t </w:t>
      </w:r>
      <w:r w:rsidR="009E600A" w:rsidRPr="00B92144">
        <w:rPr>
          <w:rFonts w:asciiTheme="majorBidi" w:hAnsiTheme="majorBidi" w:cstheme="majorBidi"/>
          <w:sz w:val="24"/>
          <w:szCs w:val="24"/>
        </w:rPr>
        <w:t xml:space="preserve">is commonly thought that </w:t>
      </w:r>
      <w:r w:rsidRPr="00B92144">
        <w:rPr>
          <w:rFonts w:asciiTheme="majorBidi" w:hAnsiTheme="majorBidi" w:cstheme="majorBidi"/>
          <w:sz w:val="24"/>
          <w:szCs w:val="24"/>
        </w:rPr>
        <w:t xml:space="preserve">corporations may derive greater benefits from a large board of directors.  From an agency theory perspective, larger boards are associated with increased </w:t>
      </w:r>
      <w:r w:rsidRPr="00B92144">
        <w:rPr>
          <w:rFonts w:asciiTheme="majorBidi" w:hAnsiTheme="majorBidi" w:cstheme="majorBidi"/>
          <w:sz w:val="24"/>
          <w:szCs w:val="24"/>
        </w:rPr>
        <w:lastRenderedPageBreak/>
        <w:t>managerial monitoring</w:t>
      </w:r>
      <w:r w:rsidR="00CA676F" w:rsidRPr="00B92144">
        <w:rPr>
          <w:rFonts w:asciiTheme="majorBidi" w:hAnsiTheme="majorBidi" w:cstheme="majorBidi"/>
          <w:sz w:val="24"/>
          <w:szCs w:val="24"/>
        </w:rPr>
        <w:t>, higher performance</w:t>
      </w:r>
      <w:r w:rsidRPr="00B92144">
        <w:rPr>
          <w:rFonts w:asciiTheme="majorBidi" w:hAnsiTheme="majorBidi" w:cstheme="majorBidi"/>
          <w:sz w:val="24"/>
          <w:szCs w:val="24"/>
        </w:rPr>
        <w:t xml:space="preserve"> </w:t>
      </w:r>
      <w:r w:rsidR="000E377B" w:rsidRPr="00B92144">
        <w:rPr>
          <w:rFonts w:asciiTheme="majorBidi" w:hAnsiTheme="majorBidi" w:cstheme="majorBidi"/>
          <w:sz w:val="24"/>
          <w:szCs w:val="24"/>
        </w:rPr>
        <w:t xml:space="preserve">and </w:t>
      </w:r>
      <w:r w:rsidR="00CA676F" w:rsidRPr="00B92144">
        <w:rPr>
          <w:rFonts w:asciiTheme="majorBidi" w:hAnsiTheme="majorBidi" w:cstheme="majorBidi"/>
          <w:sz w:val="24"/>
          <w:szCs w:val="24"/>
        </w:rPr>
        <w:t>better disclosure practice, including risk related information (</w:t>
      </w:r>
      <w:r w:rsidR="00CA676F" w:rsidRPr="00B92144">
        <w:rPr>
          <w:rFonts w:asciiTheme="majorBidi" w:hAnsiTheme="majorBidi" w:cstheme="majorBidi"/>
          <w:color w:val="365F91" w:themeColor="accent1" w:themeShade="BF"/>
          <w:sz w:val="24"/>
          <w:szCs w:val="24"/>
        </w:rPr>
        <w:t>Bozec &amp; Bozec, 2012; Hussainey</w:t>
      </w:r>
      <w:r w:rsidR="003A3AB3" w:rsidRPr="00B92144">
        <w:rPr>
          <w:rFonts w:asciiTheme="majorBidi" w:hAnsiTheme="majorBidi" w:cstheme="majorBidi"/>
        </w:rPr>
        <w:t xml:space="preserve"> </w:t>
      </w:r>
      <w:r w:rsidR="003A3AB3" w:rsidRPr="00B92144">
        <w:rPr>
          <w:rFonts w:asciiTheme="majorBidi" w:hAnsiTheme="majorBidi" w:cstheme="majorBidi"/>
          <w:color w:val="365F91" w:themeColor="accent1" w:themeShade="BF"/>
          <w:sz w:val="24"/>
          <w:szCs w:val="24"/>
        </w:rPr>
        <w:t>&amp; Elzahar</w:t>
      </w:r>
      <w:r w:rsidR="00CA676F" w:rsidRPr="00B92144">
        <w:rPr>
          <w:rFonts w:asciiTheme="majorBidi" w:hAnsiTheme="majorBidi" w:cstheme="majorBidi"/>
          <w:color w:val="365F91" w:themeColor="accent1" w:themeShade="BF"/>
          <w:sz w:val="24"/>
          <w:szCs w:val="24"/>
        </w:rPr>
        <w:t>, 2012</w:t>
      </w:r>
      <w:r w:rsidR="00CA676F" w:rsidRPr="00B92144">
        <w:rPr>
          <w:rFonts w:asciiTheme="majorBidi" w:hAnsiTheme="majorBidi" w:cstheme="majorBidi"/>
          <w:sz w:val="24"/>
          <w:szCs w:val="24"/>
        </w:rPr>
        <w:t xml:space="preserve">). </w:t>
      </w:r>
      <w:r w:rsidR="00E74113" w:rsidRPr="00B92144">
        <w:rPr>
          <w:rFonts w:asciiTheme="majorBidi" w:hAnsiTheme="majorBidi" w:cstheme="majorBidi"/>
          <w:sz w:val="24"/>
          <w:szCs w:val="24"/>
        </w:rPr>
        <w:t xml:space="preserve"> From a resource dependence theory perspective, it is suggested that larger board</w:t>
      </w:r>
      <w:r w:rsidR="00B443F1" w:rsidRPr="00B92144">
        <w:rPr>
          <w:rFonts w:asciiTheme="majorBidi" w:hAnsiTheme="majorBidi" w:cstheme="majorBidi"/>
          <w:sz w:val="24"/>
          <w:szCs w:val="24"/>
        </w:rPr>
        <w:t>s are associated with greater diversity in terms of expertise (</w:t>
      </w:r>
      <w:r w:rsidR="00B443F1" w:rsidRPr="00B92144">
        <w:rPr>
          <w:rFonts w:asciiTheme="majorBidi" w:hAnsiTheme="majorBidi" w:cstheme="majorBidi"/>
          <w:color w:val="365F91" w:themeColor="accent1" w:themeShade="BF"/>
          <w:sz w:val="24"/>
          <w:szCs w:val="24"/>
        </w:rPr>
        <w:t xml:space="preserve">Branco &amp; Rodrigues, 2006; </w:t>
      </w:r>
      <w:r w:rsidR="00B608F7" w:rsidRPr="00B92144">
        <w:rPr>
          <w:rFonts w:asciiTheme="majorBidi" w:hAnsiTheme="majorBidi" w:cstheme="majorBidi"/>
          <w:color w:val="365F91" w:themeColor="accent1" w:themeShade="BF"/>
          <w:sz w:val="24"/>
          <w:szCs w:val="24"/>
        </w:rPr>
        <w:t xml:space="preserve">Linsley &amp; </w:t>
      </w:r>
      <w:r w:rsidR="00B443F1" w:rsidRPr="00B92144">
        <w:rPr>
          <w:rFonts w:asciiTheme="majorBidi" w:hAnsiTheme="majorBidi" w:cstheme="majorBidi"/>
          <w:color w:val="365F91" w:themeColor="accent1" w:themeShade="BF"/>
          <w:sz w:val="24"/>
          <w:szCs w:val="24"/>
        </w:rPr>
        <w:t>Shrives, 2006</w:t>
      </w:r>
      <w:r w:rsidR="00B443F1" w:rsidRPr="00B92144">
        <w:rPr>
          <w:rFonts w:asciiTheme="majorBidi" w:hAnsiTheme="majorBidi" w:cstheme="majorBidi"/>
          <w:sz w:val="24"/>
          <w:szCs w:val="24"/>
        </w:rPr>
        <w:t>) and experience which increases managerial ability to make important and better business decisions (</w:t>
      </w:r>
      <w:r w:rsidR="00B443F1" w:rsidRPr="00B92144">
        <w:rPr>
          <w:rFonts w:asciiTheme="majorBidi" w:hAnsiTheme="majorBidi" w:cstheme="majorBidi"/>
          <w:color w:val="365F91" w:themeColor="accent1" w:themeShade="BF"/>
          <w:sz w:val="24"/>
          <w:szCs w:val="24"/>
        </w:rPr>
        <w:t>Hou &amp; Moore, 2010</w:t>
      </w:r>
      <w:r w:rsidR="00B443F1" w:rsidRPr="00B92144">
        <w:rPr>
          <w:rFonts w:asciiTheme="majorBidi" w:hAnsiTheme="majorBidi" w:cstheme="majorBidi"/>
          <w:sz w:val="24"/>
          <w:szCs w:val="24"/>
        </w:rPr>
        <w:t>)</w:t>
      </w:r>
      <w:r w:rsidR="00CD524C" w:rsidRPr="00B92144">
        <w:rPr>
          <w:rFonts w:asciiTheme="majorBidi" w:hAnsiTheme="majorBidi" w:cstheme="majorBidi"/>
          <w:sz w:val="24"/>
          <w:szCs w:val="24"/>
        </w:rPr>
        <w:t xml:space="preserve">. </w:t>
      </w:r>
    </w:p>
    <w:p w14:paraId="5F2F8754" w14:textId="03F6E9A5" w:rsidR="00C3478A" w:rsidRPr="00B92144" w:rsidRDefault="00CD524C" w:rsidP="00410EDE">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As it is, larger boards </w:t>
      </w:r>
      <w:r w:rsidR="00B443F1" w:rsidRPr="00B92144">
        <w:rPr>
          <w:rFonts w:asciiTheme="majorBidi" w:hAnsiTheme="majorBidi" w:cstheme="majorBidi"/>
          <w:sz w:val="24"/>
          <w:szCs w:val="24"/>
        </w:rPr>
        <w:t xml:space="preserve">bring greater </w:t>
      </w:r>
      <w:r w:rsidRPr="00B92144">
        <w:rPr>
          <w:rFonts w:asciiTheme="majorBidi" w:hAnsiTheme="majorBidi" w:cstheme="majorBidi"/>
          <w:sz w:val="24"/>
          <w:szCs w:val="24"/>
        </w:rPr>
        <w:t xml:space="preserve">networking </w:t>
      </w:r>
      <w:r w:rsidR="00B443F1" w:rsidRPr="00B92144">
        <w:rPr>
          <w:rFonts w:asciiTheme="majorBidi" w:hAnsiTheme="majorBidi" w:cstheme="majorBidi"/>
          <w:sz w:val="24"/>
          <w:szCs w:val="24"/>
        </w:rPr>
        <w:t>opportunit</w:t>
      </w:r>
      <w:r w:rsidRPr="00B92144">
        <w:rPr>
          <w:rFonts w:asciiTheme="majorBidi" w:hAnsiTheme="majorBidi" w:cstheme="majorBidi"/>
          <w:sz w:val="24"/>
          <w:szCs w:val="24"/>
        </w:rPr>
        <w:t>ies,</w:t>
      </w:r>
      <w:r w:rsidR="00B443F1" w:rsidRPr="00B92144">
        <w:rPr>
          <w:rFonts w:asciiTheme="majorBidi" w:hAnsiTheme="majorBidi" w:cstheme="majorBidi"/>
          <w:sz w:val="24"/>
          <w:szCs w:val="24"/>
        </w:rPr>
        <w:t xml:space="preserve"> </w:t>
      </w:r>
      <w:r w:rsidRPr="00B92144">
        <w:rPr>
          <w:rFonts w:asciiTheme="majorBidi" w:hAnsiTheme="majorBidi" w:cstheme="majorBidi"/>
          <w:sz w:val="24"/>
          <w:szCs w:val="24"/>
        </w:rPr>
        <w:t>facilitate the securing of</w:t>
      </w:r>
      <w:r w:rsidR="00B443F1"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critical </w:t>
      </w:r>
      <w:r w:rsidR="00B443F1" w:rsidRPr="00B92144">
        <w:rPr>
          <w:rFonts w:asciiTheme="majorBidi" w:hAnsiTheme="majorBidi" w:cstheme="majorBidi"/>
          <w:sz w:val="24"/>
          <w:szCs w:val="24"/>
        </w:rPr>
        <w:t>resources</w:t>
      </w:r>
      <w:r w:rsidRPr="00B92144">
        <w:rPr>
          <w:rFonts w:asciiTheme="majorBidi" w:hAnsiTheme="majorBidi" w:cstheme="majorBidi"/>
          <w:sz w:val="24"/>
          <w:szCs w:val="24"/>
        </w:rPr>
        <w:t xml:space="preserve"> (</w:t>
      </w:r>
      <w:r w:rsidRPr="00B92144">
        <w:rPr>
          <w:rFonts w:asciiTheme="majorBidi" w:hAnsiTheme="majorBidi" w:cstheme="majorBidi"/>
          <w:color w:val="365F91" w:themeColor="accent1" w:themeShade="BF"/>
          <w:sz w:val="24"/>
          <w:szCs w:val="24"/>
        </w:rPr>
        <w:t>Jia et al., 2009</w:t>
      </w:r>
      <w:r w:rsidRPr="00B92144">
        <w:rPr>
          <w:rFonts w:asciiTheme="majorBidi" w:hAnsiTheme="majorBidi" w:cstheme="majorBidi"/>
          <w:sz w:val="24"/>
          <w:szCs w:val="24"/>
        </w:rPr>
        <w:t>)</w:t>
      </w:r>
      <w:r w:rsidR="00C3478A" w:rsidRPr="00B92144">
        <w:rPr>
          <w:rFonts w:asciiTheme="majorBidi" w:hAnsiTheme="majorBidi" w:cstheme="majorBidi"/>
          <w:sz w:val="24"/>
          <w:szCs w:val="24"/>
        </w:rPr>
        <w:t xml:space="preserve"> and provide </w:t>
      </w:r>
      <w:r w:rsidR="00B443F1" w:rsidRPr="00B92144">
        <w:rPr>
          <w:rFonts w:asciiTheme="majorBidi" w:hAnsiTheme="majorBidi" w:cstheme="majorBidi"/>
          <w:sz w:val="24"/>
          <w:szCs w:val="24"/>
        </w:rPr>
        <w:t>advice</w:t>
      </w:r>
      <w:r w:rsidR="00C3478A" w:rsidRPr="00B92144">
        <w:rPr>
          <w:rFonts w:asciiTheme="majorBidi" w:hAnsiTheme="majorBidi" w:cstheme="majorBidi"/>
          <w:sz w:val="24"/>
          <w:szCs w:val="24"/>
        </w:rPr>
        <w:t xml:space="preserve"> </w:t>
      </w:r>
      <w:r w:rsidR="00B443F1" w:rsidRPr="00B92144">
        <w:rPr>
          <w:rFonts w:asciiTheme="majorBidi" w:hAnsiTheme="majorBidi" w:cstheme="majorBidi"/>
          <w:sz w:val="24"/>
          <w:szCs w:val="24"/>
        </w:rPr>
        <w:t>and counsel</w:t>
      </w:r>
      <w:r w:rsidR="00C3478A" w:rsidRPr="00B92144">
        <w:rPr>
          <w:rFonts w:asciiTheme="majorBidi" w:hAnsiTheme="majorBidi" w:cstheme="majorBidi"/>
          <w:sz w:val="24"/>
          <w:szCs w:val="24"/>
        </w:rPr>
        <w:t xml:space="preserve"> to corporate management.</w:t>
      </w:r>
      <w:r w:rsidR="00AB0C67" w:rsidRPr="00B92144">
        <w:rPr>
          <w:rFonts w:asciiTheme="majorBidi" w:hAnsiTheme="majorBidi" w:cstheme="majorBidi"/>
          <w:sz w:val="24"/>
          <w:szCs w:val="24"/>
        </w:rPr>
        <w:t xml:space="preserve"> </w:t>
      </w:r>
      <w:r w:rsidR="00D12CEC" w:rsidRPr="00B92144">
        <w:rPr>
          <w:rFonts w:asciiTheme="majorBidi" w:hAnsiTheme="majorBidi" w:cstheme="majorBidi"/>
          <w:sz w:val="24"/>
          <w:szCs w:val="24"/>
        </w:rPr>
        <w:t>The agency theory suggests</w:t>
      </w:r>
      <w:r w:rsidR="005360F4" w:rsidRPr="00B92144">
        <w:rPr>
          <w:rFonts w:asciiTheme="majorBidi" w:hAnsiTheme="majorBidi" w:cstheme="majorBidi"/>
          <w:sz w:val="24"/>
          <w:szCs w:val="24"/>
        </w:rPr>
        <w:t>,</w:t>
      </w:r>
      <w:r w:rsidR="00D12CEC" w:rsidRPr="00B92144">
        <w:rPr>
          <w:rFonts w:asciiTheme="majorBidi" w:hAnsiTheme="majorBidi" w:cstheme="majorBidi"/>
          <w:sz w:val="24"/>
          <w:szCs w:val="24"/>
        </w:rPr>
        <w:t xml:space="preserve"> however an opposing view regarding the efficiency of larger boards. </w:t>
      </w:r>
      <w:r w:rsidR="00387609" w:rsidRPr="00B92144">
        <w:rPr>
          <w:rFonts w:asciiTheme="majorBidi" w:hAnsiTheme="majorBidi" w:cstheme="majorBidi"/>
          <w:color w:val="365F91" w:themeColor="accent1" w:themeShade="BF"/>
          <w:sz w:val="24"/>
          <w:szCs w:val="24"/>
        </w:rPr>
        <w:t>Jensen &amp; Meckling (1976)</w:t>
      </w:r>
      <w:r w:rsidR="00387609" w:rsidRPr="00B92144">
        <w:rPr>
          <w:rFonts w:asciiTheme="majorBidi" w:hAnsiTheme="majorBidi" w:cstheme="majorBidi"/>
          <w:sz w:val="24"/>
          <w:szCs w:val="24"/>
        </w:rPr>
        <w:t xml:space="preserve"> argue indeed that smaller boards are </w:t>
      </w:r>
      <w:r w:rsidR="007D14A9" w:rsidRPr="00B92144">
        <w:rPr>
          <w:rFonts w:asciiTheme="majorBidi" w:hAnsiTheme="majorBidi" w:cstheme="majorBidi"/>
          <w:sz w:val="24"/>
          <w:szCs w:val="24"/>
        </w:rPr>
        <w:t xml:space="preserve">better </w:t>
      </w:r>
      <w:r w:rsidR="00387609" w:rsidRPr="00B92144">
        <w:rPr>
          <w:rFonts w:asciiTheme="majorBidi" w:hAnsiTheme="majorBidi" w:cstheme="majorBidi"/>
          <w:sz w:val="24"/>
          <w:szCs w:val="24"/>
        </w:rPr>
        <w:t xml:space="preserve">and </w:t>
      </w:r>
      <w:r w:rsidR="007D14A9" w:rsidRPr="00B92144">
        <w:rPr>
          <w:rFonts w:asciiTheme="majorBidi" w:hAnsiTheme="majorBidi" w:cstheme="majorBidi"/>
          <w:sz w:val="24"/>
          <w:szCs w:val="24"/>
        </w:rPr>
        <w:t xml:space="preserve">more </w:t>
      </w:r>
      <w:r w:rsidR="00387609" w:rsidRPr="00B92144">
        <w:rPr>
          <w:rFonts w:asciiTheme="majorBidi" w:hAnsiTheme="majorBidi" w:cstheme="majorBidi"/>
          <w:sz w:val="24"/>
          <w:szCs w:val="24"/>
        </w:rPr>
        <w:t xml:space="preserve">effective </w:t>
      </w:r>
      <w:r w:rsidR="007D14A9" w:rsidRPr="00B92144">
        <w:rPr>
          <w:rFonts w:asciiTheme="majorBidi" w:hAnsiTheme="majorBidi" w:cstheme="majorBidi"/>
          <w:sz w:val="24"/>
          <w:szCs w:val="24"/>
        </w:rPr>
        <w:t>in</w:t>
      </w:r>
      <w:r w:rsidR="00387609" w:rsidRPr="00B92144">
        <w:rPr>
          <w:rFonts w:asciiTheme="majorBidi" w:hAnsiTheme="majorBidi" w:cstheme="majorBidi"/>
          <w:sz w:val="24"/>
          <w:szCs w:val="24"/>
        </w:rPr>
        <w:t xml:space="preserve"> improving corporate performance and disclosure</w:t>
      </w:r>
      <w:r w:rsidR="007D14A9" w:rsidRPr="00B92144">
        <w:rPr>
          <w:rFonts w:asciiTheme="majorBidi" w:hAnsiTheme="majorBidi" w:cstheme="majorBidi"/>
          <w:sz w:val="24"/>
          <w:szCs w:val="24"/>
        </w:rPr>
        <w:t xml:space="preserve">. For it is, larger boards are usually characterized by poor coordination, </w:t>
      </w:r>
      <w:r w:rsidR="00487295" w:rsidRPr="00B92144">
        <w:rPr>
          <w:rFonts w:asciiTheme="majorBidi" w:hAnsiTheme="majorBidi" w:cstheme="majorBidi"/>
          <w:sz w:val="24"/>
          <w:szCs w:val="24"/>
        </w:rPr>
        <w:t>uncandid</w:t>
      </w:r>
      <w:r w:rsidR="007D14A9" w:rsidRPr="00B92144">
        <w:rPr>
          <w:rFonts w:asciiTheme="majorBidi" w:hAnsiTheme="majorBidi" w:cstheme="majorBidi"/>
          <w:sz w:val="24"/>
          <w:szCs w:val="24"/>
        </w:rPr>
        <w:t xml:space="preserve"> communication and monitoring, as well as greater director free-riding which can negatively impact </w:t>
      </w:r>
      <w:r w:rsidR="00410EDE" w:rsidRPr="00B92144">
        <w:rPr>
          <w:rFonts w:asciiTheme="majorBidi" w:hAnsiTheme="majorBidi" w:cstheme="majorBidi"/>
          <w:sz w:val="24"/>
          <w:szCs w:val="24"/>
        </w:rPr>
        <w:t>RRD</w:t>
      </w:r>
      <w:r w:rsidR="007D14A9" w:rsidRPr="00B92144">
        <w:rPr>
          <w:rFonts w:asciiTheme="majorBidi" w:hAnsiTheme="majorBidi" w:cstheme="majorBidi"/>
          <w:sz w:val="24"/>
          <w:szCs w:val="24"/>
        </w:rPr>
        <w:t xml:space="preserve"> and firm performance (Ntim et al, 2013).</w:t>
      </w:r>
    </w:p>
    <w:p w14:paraId="444589FA" w14:textId="66120DFF" w:rsidR="00487295" w:rsidRPr="00B92144" w:rsidRDefault="00487295" w:rsidP="009A3798">
      <w:pPr>
        <w:spacing w:after="12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Recent studies examined the impact of board size on </w:t>
      </w:r>
      <w:r w:rsidR="00410EDE" w:rsidRPr="00B92144">
        <w:rPr>
          <w:rFonts w:asciiTheme="majorBidi" w:hAnsiTheme="majorBidi" w:cstheme="majorBidi"/>
          <w:sz w:val="24"/>
          <w:szCs w:val="24"/>
        </w:rPr>
        <w:t>RRD</w:t>
      </w:r>
      <w:r w:rsidRPr="00B92144">
        <w:rPr>
          <w:rFonts w:asciiTheme="majorBidi" w:hAnsiTheme="majorBidi" w:cstheme="majorBidi"/>
          <w:sz w:val="24"/>
          <w:szCs w:val="24"/>
        </w:rPr>
        <w:t xml:space="preserve"> </w:t>
      </w:r>
      <w:r w:rsidR="00D753F4" w:rsidRPr="00B92144">
        <w:rPr>
          <w:rFonts w:asciiTheme="majorBidi" w:hAnsiTheme="majorBidi" w:cstheme="majorBidi"/>
          <w:sz w:val="24"/>
          <w:szCs w:val="24"/>
        </w:rPr>
        <w:t>and provided</w:t>
      </w:r>
      <w:r w:rsidRPr="00B92144">
        <w:rPr>
          <w:rFonts w:asciiTheme="majorBidi" w:hAnsiTheme="majorBidi" w:cstheme="majorBidi"/>
          <w:sz w:val="24"/>
          <w:szCs w:val="24"/>
        </w:rPr>
        <w:t xml:space="preserve"> conflicting results</w:t>
      </w:r>
      <w:r w:rsidR="00D753F4" w:rsidRPr="00B92144">
        <w:rPr>
          <w:rFonts w:asciiTheme="majorBidi" w:hAnsiTheme="majorBidi" w:cstheme="majorBidi"/>
          <w:sz w:val="24"/>
          <w:szCs w:val="24"/>
        </w:rPr>
        <w:t xml:space="preserve">. </w:t>
      </w:r>
      <w:r w:rsidR="00E54415" w:rsidRPr="00B92144">
        <w:rPr>
          <w:rFonts w:asciiTheme="majorBidi" w:hAnsiTheme="majorBidi" w:cstheme="majorBidi"/>
          <w:sz w:val="24"/>
          <w:szCs w:val="24"/>
        </w:rPr>
        <w:t xml:space="preserve">While </w:t>
      </w:r>
      <w:r w:rsidR="005360F4" w:rsidRPr="00B92144">
        <w:rPr>
          <w:rFonts w:asciiTheme="majorBidi" w:hAnsiTheme="majorBidi" w:cstheme="majorBidi"/>
          <w:color w:val="365F91" w:themeColor="accent1" w:themeShade="BF"/>
          <w:sz w:val="24"/>
          <w:szCs w:val="24"/>
        </w:rPr>
        <w:t>Hussainey &amp; Elzahar</w:t>
      </w:r>
      <w:r w:rsidR="00E54415" w:rsidRPr="00B92144">
        <w:rPr>
          <w:rFonts w:asciiTheme="majorBidi" w:hAnsiTheme="majorBidi" w:cstheme="majorBidi"/>
          <w:color w:val="365F91" w:themeColor="accent1" w:themeShade="BF"/>
          <w:sz w:val="24"/>
          <w:szCs w:val="24"/>
        </w:rPr>
        <w:t xml:space="preserve">, (2012) </w:t>
      </w:r>
      <w:r w:rsidR="00E54415" w:rsidRPr="00B92144">
        <w:rPr>
          <w:rFonts w:asciiTheme="majorBidi" w:hAnsiTheme="majorBidi" w:cstheme="majorBidi"/>
          <w:sz w:val="24"/>
          <w:szCs w:val="24"/>
        </w:rPr>
        <w:t xml:space="preserve">find no relationship between board size and risk reporting, </w:t>
      </w:r>
      <w:r w:rsidR="00E54415" w:rsidRPr="00B92144">
        <w:rPr>
          <w:rFonts w:asciiTheme="majorBidi" w:hAnsiTheme="majorBidi" w:cstheme="majorBidi"/>
          <w:color w:val="365F91" w:themeColor="accent1" w:themeShade="BF"/>
          <w:sz w:val="24"/>
          <w:szCs w:val="24"/>
        </w:rPr>
        <w:t>Mousa &amp; ElAmir (2014)</w:t>
      </w:r>
      <w:r w:rsidR="00E54415" w:rsidRPr="00B92144">
        <w:rPr>
          <w:rFonts w:asciiTheme="majorBidi" w:hAnsiTheme="majorBidi" w:cstheme="majorBidi"/>
          <w:sz w:val="24"/>
          <w:szCs w:val="24"/>
        </w:rPr>
        <w:t xml:space="preserve"> end to a negative association between both variables and others find a positive association (</w:t>
      </w:r>
      <w:r w:rsidR="00E54415" w:rsidRPr="00B92144">
        <w:rPr>
          <w:rFonts w:asciiTheme="majorBidi" w:hAnsiTheme="majorBidi" w:cstheme="majorBidi"/>
          <w:color w:val="365F91" w:themeColor="accent1" w:themeShade="BF"/>
          <w:sz w:val="24"/>
          <w:szCs w:val="24"/>
        </w:rPr>
        <w:t xml:space="preserve">Laksmana, 2008; </w:t>
      </w:r>
      <w:r w:rsidR="005360F4" w:rsidRPr="00B92144">
        <w:rPr>
          <w:rFonts w:asciiTheme="majorBidi" w:hAnsiTheme="majorBidi" w:cstheme="majorBidi"/>
          <w:color w:val="365F91" w:themeColor="accent1" w:themeShade="BF"/>
          <w:sz w:val="24"/>
          <w:szCs w:val="24"/>
        </w:rPr>
        <w:t>Al-Najjar &amp; Hussainey</w:t>
      </w:r>
      <w:r w:rsidR="00E54415" w:rsidRPr="00B92144">
        <w:rPr>
          <w:rFonts w:asciiTheme="majorBidi" w:hAnsiTheme="majorBidi" w:cstheme="majorBidi"/>
          <w:color w:val="365F91" w:themeColor="accent1" w:themeShade="BF"/>
          <w:sz w:val="24"/>
          <w:szCs w:val="24"/>
        </w:rPr>
        <w:t xml:space="preserve">, 2011; </w:t>
      </w:r>
      <w:r w:rsidR="009A3798" w:rsidRPr="00B92144">
        <w:rPr>
          <w:rFonts w:asciiTheme="majorBidi" w:hAnsiTheme="majorBidi" w:cstheme="majorBidi"/>
          <w:color w:val="365F91" w:themeColor="accent1" w:themeShade="BF"/>
          <w:sz w:val="24"/>
          <w:szCs w:val="24"/>
        </w:rPr>
        <w:t>Mellett &amp; Mokhtar</w:t>
      </w:r>
      <w:r w:rsidR="00E54415" w:rsidRPr="00B92144">
        <w:rPr>
          <w:rFonts w:asciiTheme="majorBidi" w:hAnsiTheme="majorBidi" w:cstheme="majorBidi"/>
          <w:color w:val="365F91" w:themeColor="accent1" w:themeShade="BF"/>
          <w:sz w:val="24"/>
          <w:szCs w:val="24"/>
        </w:rPr>
        <w:t>, 2013; Ntim et al, 2013</w:t>
      </w:r>
      <w:r w:rsidR="00E54415" w:rsidRPr="00B92144">
        <w:rPr>
          <w:rFonts w:asciiTheme="majorBidi" w:hAnsiTheme="majorBidi" w:cstheme="majorBidi"/>
          <w:sz w:val="24"/>
          <w:szCs w:val="24"/>
        </w:rPr>
        <w:t>).</w:t>
      </w:r>
    </w:p>
    <w:p w14:paraId="0418B814" w14:textId="4D49A3E5" w:rsidR="00726534" w:rsidRPr="00B92144" w:rsidRDefault="00726534" w:rsidP="0088116C">
      <w:pPr>
        <w:spacing w:before="120" w:after="12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Given the mixed theoretical and empirical literature, </w:t>
      </w:r>
      <w:r w:rsidR="00E54415" w:rsidRPr="00B92144">
        <w:rPr>
          <w:rFonts w:asciiTheme="majorBidi" w:hAnsiTheme="majorBidi" w:cstheme="majorBidi"/>
          <w:sz w:val="24"/>
          <w:szCs w:val="24"/>
        </w:rPr>
        <w:t>we suggest</w:t>
      </w:r>
      <w:r w:rsidRPr="00B92144">
        <w:rPr>
          <w:rFonts w:asciiTheme="majorBidi" w:hAnsiTheme="majorBidi" w:cstheme="majorBidi"/>
          <w:sz w:val="24"/>
          <w:szCs w:val="24"/>
        </w:rPr>
        <w:t xml:space="preserve"> that:</w:t>
      </w:r>
    </w:p>
    <w:p w14:paraId="4E9619EB" w14:textId="02C0D864" w:rsidR="00726534" w:rsidRPr="00B92144" w:rsidRDefault="00726534" w:rsidP="00726534">
      <w:pPr>
        <w:autoSpaceDE w:val="0"/>
        <w:autoSpaceDN w:val="0"/>
        <w:adjustRightInd w:val="0"/>
        <w:spacing w:after="0" w:line="240" w:lineRule="auto"/>
        <w:jc w:val="both"/>
        <w:rPr>
          <w:rFonts w:asciiTheme="majorBidi" w:hAnsiTheme="majorBidi" w:cstheme="majorBidi"/>
          <w:i/>
          <w:iCs/>
          <w:sz w:val="24"/>
          <w:szCs w:val="24"/>
        </w:rPr>
      </w:pPr>
      <w:r w:rsidRPr="00B92144">
        <w:rPr>
          <w:rFonts w:asciiTheme="majorBidi" w:hAnsiTheme="majorBidi" w:cstheme="majorBidi"/>
          <w:i/>
          <w:iCs/>
          <w:sz w:val="24"/>
          <w:szCs w:val="24"/>
        </w:rPr>
        <w:t>H</w:t>
      </w:r>
      <w:r w:rsidR="00E54415" w:rsidRPr="00B92144">
        <w:rPr>
          <w:rFonts w:asciiTheme="majorBidi" w:hAnsiTheme="majorBidi" w:cstheme="majorBidi"/>
          <w:i/>
          <w:iCs/>
          <w:sz w:val="24"/>
          <w:szCs w:val="24"/>
        </w:rPr>
        <w:t>9</w:t>
      </w:r>
      <w:r w:rsidRPr="00B92144">
        <w:rPr>
          <w:rFonts w:asciiTheme="majorBidi" w:hAnsiTheme="majorBidi" w:cstheme="majorBidi"/>
          <w:i/>
          <w:iCs/>
          <w:sz w:val="24"/>
          <w:szCs w:val="24"/>
        </w:rPr>
        <w:t xml:space="preserve">: There is a significant association between board size and the </w:t>
      </w:r>
      <w:r w:rsidR="00980272" w:rsidRPr="00B92144">
        <w:rPr>
          <w:rFonts w:asciiTheme="majorBidi" w:hAnsiTheme="majorBidi" w:cstheme="majorBidi"/>
          <w:i/>
          <w:iCs/>
          <w:sz w:val="24"/>
          <w:szCs w:val="24"/>
        </w:rPr>
        <w:t>level</w:t>
      </w:r>
      <w:r w:rsidRPr="00B92144">
        <w:rPr>
          <w:rFonts w:asciiTheme="majorBidi" w:hAnsiTheme="majorBidi" w:cstheme="majorBidi"/>
          <w:i/>
          <w:iCs/>
          <w:sz w:val="24"/>
          <w:szCs w:val="24"/>
        </w:rPr>
        <w:t xml:space="preserve"> of </w:t>
      </w:r>
      <w:r w:rsidR="00E54415" w:rsidRPr="00B92144">
        <w:rPr>
          <w:rFonts w:asciiTheme="majorBidi" w:hAnsiTheme="majorBidi" w:cstheme="majorBidi"/>
          <w:i/>
          <w:iCs/>
          <w:sz w:val="24"/>
          <w:szCs w:val="24"/>
        </w:rPr>
        <w:t>bank</w:t>
      </w:r>
      <w:r w:rsidRPr="00B92144">
        <w:rPr>
          <w:rFonts w:asciiTheme="majorBidi" w:hAnsiTheme="majorBidi" w:cstheme="majorBidi"/>
          <w:i/>
          <w:iCs/>
          <w:sz w:val="24"/>
          <w:szCs w:val="24"/>
        </w:rPr>
        <w:t xml:space="preserve"> risk disclosure.</w:t>
      </w:r>
    </w:p>
    <w:p w14:paraId="131DE83C" w14:textId="77777777" w:rsidR="00726534" w:rsidRPr="00B92144" w:rsidRDefault="00726534" w:rsidP="00726534">
      <w:pPr>
        <w:autoSpaceDE w:val="0"/>
        <w:autoSpaceDN w:val="0"/>
        <w:adjustRightInd w:val="0"/>
        <w:spacing w:after="0" w:line="240" w:lineRule="auto"/>
        <w:rPr>
          <w:rFonts w:asciiTheme="majorBidi" w:hAnsiTheme="majorBidi" w:cstheme="majorBidi"/>
          <w:sz w:val="24"/>
          <w:szCs w:val="24"/>
        </w:rPr>
      </w:pPr>
    </w:p>
    <w:p w14:paraId="632A1EA1" w14:textId="36D900F5" w:rsidR="00015898" w:rsidRPr="00B92144" w:rsidRDefault="00015898" w:rsidP="00A7568D">
      <w:pPr>
        <w:pStyle w:val="ListParagraph"/>
        <w:numPr>
          <w:ilvl w:val="0"/>
          <w:numId w:val="4"/>
        </w:numPr>
        <w:spacing w:after="120" w:line="360" w:lineRule="auto"/>
        <w:jc w:val="both"/>
        <w:rPr>
          <w:rFonts w:asciiTheme="majorBidi" w:hAnsiTheme="majorBidi" w:cstheme="majorBidi"/>
          <w:sz w:val="24"/>
          <w:szCs w:val="24"/>
          <w:u w:val="single"/>
        </w:rPr>
      </w:pPr>
      <w:r w:rsidRPr="00B92144">
        <w:rPr>
          <w:rFonts w:asciiTheme="majorBidi" w:hAnsiTheme="majorBidi" w:cstheme="majorBidi"/>
          <w:sz w:val="24"/>
          <w:szCs w:val="24"/>
          <w:u w:val="single"/>
        </w:rPr>
        <w:t>Board independence and RRD</w:t>
      </w:r>
    </w:p>
    <w:p w14:paraId="2AD99401" w14:textId="5FD88415" w:rsidR="00AB0C67" w:rsidRPr="00B92144" w:rsidRDefault="002560F6" w:rsidP="006764C8">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The Agency the</w:t>
      </w:r>
      <w:r w:rsidR="00277E2A" w:rsidRPr="00B92144">
        <w:rPr>
          <w:rFonts w:asciiTheme="majorBidi" w:hAnsiTheme="majorBidi" w:cstheme="majorBidi"/>
          <w:sz w:val="24"/>
          <w:szCs w:val="24"/>
        </w:rPr>
        <w:t xml:space="preserve">ory </w:t>
      </w:r>
      <w:r w:rsidR="00E94951" w:rsidRPr="00B92144">
        <w:rPr>
          <w:rFonts w:asciiTheme="majorBidi" w:hAnsiTheme="majorBidi" w:cstheme="majorBidi"/>
          <w:sz w:val="24"/>
          <w:szCs w:val="24"/>
        </w:rPr>
        <w:t xml:space="preserve">suggests that independent (non-executive) directors play a vital role in monitoring managers' </w:t>
      </w:r>
      <w:r w:rsidR="00011903" w:rsidRPr="00B92144">
        <w:rPr>
          <w:rFonts w:asciiTheme="majorBidi" w:hAnsiTheme="majorBidi" w:cstheme="majorBidi"/>
          <w:sz w:val="24"/>
          <w:szCs w:val="24"/>
        </w:rPr>
        <w:t>action</w:t>
      </w:r>
      <w:r w:rsidR="002A1EF2" w:rsidRPr="00B92144">
        <w:rPr>
          <w:rFonts w:asciiTheme="majorBidi" w:hAnsiTheme="majorBidi" w:cstheme="majorBidi"/>
          <w:sz w:val="24"/>
          <w:szCs w:val="24"/>
        </w:rPr>
        <w:t xml:space="preserve">, </w:t>
      </w:r>
      <w:r w:rsidR="00E94951" w:rsidRPr="00B92144">
        <w:rPr>
          <w:rFonts w:asciiTheme="majorBidi" w:hAnsiTheme="majorBidi" w:cstheme="majorBidi"/>
          <w:sz w:val="24"/>
          <w:szCs w:val="24"/>
        </w:rPr>
        <w:t>limiting their opportunism (</w:t>
      </w:r>
      <w:r w:rsidR="00E94951" w:rsidRPr="00B92144">
        <w:rPr>
          <w:rFonts w:asciiTheme="majorBidi" w:hAnsiTheme="majorBidi" w:cstheme="majorBidi"/>
          <w:color w:val="365F91" w:themeColor="accent1" w:themeShade="BF"/>
          <w:sz w:val="24"/>
          <w:szCs w:val="24"/>
        </w:rPr>
        <w:t>Fama, 1980; Fama &amp; Jensen, 1983; Walsh &amp; Seward, 1990</w:t>
      </w:r>
      <w:r w:rsidR="00E94951" w:rsidRPr="00B92144">
        <w:rPr>
          <w:rFonts w:asciiTheme="majorBidi" w:hAnsiTheme="majorBidi" w:cstheme="majorBidi"/>
          <w:sz w:val="24"/>
          <w:szCs w:val="24"/>
        </w:rPr>
        <w:t>)</w:t>
      </w:r>
      <w:r w:rsidR="002A1EF2" w:rsidRPr="00B92144">
        <w:rPr>
          <w:rFonts w:asciiTheme="majorBidi" w:hAnsiTheme="majorBidi" w:cstheme="majorBidi"/>
          <w:sz w:val="24"/>
          <w:szCs w:val="24"/>
        </w:rPr>
        <w:t xml:space="preserve"> and increasing corporate transparency (</w:t>
      </w:r>
      <w:r w:rsidR="002A1EF2" w:rsidRPr="00B92144">
        <w:rPr>
          <w:rFonts w:asciiTheme="majorBidi" w:hAnsiTheme="majorBidi" w:cstheme="majorBidi"/>
          <w:color w:val="365F91" w:themeColor="accent1" w:themeShade="BF"/>
          <w:sz w:val="24"/>
          <w:szCs w:val="24"/>
        </w:rPr>
        <w:t>Frankel, McVay, &amp; Soliman, 201</w:t>
      </w:r>
      <w:r w:rsidR="006764C8" w:rsidRPr="00B92144">
        <w:rPr>
          <w:rFonts w:asciiTheme="majorBidi" w:hAnsiTheme="majorBidi" w:cstheme="majorBidi"/>
          <w:color w:val="365F91" w:themeColor="accent1" w:themeShade="BF"/>
          <w:sz w:val="24"/>
          <w:szCs w:val="24"/>
        </w:rPr>
        <w:t>0</w:t>
      </w:r>
      <w:r w:rsidR="002A1EF2" w:rsidRPr="00B92144">
        <w:rPr>
          <w:rFonts w:asciiTheme="majorBidi" w:hAnsiTheme="majorBidi" w:cstheme="majorBidi"/>
          <w:sz w:val="24"/>
          <w:szCs w:val="24"/>
        </w:rPr>
        <w:t>).</w:t>
      </w:r>
      <w:r w:rsidR="00845646" w:rsidRPr="00B92144">
        <w:rPr>
          <w:rFonts w:asciiTheme="majorBidi" w:hAnsiTheme="majorBidi" w:cstheme="majorBidi"/>
          <w:sz w:val="24"/>
          <w:szCs w:val="24"/>
        </w:rPr>
        <w:t xml:space="preserve"> </w:t>
      </w:r>
    </w:p>
    <w:p w14:paraId="013AFF0C" w14:textId="1F19A04D" w:rsidR="006D22F8" w:rsidRPr="00B92144" w:rsidRDefault="00845646" w:rsidP="00410EDE">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Legitimacy theory</w:t>
      </w:r>
      <w:r w:rsidR="00AF113B" w:rsidRPr="00B92144">
        <w:rPr>
          <w:rFonts w:asciiTheme="majorBidi" w:hAnsiTheme="majorBidi" w:cstheme="majorBidi"/>
          <w:sz w:val="24"/>
          <w:szCs w:val="24"/>
        </w:rPr>
        <w:t xml:space="preserve"> argues </w:t>
      </w:r>
      <w:r w:rsidR="00862966" w:rsidRPr="00B92144">
        <w:rPr>
          <w:rFonts w:asciiTheme="majorBidi" w:hAnsiTheme="majorBidi" w:cstheme="majorBidi"/>
          <w:sz w:val="24"/>
          <w:szCs w:val="24"/>
        </w:rPr>
        <w:t>besides that</w:t>
      </w:r>
      <w:r w:rsidR="00AF113B" w:rsidRPr="00B92144">
        <w:rPr>
          <w:rFonts w:asciiTheme="majorBidi" w:hAnsiTheme="majorBidi" w:cstheme="majorBidi"/>
          <w:sz w:val="24"/>
          <w:szCs w:val="24"/>
        </w:rPr>
        <w:t xml:space="preserve"> the legitimacy gap in modern companies can be filled with the presence of independent non-executive directors who will serve as a surrogate for corporate stakeholders. Their </w:t>
      </w:r>
      <w:r w:rsidR="003D0CBA" w:rsidRPr="00B92144">
        <w:rPr>
          <w:rFonts w:asciiTheme="majorBidi" w:hAnsiTheme="majorBidi" w:cstheme="majorBidi"/>
          <w:sz w:val="24"/>
          <w:szCs w:val="24"/>
        </w:rPr>
        <w:t>assignment</w:t>
      </w:r>
      <w:r w:rsidR="00AF113B" w:rsidRPr="00B92144">
        <w:rPr>
          <w:rFonts w:asciiTheme="majorBidi" w:hAnsiTheme="majorBidi" w:cstheme="majorBidi"/>
          <w:sz w:val="24"/>
          <w:szCs w:val="24"/>
        </w:rPr>
        <w:t xml:space="preserve"> signals a match between corporate and societal values</w:t>
      </w:r>
      <w:r w:rsidR="00531AC5" w:rsidRPr="00B92144">
        <w:rPr>
          <w:rFonts w:asciiTheme="majorBidi" w:hAnsiTheme="majorBidi" w:cstheme="majorBidi"/>
          <w:sz w:val="24"/>
          <w:szCs w:val="24"/>
        </w:rPr>
        <w:t xml:space="preserve">, </w:t>
      </w:r>
      <w:r w:rsidR="00AF113B" w:rsidRPr="00B92144">
        <w:rPr>
          <w:rFonts w:asciiTheme="majorBidi" w:hAnsiTheme="majorBidi" w:cstheme="majorBidi"/>
          <w:sz w:val="24"/>
          <w:szCs w:val="24"/>
        </w:rPr>
        <w:t>enhance</w:t>
      </w:r>
      <w:r w:rsidR="00531AC5" w:rsidRPr="00B92144">
        <w:rPr>
          <w:rFonts w:asciiTheme="majorBidi" w:hAnsiTheme="majorBidi" w:cstheme="majorBidi"/>
          <w:sz w:val="24"/>
          <w:szCs w:val="24"/>
        </w:rPr>
        <w:t>s</w:t>
      </w:r>
      <w:r w:rsidR="00AF113B" w:rsidRPr="00B92144">
        <w:rPr>
          <w:rFonts w:asciiTheme="majorBidi" w:hAnsiTheme="majorBidi" w:cstheme="majorBidi"/>
          <w:sz w:val="24"/>
          <w:szCs w:val="24"/>
        </w:rPr>
        <w:t xml:space="preserve"> corporate legitimacy (</w:t>
      </w:r>
      <w:r w:rsidR="00AF113B" w:rsidRPr="00B92144">
        <w:rPr>
          <w:rFonts w:asciiTheme="majorBidi" w:hAnsiTheme="majorBidi" w:cstheme="majorBidi"/>
          <w:color w:val="365F91" w:themeColor="accent1" w:themeShade="BF"/>
          <w:sz w:val="24"/>
          <w:szCs w:val="24"/>
        </w:rPr>
        <w:t xml:space="preserve">Ashforth &amp; Gibbs, 1990; Edkins, 2009; Freeman &amp; Reed, 1983; Michelon </w:t>
      </w:r>
      <w:r w:rsidR="00AF113B" w:rsidRPr="00B92144">
        <w:rPr>
          <w:rFonts w:asciiTheme="majorBidi" w:hAnsiTheme="majorBidi" w:cstheme="majorBidi"/>
          <w:color w:val="365F91" w:themeColor="accent1" w:themeShade="BF"/>
          <w:sz w:val="24"/>
          <w:szCs w:val="24"/>
        </w:rPr>
        <w:lastRenderedPageBreak/>
        <w:t>&amp; Parbonetti, 2012</w:t>
      </w:r>
      <w:r w:rsidR="003D0CBA" w:rsidRPr="00B92144">
        <w:rPr>
          <w:rFonts w:asciiTheme="majorBidi" w:hAnsiTheme="majorBidi" w:cstheme="majorBidi"/>
          <w:color w:val="365F91" w:themeColor="accent1" w:themeShade="BF"/>
          <w:sz w:val="24"/>
          <w:szCs w:val="24"/>
        </w:rPr>
        <w:t>; Ntim et al, 2013</w:t>
      </w:r>
      <w:r w:rsidR="00ED5916" w:rsidRPr="00B92144">
        <w:rPr>
          <w:rFonts w:asciiTheme="majorBidi" w:hAnsiTheme="majorBidi" w:cstheme="majorBidi"/>
          <w:sz w:val="24"/>
          <w:szCs w:val="24"/>
        </w:rPr>
        <w:t>)</w:t>
      </w:r>
      <w:r w:rsidR="00531AC5" w:rsidRPr="00B92144">
        <w:rPr>
          <w:rFonts w:asciiTheme="majorBidi" w:hAnsiTheme="majorBidi" w:cstheme="majorBidi"/>
          <w:sz w:val="24"/>
          <w:szCs w:val="24"/>
        </w:rPr>
        <w:t xml:space="preserve"> and answers stakeholders ‘concern about </w:t>
      </w:r>
      <w:r w:rsidR="00410EDE" w:rsidRPr="00B92144">
        <w:rPr>
          <w:rFonts w:asciiTheme="majorBidi" w:hAnsiTheme="majorBidi" w:cstheme="majorBidi"/>
          <w:sz w:val="24"/>
          <w:szCs w:val="24"/>
        </w:rPr>
        <w:t>RRD</w:t>
      </w:r>
      <w:r w:rsidR="00531AC5" w:rsidRPr="00B92144">
        <w:rPr>
          <w:rFonts w:asciiTheme="majorBidi" w:hAnsiTheme="majorBidi" w:cstheme="majorBidi"/>
          <w:sz w:val="24"/>
          <w:szCs w:val="24"/>
        </w:rPr>
        <w:t xml:space="preserve"> (</w:t>
      </w:r>
      <w:r w:rsidR="00531AC5" w:rsidRPr="00B92144">
        <w:rPr>
          <w:rFonts w:asciiTheme="majorBidi" w:hAnsiTheme="majorBidi" w:cstheme="majorBidi"/>
          <w:color w:val="365F91" w:themeColor="accent1" w:themeShade="BF"/>
          <w:sz w:val="24"/>
          <w:szCs w:val="24"/>
        </w:rPr>
        <w:t>Lopes &amp; Rodrigues, 2007; Pirson &amp; Turnbull, 2011)</w:t>
      </w:r>
      <w:r w:rsidR="00531AC5" w:rsidRPr="00B92144">
        <w:rPr>
          <w:rFonts w:asciiTheme="majorBidi" w:hAnsiTheme="majorBidi" w:cstheme="majorBidi"/>
          <w:sz w:val="24"/>
          <w:szCs w:val="24"/>
        </w:rPr>
        <w:t>.</w:t>
      </w:r>
      <w:r w:rsidR="00875D6E" w:rsidRPr="00B92144">
        <w:rPr>
          <w:rFonts w:asciiTheme="majorBidi" w:hAnsiTheme="majorBidi" w:cstheme="majorBidi"/>
          <w:sz w:val="24"/>
          <w:szCs w:val="24"/>
        </w:rPr>
        <w:t xml:space="preserve"> </w:t>
      </w:r>
      <w:r w:rsidR="006B2E29" w:rsidRPr="00B92144">
        <w:rPr>
          <w:rFonts w:asciiTheme="majorBidi" w:hAnsiTheme="majorBidi" w:cstheme="majorBidi"/>
          <w:sz w:val="24"/>
          <w:szCs w:val="24"/>
        </w:rPr>
        <w:t xml:space="preserve"> </w:t>
      </w:r>
      <w:r w:rsidR="00F04816" w:rsidRPr="00B92144">
        <w:rPr>
          <w:rFonts w:asciiTheme="majorBidi" w:hAnsiTheme="majorBidi" w:cstheme="majorBidi"/>
          <w:sz w:val="24"/>
          <w:szCs w:val="24"/>
        </w:rPr>
        <w:t>While</w:t>
      </w:r>
      <w:r w:rsidR="00C5684D" w:rsidRPr="00B92144">
        <w:rPr>
          <w:rFonts w:asciiTheme="majorBidi" w:hAnsiTheme="majorBidi" w:cstheme="majorBidi"/>
          <w:sz w:val="24"/>
          <w:szCs w:val="24"/>
        </w:rPr>
        <w:t xml:space="preserve"> independent directors are less involved in the day-to-day running of the business, they </w:t>
      </w:r>
      <w:r w:rsidR="00F06811" w:rsidRPr="00B92144">
        <w:rPr>
          <w:rFonts w:asciiTheme="majorBidi" w:hAnsiTheme="majorBidi" w:cstheme="majorBidi"/>
          <w:sz w:val="24"/>
          <w:szCs w:val="24"/>
        </w:rPr>
        <w:t>tend to be exposed to higher levels of risk in terms of their personal reputation (</w:t>
      </w:r>
      <w:r w:rsidR="0047558A" w:rsidRPr="00B92144">
        <w:rPr>
          <w:rFonts w:asciiTheme="majorBidi" w:hAnsiTheme="majorBidi" w:cstheme="majorBidi"/>
          <w:color w:val="365F91" w:themeColor="accent1" w:themeShade="BF"/>
          <w:sz w:val="24"/>
          <w:szCs w:val="24"/>
        </w:rPr>
        <w:t>Oliveira, Rodrigues, &amp; Craig</w:t>
      </w:r>
      <w:r w:rsidR="00F06811" w:rsidRPr="00B92144">
        <w:rPr>
          <w:rFonts w:asciiTheme="majorBidi" w:hAnsiTheme="majorBidi" w:cstheme="majorBidi"/>
          <w:color w:val="365F91" w:themeColor="accent1" w:themeShade="BF"/>
          <w:sz w:val="24"/>
          <w:szCs w:val="24"/>
        </w:rPr>
        <w:t>, 2011</w:t>
      </w:r>
      <w:r w:rsidR="0047558A" w:rsidRPr="00B92144">
        <w:rPr>
          <w:rFonts w:asciiTheme="majorBidi" w:hAnsiTheme="majorBidi" w:cstheme="majorBidi"/>
          <w:color w:val="365F91" w:themeColor="accent1" w:themeShade="BF"/>
          <w:sz w:val="24"/>
          <w:szCs w:val="24"/>
        </w:rPr>
        <w:t>b</w:t>
      </w:r>
      <w:r w:rsidR="00F06811" w:rsidRPr="00B92144">
        <w:rPr>
          <w:rFonts w:asciiTheme="majorBidi" w:hAnsiTheme="majorBidi" w:cstheme="majorBidi"/>
          <w:sz w:val="24"/>
          <w:szCs w:val="24"/>
        </w:rPr>
        <w:t xml:space="preserve">). Therefore, they </w:t>
      </w:r>
      <w:r w:rsidR="00C5684D" w:rsidRPr="00B92144">
        <w:rPr>
          <w:rFonts w:asciiTheme="majorBidi" w:hAnsiTheme="majorBidi" w:cstheme="majorBidi"/>
          <w:sz w:val="24"/>
          <w:szCs w:val="24"/>
        </w:rPr>
        <w:t>are</w:t>
      </w:r>
      <w:r w:rsidR="00F04816" w:rsidRPr="00B92144">
        <w:rPr>
          <w:rFonts w:asciiTheme="majorBidi" w:hAnsiTheme="majorBidi" w:cstheme="majorBidi"/>
          <w:sz w:val="24"/>
          <w:szCs w:val="24"/>
        </w:rPr>
        <w:t xml:space="preserve"> more likely to respect and honor corporate obligations</w:t>
      </w:r>
      <w:r w:rsidR="00C5684D" w:rsidRPr="00B92144">
        <w:rPr>
          <w:rFonts w:asciiTheme="majorBidi" w:hAnsiTheme="majorBidi" w:cstheme="majorBidi"/>
          <w:sz w:val="24"/>
          <w:szCs w:val="24"/>
        </w:rPr>
        <w:t xml:space="preserve"> </w:t>
      </w:r>
      <w:r w:rsidR="00842995" w:rsidRPr="00B92144">
        <w:rPr>
          <w:rFonts w:asciiTheme="majorBidi" w:hAnsiTheme="majorBidi" w:cstheme="majorBidi"/>
          <w:sz w:val="24"/>
          <w:szCs w:val="24"/>
        </w:rPr>
        <w:t xml:space="preserve">and more importantly </w:t>
      </w:r>
      <w:r w:rsidR="00C5684D" w:rsidRPr="00B92144">
        <w:rPr>
          <w:rFonts w:asciiTheme="majorBidi" w:hAnsiTheme="majorBidi" w:cstheme="majorBidi"/>
          <w:sz w:val="24"/>
          <w:szCs w:val="24"/>
        </w:rPr>
        <w:t>keener in encouraging greater transparency</w:t>
      </w:r>
      <w:r w:rsidR="00F06811" w:rsidRPr="00B92144">
        <w:rPr>
          <w:rFonts w:asciiTheme="majorBidi" w:hAnsiTheme="majorBidi" w:cstheme="majorBidi"/>
          <w:sz w:val="24"/>
          <w:szCs w:val="24"/>
        </w:rPr>
        <w:t xml:space="preserve"> (</w:t>
      </w:r>
      <w:r w:rsidR="00080AD0" w:rsidRPr="00B92144">
        <w:rPr>
          <w:rFonts w:asciiTheme="majorBidi" w:hAnsiTheme="majorBidi" w:cstheme="majorBidi"/>
          <w:color w:val="365F91" w:themeColor="accent1" w:themeShade="BF"/>
          <w:sz w:val="24"/>
          <w:szCs w:val="24"/>
        </w:rPr>
        <w:t xml:space="preserve">Lopes &amp; Rodrigues, 2007; </w:t>
      </w:r>
      <w:r w:rsidR="00F06811" w:rsidRPr="00B92144">
        <w:rPr>
          <w:rFonts w:asciiTheme="majorBidi" w:hAnsiTheme="majorBidi" w:cstheme="majorBidi"/>
          <w:color w:val="365F91" w:themeColor="accent1" w:themeShade="BF"/>
          <w:sz w:val="24"/>
          <w:szCs w:val="24"/>
        </w:rPr>
        <w:t>Ntim et al, 2013</w:t>
      </w:r>
      <w:r w:rsidR="00F06811" w:rsidRPr="00B92144">
        <w:rPr>
          <w:rFonts w:asciiTheme="majorBidi" w:hAnsiTheme="majorBidi" w:cstheme="majorBidi"/>
          <w:sz w:val="24"/>
          <w:szCs w:val="24"/>
        </w:rPr>
        <w:t>).</w:t>
      </w:r>
    </w:p>
    <w:p w14:paraId="11C1DE23" w14:textId="452E7483" w:rsidR="00CD3B47" w:rsidRPr="00B92144" w:rsidRDefault="006D22F8" w:rsidP="0086037D">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Empirically, and consistent with the theoretical predictions, </w:t>
      </w:r>
      <w:r w:rsidR="00DB12CB" w:rsidRPr="00B92144">
        <w:rPr>
          <w:rFonts w:asciiTheme="majorBidi" w:hAnsiTheme="majorBidi" w:cstheme="majorBidi"/>
          <w:sz w:val="24"/>
          <w:szCs w:val="24"/>
        </w:rPr>
        <w:t>many</w:t>
      </w:r>
      <w:r w:rsidRPr="00B92144">
        <w:rPr>
          <w:rFonts w:asciiTheme="majorBidi" w:hAnsiTheme="majorBidi" w:cstheme="majorBidi"/>
          <w:sz w:val="24"/>
          <w:szCs w:val="24"/>
        </w:rPr>
        <w:t xml:space="preserve"> studies report that </w:t>
      </w:r>
      <w:r w:rsidR="00862966" w:rsidRPr="00B92144">
        <w:rPr>
          <w:rFonts w:asciiTheme="majorBidi" w:hAnsiTheme="majorBidi" w:cstheme="majorBidi"/>
          <w:sz w:val="24"/>
          <w:szCs w:val="24"/>
        </w:rPr>
        <w:t>independent non-executive directors</w:t>
      </w:r>
      <w:r w:rsidRPr="00B92144">
        <w:rPr>
          <w:rFonts w:asciiTheme="majorBidi" w:hAnsiTheme="majorBidi" w:cstheme="majorBidi"/>
          <w:sz w:val="24"/>
          <w:szCs w:val="24"/>
        </w:rPr>
        <w:t xml:space="preserve"> have a positive effect on risk disclosure (</w:t>
      </w:r>
      <w:r w:rsidRPr="00B92144">
        <w:rPr>
          <w:rFonts w:asciiTheme="majorBidi" w:hAnsiTheme="majorBidi" w:cstheme="majorBidi"/>
          <w:color w:val="365F91" w:themeColor="accent1" w:themeShade="BF"/>
          <w:sz w:val="24"/>
          <w:szCs w:val="24"/>
        </w:rPr>
        <w:t xml:space="preserve">Abraham &amp; Cox, 2007; Lopes &amp; Rodrigues, 2007; </w:t>
      </w:r>
      <w:r w:rsidR="0047558A" w:rsidRPr="00B92144">
        <w:rPr>
          <w:rFonts w:asciiTheme="majorBidi" w:hAnsiTheme="majorBidi" w:cstheme="majorBidi"/>
          <w:color w:val="365F91" w:themeColor="accent1" w:themeShade="BF"/>
          <w:sz w:val="24"/>
          <w:szCs w:val="24"/>
        </w:rPr>
        <w:t>Oliveira, Rodrigues, &amp; Craig</w:t>
      </w:r>
      <w:r w:rsidRPr="00B92144">
        <w:rPr>
          <w:rFonts w:asciiTheme="majorBidi" w:hAnsiTheme="majorBidi" w:cstheme="majorBidi"/>
          <w:color w:val="365F91" w:themeColor="accent1" w:themeShade="BF"/>
          <w:sz w:val="24"/>
          <w:szCs w:val="24"/>
        </w:rPr>
        <w:t>, 2011</w:t>
      </w:r>
      <w:r w:rsidR="0047558A" w:rsidRPr="00B92144">
        <w:rPr>
          <w:rFonts w:asciiTheme="majorBidi" w:hAnsiTheme="majorBidi" w:cstheme="majorBidi"/>
          <w:color w:val="365F91" w:themeColor="accent1" w:themeShade="BF"/>
          <w:sz w:val="24"/>
          <w:szCs w:val="24"/>
        </w:rPr>
        <w:t>b</w:t>
      </w:r>
      <w:r w:rsidRPr="00B92144">
        <w:rPr>
          <w:rFonts w:asciiTheme="majorBidi" w:hAnsiTheme="majorBidi" w:cstheme="majorBidi"/>
          <w:color w:val="365F91" w:themeColor="accent1" w:themeShade="BF"/>
          <w:sz w:val="24"/>
          <w:szCs w:val="24"/>
        </w:rPr>
        <w:t xml:space="preserve">; </w:t>
      </w:r>
      <w:r w:rsidR="00DB12CB" w:rsidRPr="00B92144">
        <w:rPr>
          <w:rFonts w:asciiTheme="majorBidi" w:hAnsiTheme="majorBidi" w:cstheme="majorBidi"/>
          <w:color w:val="365F91" w:themeColor="accent1" w:themeShade="BF"/>
          <w:sz w:val="24"/>
          <w:szCs w:val="24"/>
        </w:rPr>
        <w:t xml:space="preserve">Barakat </w:t>
      </w:r>
      <w:r w:rsidR="0088116C" w:rsidRPr="00B92144">
        <w:rPr>
          <w:rFonts w:asciiTheme="majorBidi" w:hAnsiTheme="majorBidi" w:cstheme="majorBidi"/>
          <w:color w:val="365F91" w:themeColor="accent1" w:themeShade="BF"/>
          <w:sz w:val="24"/>
          <w:szCs w:val="24"/>
        </w:rPr>
        <w:t>&amp;</w:t>
      </w:r>
      <w:r w:rsidR="00DB12CB" w:rsidRPr="00B92144">
        <w:rPr>
          <w:rFonts w:asciiTheme="majorBidi" w:hAnsiTheme="majorBidi" w:cstheme="majorBidi"/>
          <w:color w:val="365F91" w:themeColor="accent1" w:themeShade="BF"/>
          <w:sz w:val="24"/>
          <w:szCs w:val="24"/>
        </w:rPr>
        <w:t xml:space="preserve"> Hussainey, 2013; </w:t>
      </w:r>
      <w:r w:rsidR="0086037D" w:rsidRPr="00B92144">
        <w:rPr>
          <w:rFonts w:asciiTheme="majorBidi" w:hAnsiTheme="majorBidi" w:cstheme="majorBidi"/>
          <w:color w:val="365F91" w:themeColor="accent1" w:themeShade="BF"/>
          <w:sz w:val="24"/>
          <w:szCs w:val="24"/>
        </w:rPr>
        <w:t>Elshandidy, Fraser, &amp; Hussainey (2013)</w:t>
      </w:r>
      <w:r w:rsidRPr="00B92144">
        <w:rPr>
          <w:rFonts w:asciiTheme="majorBidi" w:hAnsiTheme="majorBidi" w:cstheme="majorBidi"/>
          <w:sz w:val="24"/>
          <w:szCs w:val="24"/>
        </w:rPr>
        <w:t>)</w:t>
      </w:r>
      <w:r w:rsidR="00DB12CB" w:rsidRPr="00B92144">
        <w:rPr>
          <w:rFonts w:asciiTheme="majorBidi" w:hAnsiTheme="majorBidi" w:cstheme="majorBidi"/>
          <w:sz w:val="24"/>
          <w:szCs w:val="24"/>
        </w:rPr>
        <w:t xml:space="preserve">. </w:t>
      </w:r>
      <w:r w:rsidR="0086037D" w:rsidRPr="00B92144">
        <w:rPr>
          <w:rFonts w:asciiTheme="majorBidi" w:hAnsiTheme="majorBidi" w:cstheme="majorBidi"/>
          <w:color w:val="365F91" w:themeColor="accent1" w:themeShade="BF"/>
          <w:sz w:val="24"/>
          <w:szCs w:val="24"/>
        </w:rPr>
        <w:t xml:space="preserve">Allini, Rossi, &amp; Hussainey </w:t>
      </w:r>
      <w:r w:rsidR="00DB12CB" w:rsidRPr="00B92144">
        <w:rPr>
          <w:rFonts w:asciiTheme="majorBidi" w:hAnsiTheme="majorBidi" w:cstheme="majorBidi"/>
          <w:color w:val="365F91" w:themeColor="accent1" w:themeShade="BF"/>
          <w:sz w:val="24"/>
          <w:szCs w:val="24"/>
        </w:rPr>
        <w:t>(201</w:t>
      </w:r>
      <w:r w:rsidR="0006061E" w:rsidRPr="00B92144">
        <w:rPr>
          <w:rFonts w:asciiTheme="majorBidi" w:hAnsiTheme="majorBidi" w:cstheme="majorBidi"/>
          <w:color w:val="365F91" w:themeColor="accent1" w:themeShade="BF"/>
          <w:sz w:val="24"/>
          <w:szCs w:val="24"/>
        </w:rPr>
        <w:t>6</w:t>
      </w:r>
      <w:r w:rsidR="00DB12CB" w:rsidRPr="00B92144">
        <w:rPr>
          <w:rFonts w:asciiTheme="majorBidi" w:hAnsiTheme="majorBidi" w:cstheme="majorBidi"/>
          <w:color w:val="365F91" w:themeColor="accent1" w:themeShade="BF"/>
          <w:sz w:val="24"/>
          <w:szCs w:val="24"/>
        </w:rPr>
        <w:t xml:space="preserve">) </w:t>
      </w:r>
      <w:r w:rsidR="00DB12CB" w:rsidRPr="00B92144">
        <w:rPr>
          <w:rFonts w:asciiTheme="majorBidi" w:hAnsiTheme="majorBidi" w:cstheme="majorBidi"/>
          <w:sz w:val="24"/>
          <w:szCs w:val="24"/>
        </w:rPr>
        <w:t xml:space="preserve">and </w:t>
      </w:r>
      <w:r w:rsidR="0086037D" w:rsidRPr="00B92144">
        <w:rPr>
          <w:rFonts w:asciiTheme="majorBidi" w:hAnsiTheme="majorBidi" w:cstheme="majorBidi"/>
          <w:color w:val="365F91" w:themeColor="accent1" w:themeShade="BF"/>
          <w:sz w:val="24"/>
          <w:szCs w:val="24"/>
        </w:rPr>
        <w:t xml:space="preserve">Hussainey &amp; Elzahar </w:t>
      </w:r>
      <w:r w:rsidR="00DB12CB" w:rsidRPr="00B92144">
        <w:rPr>
          <w:rFonts w:asciiTheme="majorBidi" w:hAnsiTheme="majorBidi" w:cstheme="majorBidi"/>
          <w:color w:val="365F91" w:themeColor="accent1" w:themeShade="BF"/>
          <w:sz w:val="24"/>
          <w:szCs w:val="24"/>
        </w:rPr>
        <w:t xml:space="preserve">(2012) </w:t>
      </w:r>
      <w:r w:rsidR="00DB12CB" w:rsidRPr="00B92144">
        <w:rPr>
          <w:rFonts w:asciiTheme="majorBidi" w:hAnsiTheme="majorBidi" w:cstheme="majorBidi"/>
          <w:sz w:val="24"/>
          <w:szCs w:val="24"/>
        </w:rPr>
        <w:t xml:space="preserve">find, though insignificant association between the two variables. </w:t>
      </w:r>
      <w:r w:rsidR="00862966" w:rsidRPr="00B92144">
        <w:rPr>
          <w:rFonts w:asciiTheme="majorBidi" w:hAnsiTheme="majorBidi" w:cstheme="majorBidi"/>
          <w:sz w:val="24"/>
          <w:szCs w:val="24"/>
        </w:rPr>
        <w:t>As</w:t>
      </w:r>
      <w:r w:rsidR="00CA0BA6" w:rsidRPr="00B92144">
        <w:rPr>
          <w:rFonts w:asciiTheme="majorBidi" w:hAnsiTheme="majorBidi" w:cstheme="majorBidi"/>
          <w:sz w:val="24"/>
          <w:szCs w:val="24"/>
        </w:rPr>
        <w:t xml:space="preserve"> to the banking sector,</w:t>
      </w:r>
      <w:r w:rsidR="00862966" w:rsidRPr="00B92144">
        <w:rPr>
          <w:rFonts w:asciiTheme="majorBidi" w:hAnsiTheme="majorBidi" w:cstheme="majorBidi"/>
          <w:sz w:val="24"/>
          <w:szCs w:val="24"/>
        </w:rPr>
        <w:t xml:space="preserve"> The Basel Committee on Banking Supervision</w:t>
      </w:r>
      <w:r w:rsidR="00CA0BA6" w:rsidRPr="00B92144">
        <w:rPr>
          <w:rFonts w:asciiTheme="majorBidi" w:hAnsiTheme="majorBidi" w:cstheme="majorBidi"/>
          <w:sz w:val="24"/>
          <w:szCs w:val="24"/>
        </w:rPr>
        <w:t xml:space="preserve"> </w:t>
      </w:r>
      <w:r w:rsidR="00862966" w:rsidRPr="00B92144">
        <w:rPr>
          <w:rFonts w:asciiTheme="majorBidi" w:hAnsiTheme="majorBidi" w:cstheme="majorBidi"/>
          <w:sz w:val="24"/>
          <w:szCs w:val="24"/>
        </w:rPr>
        <w:t>(</w:t>
      </w:r>
      <w:r w:rsidR="00CA0BA6" w:rsidRPr="00B92144">
        <w:rPr>
          <w:rFonts w:asciiTheme="majorBidi" w:hAnsiTheme="majorBidi" w:cstheme="majorBidi"/>
          <w:sz w:val="24"/>
          <w:szCs w:val="24"/>
        </w:rPr>
        <w:t>B</w:t>
      </w:r>
      <w:r w:rsidR="003D0CBA" w:rsidRPr="00B92144">
        <w:rPr>
          <w:rFonts w:asciiTheme="majorBidi" w:hAnsiTheme="majorBidi" w:cstheme="majorBidi"/>
          <w:sz w:val="24"/>
          <w:szCs w:val="24"/>
        </w:rPr>
        <w:t>CBS</w:t>
      </w:r>
      <w:r w:rsidR="00862966" w:rsidRPr="00B92144">
        <w:rPr>
          <w:rFonts w:asciiTheme="majorBidi" w:hAnsiTheme="majorBidi" w:cstheme="majorBidi"/>
          <w:sz w:val="24"/>
          <w:szCs w:val="24"/>
        </w:rPr>
        <w:t>)</w:t>
      </w:r>
      <w:r w:rsidR="003D0CBA" w:rsidRPr="00B92144">
        <w:rPr>
          <w:rFonts w:asciiTheme="majorBidi" w:hAnsiTheme="majorBidi" w:cstheme="majorBidi"/>
          <w:sz w:val="24"/>
          <w:szCs w:val="24"/>
        </w:rPr>
        <w:t xml:space="preserve"> s</w:t>
      </w:r>
      <w:r w:rsidR="00862966" w:rsidRPr="00B92144">
        <w:rPr>
          <w:rFonts w:asciiTheme="majorBidi" w:hAnsiTheme="majorBidi" w:cstheme="majorBidi"/>
          <w:sz w:val="24"/>
          <w:szCs w:val="24"/>
        </w:rPr>
        <w:t>ustains</w:t>
      </w:r>
      <w:r w:rsidR="003D0CBA" w:rsidRPr="00B92144">
        <w:rPr>
          <w:rFonts w:asciiTheme="majorBidi" w:hAnsiTheme="majorBidi" w:cstheme="majorBidi"/>
          <w:sz w:val="24"/>
          <w:szCs w:val="24"/>
        </w:rPr>
        <w:t xml:space="preserve"> that ‘…Independence and objectivity can be enhanced by including qualified non-executive directors on the board…’ (</w:t>
      </w:r>
      <w:r w:rsidR="00862966" w:rsidRPr="00B92144">
        <w:rPr>
          <w:rFonts w:asciiTheme="majorBidi" w:hAnsiTheme="majorBidi" w:cstheme="majorBidi"/>
          <w:color w:val="365F91" w:themeColor="accent1" w:themeShade="BF"/>
          <w:sz w:val="24"/>
          <w:szCs w:val="24"/>
        </w:rPr>
        <w:t>BCBS</w:t>
      </w:r>
      <w:r w:rsidR="003D0CBA" w:rsidRPr="00B92144">
        <w:rPr>
          <w:rFonts w:asciiTheme="majorBidi" w:hAnsiTheme="majorBidi" w:cstheme="majorBidi"/>
          <w:color w:val="365F91" w:themeColor="accent1" w:themeShade="BF"/>
          <w:sz w:val="24"/>
          <w:szCs w:val="24"/>
        </w:rPr>
        <w:t>, 20</w:t>
      </w:r>
      <w:r w:rsidR="0086037D" w:rsidRPr="00B92144">
        <w:rPr>
          <w:rFonts w:asciiTheme="majorBidi" w:hAnsiTheme="majorBidi" w:cstheme="majorBidi"/>
          <w:color w:val="365F91" w:themeColor="accent1" w:themeShade="BF"/>
          <w:sz w:val="24"/>
          <w:szCs w:val="24"/>
        </w:rPr>
        <w:t>12</w:t>
      </w:r>
      <w:r w:rsidR="003D0CBA" w:rsidRPr="00B92144">
        <w:rPr>
          <w:rFonts w:asciiTheme="majorBidi" w:hAnsiTheme="majorBidi" w:cstheme="majorBidi"/>
          <w:color w:val="365F91" w:themeColor="accent1" w:themeShade="BF"/>
          <w:sz w:val="24"/>
          <w:szCs w:val="24"/>
        </w:rPr>
        <w:t>, p. 7</w:t>
      </w:r>
      <w:r w:rsidR="003D0CBA" w:rsidRPr="00B92144">
        <w:rPr>
          <w:rFonts w:asciiTheme="majorBidi" w:hAnsiTheme="majorBidi" w:cstheme="majorBidi"/>
          <w:sz w:val="24"/>
          <w:szCs w:val="24"/>
        </w:rPr>
        <w:t>). Therefore,</w:t>
      </w:r>
      <w:r w:rsidR="00CA0BA6" w:rsidRPr="00B92144">
        <w:rPr>
          <w:rFonts w:asciiTheme="majorBidi" w:hAnsiTheme="majorBidi" w:cstheme="majorBidi"/>
          <w:sz w:val="24"/>
          <w:szCs w:val="24"/>
        </w:rPr>
        <w:t xml:space="preserve"> </w:t>
      </w:r>
      <w:r w:rsidR="003D0CBA" w:rsidRPr="00B92144">
        <w:rPr>
          <w:rFonts w:asciiTheme="majorBidi" w:hAnsiTheme="majorBidi" w:cstheme="majorBidi"/>
          <w:sz w:val="24"/>
          <w:szCs w:val="24"/>
        </w:rPr>
        <w:t xml:space="preserve">we formulate our </w:t>
      </w:r>
      <w:r w:rsidR="00E0041E" w:rsidRPr="00B92144">
        <w:rPr>
          <w:rFonts w:asciiTheme="majorBidi" w:hAnsiTheme="majorBidi" w:cstheme="majorBidi"/>
          <w:sz w:val="24"/>
          <w:szCs w:val="24"/>
        </w:rPr>
        <w:t>ten</w:t>
      </w:r>
      <w:r w:rsidR="00862966" w:rsidRPr="00B92144">
        <w:rPr>
          <w:rFonts w:asciiTheme="majorBidi" w:hAnsiTheme="majorBidi" w:cstheme="majorBidi"/>
          <w:sz w:val="24"/>
          <w:szCs w:val="24"/>
        </w:rPr>
        <w:t>th</w:t>
      </w:r>
      <w:r w:rsidR="003D0CBA" w:rsidRPr="00B92144">
        <w:rPr>
          <w:rFonts w:asciiTheme="majorBidi" w:hAnsiTheme="majorBidi" w:cstheme="majorBidi"/>
          <w:sz w:val="24"/>
          <w:szCs w:val="24"/>
        </w:rPr>
        <w:t xml:space="preserve"> hypothesis as follows:</w:t>
      </w:r>
    </w:p>
    <w:p w14:paraId="0DE9B4A1" w14:textId="3A638417" w:rsidR="003C50C6" w:rsidRPr="00B92144" w:rsidRDefault="003D0CBA" w:rsidP="00410EDE">
      <w:pPr>
        <w:spacing w:before="120" w:after="120" w:line="360" w:lineRule="auto"/>
        <w:jc w:val="both"/>
        <w:rPr>
          <w:rFonts w:asciiTheme="majorBidi" w:hAnsiTheme="majorBidi" w:cstheme="majorBidi"/>
          <w:i/>
          <w:iCs/>
          <w:sz w:val="24"/>
          <w:szCs w:val="24"/>
        </w:rPr>
      </w:pPr>
      <w:r w:rsidRPr="00B92144">
        <w:rPr>
          <w:rFonts w:asciiTheme="majorBidi" w:hAnsiTheme="majorBidi" w:cstheme="majorBidi"/>
          <w:i/>
          <w:iCs/>
          <w:sz w:val="24"/>
          <w:szCs w:val="24"/>
        </w:rPr>
        <w:t>H</w:t>
      </w:r>
      <w:r w:rsidR="00E0041E" w:rsidRPr="00B92144">
        <w:rPr>
          <w:rFonts w:asciiTheme="majorBidi" w:hAnsiTheme="majorBidi" w:cstheme="majorBidi"/>
          <w:i/>
          <w:iCs/>
          <w:sz w:val="24"/>
          <w:szCs w:val="24"/>
        </w:rPr>
        <w:t>10</w:t>
      </w:r>
      <w:r w:rsidRPr="00B92144">
        <w:rPr>
          <w:rFonts w:asciiTheme="majorBidi" w:hAnsiTheme="majorBidi" w:cstheme="majorBidi"/>
          <w:i/>
          <w:iCs/>
          <w:sz w:val="24"/>
          <w:szCs w:val="24"/>
        </w:rPr>
        <w:t>. There is a positive association between the proportion of outside directors sitting on the board and banks</w:t>
      </w:r>
      <w:r w:rsidR="00CA0BA6" w:rsidRPr="00B92144">
        <w:rPr>
          <w:rFonts w:asciiTheme="majorBidi" w:hAnsiTheme="majorBidi" w:cstheme="majorBidi"/>
          <w:i/>
          <w:iCs/>
          <w:sz w:val="24"/>
          <w:szCs w:val="24"/>
        </w:rPr>
        <w:t xml:space="preserve">’ </w:t>
      </w:r>
      <w:r w:rsidR="00410EDE" w:rsidRPr="00B92144">
        <w:rPr>
          <w:rFonts w:asciiTheme="majorBidi" w:hAnsiTheme="majorBidi" w:cstheme="majorBidi"/>
          <w:i/>
          <w:iCs/>
          <w:sz w:val="24"/>
          <w:szCs w:val="24"/>
        </w:rPr>
        <w:t>RRD</w:t>
      </w:r>
      <w:r w:rsidRPr="00B92144">
        <w:rPr>
          <w:rFonts w:asciiTheme="majorBidi" w:hAnsiTheme="majorBidi" w:cstheme="majorBidi"/>
          <w:i/>
          <w:iCs/>
          <w:sz w:val="24"/>
          <w:szCs w:val="24"/>
        </w:rPr>
        <w:t>.</w:t>
      </w:r>
    </w:p>
    <w:p w14:paraId="10A73734" w14:textId="77777777" w:rsidR="00726534" w:rsidRPr="00B92144" w:rsidRDefault="00726534" w:rsidP="00A7568D">
      <w:pPr>
        <w:pStyle w:val="ListParagraph"/>
        <w:numPr>
          <w:ilvl w:val="0"/>
          <w:numId w:val="4"/>
        </w:numPr>
        <w:spacing w:after="120" w:line="360" w:lineRule="auto"/>
        <w:ind w:left="714" w:hanging="357"/>
        <w:contextualSpacing w:val="0"/>
        <w:jc w:val="both"/>
        <w:rPr>
          <w:rFonts w:asciiTheme="majorBidi" w:hAnsiTheme="majorBidi" w:cstheme="majorBidi"/>
          <w:sz w:val="24"/>
          <w:szCs w:val="24"/>
          <w:u w:val="single"/>
        </w:rPr>
      </w:pPr>
      <w:r w:rsidRPr="00B92144">
        <w:rPr>
          <w:rFonts w:asciiTheme="majorBidi" w:hAnsiTheme="majorBidi" w:cstheme="majorBidi"/>
          <w:sz w:val="24"/>
          <w:szCs w:val="24"/>
          <w:u w:val="single"/>
        </w:rPr>
        <w:t>Board foreign members and RRD</w:t>
      </w:r>
    </w:p>
    <w:p w14:paraId="1D24323C" w14:textId="420FD1E8" w:rsidR="00F27BA2" w:rsidRPr="00B92144" w:rsidRDefault="0037615D" w:rsidP="002105FD">
      <w:pPr>
        <w:tabs>
          <w:tab w:val="left" w:pos="2190"/>
        </w:tabs>
        <w:spacing w:after="12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According to </w:t>
      </w:r>
      <w:r w:rsidRPr="00B92144">
        <w:rPr>
          <w:rFonts w:asciiTheme="majorBidi" w:hAnsiTheme="majorBidi" w:cstheme="majorBidi"/>
          <w:color w:val="365F91" w:themeColor="accent1" w:themeShade="BF"/>
          <w:sz w:val="24"/>
          <w:szCs w:val="24"/>
        </w:rPr>
        <w:t xml:space="preserve">Ebrahim and Fattah (2015) </w:t>
      </w:r>
      <w:r w:rsidRPr="00B92144">
        <w:rPr>
          <w:rFonts w:asciiTheme="majorBidi" w:hAnsiTheme="majorBidi" w:cstheme="majorBidi"/>
          <w:sz w:val="24"/>
          <w:szCs w:val="24"/>
        </w:rPr>
        <w:t>foreign board members</w:t>
      </w:r>
      <w:r w:rsidR="00DC034D" w:rsidRPr="00B92144">
        <w:rPr>
          <w:rFonts w:asciiTheme="majorBidi" w:hAnsiTheme="majorBidi" w:cstheme="majorBidi"/>
          <w:sz w:val="24"/>
          <w:szCs w:val="24"/>
        </w:rPr>
        <w:t xml:space="preserve"> have accumulated broad experience over years</w:t>
      </w:r>
      <w:r w:rsidR="00EB765E" w:rsidRPr="00B92144">
        <w:rPr>
          <w:rFonts w:asciiTheme="majorBidi" w:hAnsiTheme="majorBidi" w:cstheme="majorBidi"/>
          <w:sz w:val="24"/>
          <w:szCs w:val="24"/>
        </w:rPr>
        <w:t>.</w:t>
      </w:r>
      <w:r w:rsidR="00DC034D" w:rsidRPr="00B92144">
        <w:rPr>
          <w:rFonts w:asciiTheme="majorBidi" w:hAnsiTheme="majorBidi" w:cstheme="majorBidi"/>
          <w:sz w:val="24"/>
          <w:szCs w:val="24"/>
        </w:rPr>
        <w:t xml:space="preserve"> </w:t>
      </w:r>
      <w:r w:rsidR="00AE2CA7" w:rsidRPr="00B92144">
        <w:rPr>
          <w:rFonts w:asciiTheme="majorBidi" w:hAnsiTheme="majorBidi" w:cstheme="majorBidi"/>
          <w:sz w:val="24"/>
          <w:szCs w:val="24"/>
        </w:rPr>
        <w:t xml:space="preserve">Their high qualifications compared to local board members can be seen as a resource / benefit </w:t>
      </w:r>
      <w:r w:rsidR="007D6835" w:rsidRPr="00B92144">
        <w:rPr>
          <w:rFonts w:asciiTheme="majorBidi" w:hAnsiTheme="majorBidi" w:cstheme="majorBidi"/>
          <w:sz w:val="24"/>
          <w:szCs w:val="24"/>
        </w:rPr>
        <w:t>to</w:t>
      </w:r>
      <w:r w:rsidR="006C5384" w:rsidRPr="00B92144">
        <w:rPr>
          <w:rFonts w:asciiTheme="majorBidi" w:hAnsiTheme="majorBidi" w:cstheme="majorBidi"/>
          <w:sz w:val="24"/>
          <w:szCs w:val="24"/>
        </w:rPr>
        <w:t xml:space="preserve"> the</w:t>
      </w:r>
      <w:r w:rsidR="00AE2CA7" w:rsidRPr="00B92144">
        <w:rPr>
          <w:rFonts w:asciiTheme="majorBidi" w:hAnsiTheme="majorBidi" w:cstheme="majorBidi"/>
          <w:sz w:val="24"/>
          <w:szCs w:val="24"/>
        </w:rPr>
        <w:t xml:space="preserve"> board consistent with </w:t>
      </w:r>
      <w:r w:rsidR="006C5384" w:rsidRPr="00B92144">
        <w:rPr>
          <w:rFonts w:asciiTheme="majorBidi" w:hAnsiTheme="majorBidi" w:cstheme="majorBidi"/>
          <w:sz w:val="24"/>
          <w:szCs w:val="24"/>
        </w:rPr>
        <w:t xml:space="preserve">the </w:t>
      </w:r>
      <w:r w:rsidR="00AE2CA7" w:rsidRPr="00B92144">
        <w:rPr>
          <w:rFonts w:asciiTheme="majorBidi" w:hAnsiTheme="majorBidi" w:cstheme="majorBidi"/>
          <w:sz w:val="24"/>
          <w:szCs w:val="24"/>
        </w:rPr>
        <w:t>Resource Dependence Theory (</w:t>
      </w:r>
      <w:r w:rsidR="00AE2CA7" w:rsidRPr="00B92144">
        <w:rPr>
          <w:rFonts w:asciiTheme="majorBidi" w:hAnsiTheme="majorBidi" w:cstheme="majorBidi"/>
          <w:color w:val="365F91" w:themeColor="accent1" w:themeShade="BF"/>
          <w:sz w:val="24"/>
          <w:szCs w:val="24"/>
        </w:rPr>
        <w:t>Ujunwa et al., 2012</w:t>
      </w:r>
      <w:r w:rsidR="00AE2CA7" w:rsidRPr="00B92144">
        <w:rPr>
          <w:rFonts w:asciiTheme="majorBidi" w:hAnsiTheme="majorBidi" w:cstheme="majorBidi"/>
          <w:sz w:val="24"/>
          <w:szCs w:val="24"/>
        </w:rPr>
        <w:t xml:space="preserve">). </w:t>
      </w:r>
      <w:r w:rsidR="006C5384" w:rsidRPr="00B92144">
        <w:rPr>
          <w:rFonts w:asciiTheme="majorBidi" w:hAnsiTheme="majorBidi" w:cstheme="majorBidi"/>
          <w:sz w:val="24"/>
          <w:szCs w:val="24"/>
        </w:rPr>
        <w:t>Foreign members</w:t>
      </w:r>
      <w:r w:rsidR="00EB765E" w:rsidRPr="00B92144">
        <w:rPr>
          <w:rFonts w:asciiTheme="majorBidi" w:hAnsiTheme="majorBidi" w:cstheme="majorBidi"/>
          <w:sz w:val="24"/>
          <w:szCs w:val="24"/>
        </w:rPr>
        <w:t xml:space="preserve"> have</w:t>
      </w:r>
      <w:r w:rsidR="006C5384" w:rsidRPr="00B92144">
        <w:rPr>
          <w:rFonts w:asciiTheme="majorBidi" w:hAnsiTheme="majorBidi" w:cstheme="majorBidi"/>
          <w:sz w:val="24"/>
          <w:szCs w:val="24"/>
        </w:rPr>
        <w:t xml:space="preserve"> also</w:t>
      </w:r>
      <w:r w:rsidR="00EB765E" w:rsidRPr="00B92144">
        <w:rPr>
          <w:rFonts w:asciiTheme="majorBidi" w:hAnsiTheme="majorBidi" w:cstheme="majorBidi"/>
          <w:sz w:val="24"/>
          <w:szCs w:val="24"/>
        </w:rPr>
        <w:t xml:space="preserve"> </w:t>
      </w:r>
      <w:r w:rsidR="00DC034D" w:rsidRPr="00B92144">
        <w:rPr>
          <w:rFonts w:asciiTheme="majorBidi" w:hAnsiTheme="majorBidi" w:cstheme="majorBidi"/>
          <w:sz w:val="24"/>
          <w:szCs w:val="24"/>
        </w:rPr>
        <w:t xml:space="preserve">developed different strategic visions about financial reporting and stakeholders’ information needs throughout their </w:t>
      </w:r>
      <w:r w:rsidR="00AB65D9" w:rsidRPr="00B92144">
        <w:rPr>
          <w:rFonts w:asciiTheme="majorBidi" w:hAnsiTheme="majorBidi" w:cstheme="majorBidi"/>
          <w:sz w:val="24"/>
          <w:szCs w:val="24"/>
        </w:rPr>
        <w:t>professional</w:t>
      </w:r>
      <w:r w:rsidR="00DC034D" w:rsidRPr="00B92144">
        <w:rPr>
          <w:rFonts w:asciiTheme="majorBidi" w:hAnsiTheme="majorBidi" w:cstheme="majorBidi"/>
          <w:sz w:val="24"/>
          <w:szCs w:val="24"/>
        </w:rPr>
        <w:t xml:space="preserve"> career.</w:t>
      </w:r>
      <w:r w:rsidR="000D78BB" w:rsidRPr="00B92144">
        <w:rPr>
          <w:rFonts w:asciiTheme="majorBidi" w:hAnsiTheme="majorBidi" w:cstheme="majorBidi"/>
          <w:sz w:val="24"/>
          <w:szCs w:val="24"/>
        </w:rPr>
        <w:t xml:space="preserve"> </w:t>
      </w:r>
      <w:r w:rsidR="00EB765E" w:rsidRPr="00B92144">
        <w:rPr>
          <w:rFonts w:asciiTheme="majorBidi" w:hAnsiTheme="majorBidi" w:cstheme="majorBidi"/>
          <w:sz w:val="24"/>
          <w:szCs w:val="24"/>
        </w:rPr>
        <w:t>Their presence on board may signal th</w:t>
      </w:r>
      <w:r w:rsidR="006C5384" w:rsidRPr="00B92144">
        <w:rPr>
          <w:rFonts w:asciiTheme="majorBidi" w:hAnsiTheme="majorBidi" w:cstheme="majorBidi"/>
          <w:sz w:val="24"/>
          <w:szCs w:val="24"/>
        </w:rPr>
        <w:t>us</w:t>
      </w:r>
      <w:r w:rsidR="00EB765E" w:rsidRPr="00B92144">
        <w:rPr>
          <w:rFonts w:asciiTheme="majorBidi" w:hAnsiTheme="majorBidi" w:cstheme="majorBidi"/>
          <w:sz w:val="24"/>
          <w:szCs w:val="24"/>
        </w:rPr>
        <w:t xml:space="preserve"> firm’s ability to deal with international markets and the requirements for better financial disclosure and </w:t>
      </w:r>
      <w:r w:rsidR="00EA637C" w:rsidRPr="00B92144">
        <w:rPr>
          <w:rFonts w:asciiTheme="majorBidi" w:hAnsiTheme="majorBidi" w:cstheme="majorBidi"/>
          <w:sz w:val="24"/>
          <w:szCs w:val="24"/>
        </w:rPr>
        <w:t xml:space="preserve">enhanced </w:t>
      </w:r>
      <w:r w:rsidR="00EB765E" w:rsidRPr="00B92144">
        <w:rPr>
          <w:rFonts w:asciiTheme="majorBidi" w:hAnsiTheme="majorBidi" w:cstheme="majorBidi"/>
          <w:sz w:val="24"/>
          <w:szCs w:val="24"/>
        </w:rPr>
        <w:t>transparency</w:t>
      </w:r>
      <w:r w:rsidR="00EA637C" w:rsidRPr="00B92144">
        <w:rPr>
          <w:rFonts w:asciiTheme="majorBidi" w:hAnsiTheme="majorBidi" w:cstheme="majorBidi"/>
          <w:sz w:val="24"/>
          <w:szCs w:val="24"/>
        </w:rPr>
        <w:t>.</w:t>
      </w:r>
      <w:r w:rsidR="00B849D7" w:rsidRPr="00B92144">
        <w:rPr>
          <w:rFonts w:asciiTheme="majorBidi" w:hAnsiTheme="majorBidi" w:cstheme="majorBidi"/>
          <w:sz w:val="24"/>
          <w:szCs w:val="24"/>
        </w:rPr>
        <w:t xml:space="preserve"> </w:t>
      </w:r>
      <w:r w:rsidR="00A7568D" w:rsidRPr="00B92144">
        <w:rPr>
          <w:rFonts w:asciiTheme="majorBidi" w:hAnsiTheme="majorBidi" w:cstheme="majorBidi"/>
          <w:sz w:val="24"/>
          <w:szCs w:val="24"/>
        </w:rPr>
        <w:t>O</w:t>
      </w:r>
      <w:r w:rsidR="00880943" w:rsidRPr="00B92144">
        <w:rPr>
          <w:rFonts w:asciiTheme="majorBidi" w:hAnsiTheme="majorBidi" w:cstheme="majorBidi"/>
          <w:sz w:val="24"/>
          <w:szCs w:val="24"/>
        </w:rPr>
        <w:t>n the other hand, foreign board members are expected to have great</w:t>
      </w:r>
      <w:r w:rsidR="001803AA" w:rsidRPr="00B92144">
        <w:rPr>
          <w:rFonts w:asciiTheme="majorBidi" w:hAnsiTheme="majorBidi" w:cstheme="majorBidi"/>
          <w:sz w:val="24"/>
          <w:szCs w:val="24"/>
        </w:rPr>
        <w:t>er</w:t>
      </w:r>
      <w:r w:rsidR="00880943" w:rsidRPr="00B92144">
        <w:rPr>
          <w:rFonts w:asciiTheme="majorBidi" w:hAnsiTheme="majorBidi" w:cstheme="majorBidi"/>
          <w:sz w:val="24"/>
          <w:szCs w:val="24"/>
        </w:rPr>
        <w:t xml:space="preserve"> intercultural competence as they</w:t>
      </w:r>
      <w:r w:rsidR="00980828" w:rsidRPr="00B92144">
        <w:rPr>
          <w:rFonts w:asciiTheme="majorBidi" w:hAnsiTheme="majorBidi" w:cstheme="majorBidi"/>
          <w:sz w:val="24"/>
          <w:szCs w:val="24"/>
        </w:rPr>
        <w:t xml:space="preserve"> are used to work efficiently in different business environments.</w:t>
      </w:r>
      <w:r w:rsidR="00AB65D9" w:rsidRPr="00B92144">
        <w:rPr>
          <w:rFonts w:asciiTheme="majorBidi" w:hAnsiTheme="majorBidi" w:cstheme="majorBidi"/>
          <w:sz w:val="24"/>
          <w:szCs w:val="24"/>
        </w:rPr>
        <w:t xml:space="preserve"> </w:t>
      </w:r>
      <w:r w:rsidR="00E76E6A" w:rsidRPr="00B92144">
        <w:rPr>
          <w:rFonts w:asciiTheme="majorBidi" w:hAnsiTheme="majorBidi" w:cstheme="majorBidi"/>
          <w:sz w:val="24"/>
          <w:szCs w:val="24"/>
        </w:rPr>
        <w:t>T</w:t>
      </w:r>
      <w:r w:rsidR="00AB65D9" w:rsidRPr="00B92144">
        <w:rPr>
          <w:rFonts w:asciiTheme="majorBidi" w:hAnsiTheme="majorBidi" w:cstheme="majorBidi"/>
          <w:sz w:val="24"/>
          <w:szCs w:val="24"/>
        </w:rPr>
        <w:t xml:space="preserve">his is likely to </w:t>
      </w:r>
      <w:r w:rsidR="003C50C6" w:rsidRPr="00B92144">
        <w:rPr>
          <w:rFonts w:asciiTheme="majorBidi" w:hAnsiTheme="majorBidi" w:cstheme="majorBidi"/>
          <w:sz w:val="24"/>
          <w:szCs w:val="24"/>
        </w:rPr>
        <w:t>have a psychological effect on</w:t>
      </w:r>
      <w:r w:rsidR="00F27BA2" w:rsidRPr="00B92144">
        <w:rPr>
          <w:rFonts w:asciiTheme="majorBidi" w:hAnsiTheme="majorBidi" w:cstheme="majorBidi"/>
          <w:sz w:val="24"/>
          <w:szCs w:val="24"/>
        </w:rPr>
        <w:t xml:space="preserve"> their cognitive values and certainly impact their</w:t>
      </w:r>
      <w:r w:rsidR="00AB65D9" w:rsidRPr="00B92144">
        <w:rPr>
          <w:rFonts w:asciiTheme="majorBidi" w:hAnsiTheme="majorBidi" w:cstheme="majorBidi"/>
          <w:sz w:val="24"/>
          <w:szCs w:val="24"/>
        </w:rPr>
        <w:t xml:space="preserve"> </w:t>
      </w:r>
      <w:r w:rsidR="00F27BA2" w:rsidRPr="00B92144">
        <w:rPr>
          <w:rFonts w:asciiTheme="majorBidi" w:hAnsiTheme="majorBidi" w:cstheme="majorBidi"/>
          <w:sz w:val="24"/>
          <w:szCs w:val="24"/>
        </w:rPr>
        <w:t xml:space="preserve">strategic decisions </w:t>
      </w:r>
      <w:r w:rsidR="00AB65D9" w:rsidRPr="00B92144">
        <w:rPr>
          <w:rFonts w:asciiTheme="majorBidi" w:hAnsiTheme="majorBidi" w:cstheme="majorBidi"/>
          <w:sz w:val="24"/>
          <w:szCs w:val="24"/>
        </w:rPr>
        <w:t xml:space="preserve">such as the </w:t>
      </w:r>
      <w:r w:rsidR="00F27BA2" w:rsidRPr="00B92144">
        <w:rPr>
          <w:rFonts w:asciiTheme="majorBidi" w:hAnsiTheme="majorBidi" w:cstheme="majorBidi"/>
          <w:sz w:val="24"/>
          <w:szCs w:val="24"/>
        </w:rPr>
        <w:t>compliance</w:t>
      </w:r>
      <w:r w:rsidR="00980828" w:rsidRPr="00B92144">
        <w:rPr>
          <w:rFonts w:asciiTheme="majorBidi" w:hAnsiTheme="majorBidi" w:cstheme="majorBidi"/>
          <w:sz w:val="24"/>
          <w:szCs w:val="24"/>
        </w:rPr>
        <w:t xml:space="preserve"> with </w:t>
      </w:r>
      <w:r w:rsidR="00AB65D9" w:rsidRPr="00B92144">
        <w:rPr>
          <w:rFonts w:asciiTheme="majorBidi" w:hAnsiTheme="majorBidi" w:cstheme="majorBidi"/>
          <w:sz w:val="24"/>
          <w:szCs w:val="24"/>
        </w:rPr>
        <w:t xml:space="preserve">investors’ </w:t>
      </w:r>
      <w:r w:rsidR="00CB6CFC" w:rsidRPr="00B92144">
        <w:rPr>
          <w:rFonts w:asciiTheme="majorBidi" w:hAnsiTheme="majorBidi" w:cstheme="majorBidi"/>
          <w:sz w:val="24"/>
          <w:szCs w:val="24"/>
        </w:rPr>
        <w:t>requirement</w:t>
      </w:r>
      <w:r w:rsidR="00AB65D9" w:rsidRPr="00B92144">
        <w:rPr>
          <w:rFonts w:asciiTheme="majorBidi" w:hAnsiTheme="majorBidi" w:cstheme="majorBidi"/>
          <w:sz w:val="24"/>
          <w:szCs w:val="24"/>
        </w:rPr>
        <w:t xml:space="preserve"> for</w:t>
      </w:r>
      <w:r w:rsidR="00980828" w:rsidRPr="00B92144">
        <w:rPr>
          <w:rFonts w:asciiTheme="majorBidi" w:hAnsiTheme="majorBidi" w:cstheme="majorBidi"/>
          <w:sz w:val="24"/>
          <w:szCs w:val="24"/>
        </w:rPr>
        <w:t xml:space="preserve"> </w:t>
      </w:r>
      <w:r w:rsidR="00AB65D9" w:rsidRPr="00B92144">
        <w:rPr>
          <w:rFonts w:asciiTheme="majorBidi" w:hAnsiTheme="majorBidi" w:cstheme="majorBidi"/>
          <w:sz w:val="24"/>
          <w:szCs w:val="24"/>
        </w:rPr>
        <w:t xml:space="preserve">improved </w:t>
      </w:r>
      <w:r w:rsidR="00980828" w:rsidRPr="00B92144">
        <w:rPr>
          <w:rFonts w:asciiTheme="majorBidi" w:hAnsiTheme="majorBidi" w:cstheme="majorBidi"/>
          <w:sz w:val="24"/>
          <w:szCs w:val="24"/>
        </w:rPr>
        <w:t>disclosure</w:t>
      </w:r>
      <w:r w:rsidR="00AB65D9" w:rsidRPr="00B92144">
        <w:rPr>
          <w:rFonts w:asciiTheme="majorBidi" w:hAnsiTheme="majorBidi" w:cstheme="majorBidi"/>
          <w:sz w:val="24"/>
          <w:szCs w:val="24"/>
        </w:rPr>
        <w:t xml:space="preserve"> (</w:t>
      </w:r>
      <w:r w:rsidR="00AB65D9" w:rsidRPr="00B92144">
        <w:rPr>
          <w:rFonts w:asciiTheme="majorBidi" w:hAnsiTheme="majorBidi" w:cstheme="majorBidi"/>
          <w:color w:val="365F91" w:themeColor="accent1" w:themeShade="BF"/>
          <w:sz w:val="24"/>
          <w:szCs w:val="24"/>
        </w:rPr>
        <w:t>Fernandes, 2017</w:t>
      </w:r>
      <w:r w:rsidR="00AB65D9" w:rsidRPr="00B92144">
        <w:rPr>
          <w:rFonts w:asciiTheme="majorBidi" w:hAnsiTheme="majorBidi" w:cstheme="majorBidi"/>
          <w:sz w:val="24"/>
          <w:szCs w:val="24"/>
        </w:rPr>
        <w:t>)</w:t>
      </w:r>
      <w:r w:rsidR="00F27BA2" w:rsidRPr="00B92144">
        <w:rPr>
          <w:rFonts w:asciiTheme="majorBidi" w:hAnsiTheme="majorBidi" w:cstheme="majorBidi"/>
          <w:sz w:val="24"/>
          <w:szCs w:val="24"/>
        </w:rPr>
        <w:t>.</w:t>
      </w:r>
      <w:r w:rsidR="00F725B0" w:rsidRPr="00B92144">
        <w:rPr>
          <w:rFonts w:asciiTheme="majorBidi" w:hAnsiTheme="majorBidi" w:cstheme="majorBidi"/>
          <w:sz w:val="24"/>
          <w:szCs w:val="24"/>
        </w:rPr>
        <w:t xml:space="preserve"> </w:t>
      </w:r>
      <w:r w:rsidR="00CB6CFC" w:rsidRPr="00B92144">
        <w:rPr>
          <w:rFonts w:asciiTheme="majorBidi" w:hAnsiTheme="majorBidi" w:cstheme="majorBidi"/>
          <w:sz w:val="24"/>
          <w:szCs w:val="24"/>
        </w:rPr>
        <w:t xml:space="preserve">Empirically, </w:t>
      </w:r>
      <w:r w:rsidR="00CB6CFC" w:rsidRPr="00B92144">
        <w:rPr>
          <w:rFonts w:asciiTheme="majorBidi" w:hAnsiTheme="majorBidi" w:cstheme="majorBidi"/>
          <w:color w:val="365F91" w:themeColor="accent1" w:themeShade="BF"/>
          <w:sz w:val="24"/>
          <w:szCs w:val="24"/>
        </w:rPr>
        <w:t xml:space="preserve">Fernandes (2017) </w:t>
      </w:r>
      <w:r w:rsidR="00CB6CFC" w:rsidRPr="00B92144">
        <w:rPr>
          <w:rFonts w:asciiTheme="majorBidi" w:hAnsiTheme="majorBidi" w:cstheme="majorBidi"/>
          <w:sz w:val="24"/>
          <w:szCs w:val="24"/>
        </w:rPr>
        <w:t xml:space="preserve">and </w:t>
      </w:r>
      <w:r w:rsidR="00F27BA2" w:rsidRPr="00B92144">
        <w:rPr>
          <w:rFonts w:asciiTheme="majorBidi" w:hAnsiTheme="majorBidi" w:cstheme="majorBidi"/>
          <w:color w:val="365F91" w:themeColor="accent1" w:themeShade="BF"/>
          <w:sz w:val="24"/>
          <w:szCs w:val="24"/>
        </w:rPr>
        <w:t xml:space="preserve">Masulis </w:t>
      </w:r>
      <w:r w:rsidR="002105FD" w:rsidRPr="00B92144">
        <w:rPr>
          <w:rFonts w:asciiTheme="majorBidi" w:hAnsiTheme="majorBidi" w:cstheme="majorBidi"/>
          <w:color w:val="365F91" w:themeColor="accent1" w:themeShade="BF"/>
          <w:sz w:val="24"/>
          <w:szCs w:val="24"/>
        </w:rPr>
        <w:t>Wang&amp; Xie</w:t>
      </w:r>
      <w:r w:rsidR="00F27BA2" w:rsidRPr="00B92144">
        <w:rPr>
          <w:rFonts w:asciiTheme="majorBidi" w:hAnsiTheme="majorBidi" w:cstheme="majorBidi"/>
          <w:color w:val="365F91" w:themeColor="accent1" w:themeShade="BF"/>
          <w:sz w:val="24"/>
          <w:szCs w:val="24"/>
        </w:rPr>
        <w:t xml:space="preserve">. (2012) </w:t>
      </w:r>
      <w:r w:rsidR="00F27BA2" w:rsidRPr="00B92144">
        <w:rPr>
          <w:rFonts w:asciiTheme="majorBidi" w:hAnsiTheme="majorBidi" w:cstheme="majorBidi"/>
          <w:sz w:val="24"/>
          <w:szCs w:val="24"/>
        </w:rPr>
        <w:t>conclude that foreign directors in low enforcement countries, bring stricter rules and therefore make more disclosures</w:t>
      </w:r>
      <w:r w:rsidR="00CB6CFC" w:rsidRPr="00B92144">
        <w:rPr>
          <w:rFonts w:asciiTheme="majorBidi" w:hAnsiTheme="majorBidi" w:cstheme="majorBidi"/>
          <w:sz w:val="24"/>
          <w:szCs w:val="24"/>
        </w:rPr>
        <w:t xml:space="preserve"> since they are more active and more independent of management.</w:t>
      </w:r>
    </w:p>
    <w:p w14:paraId="10A7F26E" w14:textId="1B5BB45D" w:rsidR="00F27BA2" w:rsidRPr="00B92144" w:rsidRDefault="00F27BA2" w:rsidP="0088116C">
      <w:pPr>
        <w:spacing w:before="120" w:after="120" w:line="360" w:lineRule="auto"/>
        <w:jc w:val="both"/>
        <w:rPr>
          <w:rFonts w:asciiTheme="majorBidi" w:hAnsiTheme="majorBidi" w:cstheme="majorBidi"/>
          <w:sz w:val="24"/>
          <w:szCs w:val="24"/>
        </w:rPr>
      </w:pPr>
      <w:r w:rsidRPr="00B92144">
        <w:rPr>
          <w:rFonts w:asciiTheme="majorBidi" w:hAnsiTheme="majorBidi" w:cstheme="majorBidi"/>
          <w:sz w:val="24"/>
          <w:szCs w:val="24"/>
        </w:rPr>
        <w:lastRenderedPageBreak/>
        <w:t xml:space="preserve">Based on the arguments presented above, </w:t>
      </w:r>
      <w:r w:rsidR="00CB6CFC" w:rsidRPr="00B92144">
        <w:rPr>
          <w:rFonts w:asciiTheme="majorBidi" w:hAnsiTheme="majorBidi" w:cstheme="majorBidi"/>
          <w:sz w:val="24"/>
          <w:szCs w:val="24"/>
        </w:rPr>
        <w:t>we state</w:t>
      </w:r>
      <w:r w:rsidRPr="00B92144">
        <w:rPr>
          <w:rFonts w:asciiTheme="majorBidi" w:hAnsiTheme="majorBidi" w:cstheme="majorBidi"/>
          <w:sz w:val="24"/>
          <w:szCs w:val="24"/>
        </w:rPr>
        <w:t xml:space="preserve"> the following hypothesis:</w:t>
      </w:r>
    </w:p>
    <w:p w14:paraId="632A09A2" w14:textId="349A9193" w:rsidR="00CB6CFC" w:rsidRPr="00B92144" w:rsidRDefault="00F27BA2" w:rsidP="00410EDE">
      <w:pPr>
        <w:spacing w:line="360" w:lineRule="auto"/>
        <w:jc w:val="both"/>
        <w:rPr>
          <w:rFonts w:asciiTheme="majorBidi" w:hAnsiTheme="majorBidi" w:cstheme="majorBidi"/>
          <w:sz w:val="24"/>
          <w:szCs w:val="24"/>
        </w:rPr>
      </w:pPr>
      <w:r w:rsidRPr="00B92144">
        <w:rPr>
          <w:rFonts w:asciiTheme="majorBidi" w:hAnsiTheme="majorBidi" w:cstheme="majorBidi"/>
          <w:i/>
          <w:iCs/>
          <w:sz w:val="24"/>
          <w:szCs w:val="24"/>
        </w:rPr>
        <w:t>H1</w:t>
      </w:r>
      <w:r w:rsidR="00CB6CFC" w:rsidRPr="00B92144">
        <w:rPr>
          <w:rFonts w:asciiTheme="majorBidi" w:hAnsiTheme="majorBidi" w:cstheme="majorBidi"/>
          <w:i/>
          <w:iCs/>
          <w:sz w:val="24"/>
          <w:szCs w:val="24"/>
        </w:rPr>
        <w:t>1</w:t>
      </w:r>
      <w:r w:rsidRPr="00B92144">
        <w:rPr>
          <w:rFonts w:asciiTheme="majorBidi" w:hAnsiTheme="majorBidi" w:cstheme="majorBidi"/>
          <w:i/>
          <w:iCs/>
          <w:sz w:val="24"/>
          <w:szCs w:val="24"/>
        </w:rPr>
        <w:t xml:space="preserve">: A higher proportion of foreign members on the board is associated with a higher level of </w:t>
      </w:r>
      <w:r w:rsidR="00CB6CFC" w:rsidRPr="00B92144">
        <w:rPr>
          <w:rFonts w:asciiTheme="majorBidi" w:hAnsiTheme="majorBidi" w:cstheme="majorBidi"/>
          <w:i/>
          <w:iCs/>
          <w:sz w:val="24"/>
          <w:szCs w:val="24"/>
        </w:rPr>
        <w:t xml:space="preserve">banks’ </w:t>
      </w:r>
      <w:r w:rsidR="00410EDE" w:rsidRPr="00B92144">
        <w:rPr>
          <w:rFonts w:asciiTheme="majorBidi" w:hAnsiTheme="majorBidi" w:cstheme="majorBidi"/>
          <w:i/>
          <w:iCs/>
          <w:sz w:val="24"/>
          <w:szCs w:val="24"/>
        </w:rPr>
        <w:t>RRD</w:t>
      </w:r>
      <w:r w:rsidRPr="00B92144">
        <w:rPr>
          <w:rFonts w:asciiTheme="majorBidi" w:hAnsiTheme="majorBidi" w:cstheme="majorBidi"/>
          <w:sz w:val="24"/>
          <w:szCs w:val="24"/>
        </w:rPr>
        <w:t>.</w:t>
      </w:r>
    </w:p>
    <w:p w14:paraId="781DE6A8" w14:textId="554091AB" w:rsidR="00A273B5" w:rsidRPr="00B92144" w:rsidRDefault="00A273B5" w:rsidP="00F725B0">
      <w:pPr>
        <w:spacing w:line="360" w:lineRule="auto"/>
        <w:jc w:val="both"/>
        <w:rPr>
          <w:rFonts w:asciiTheme="majorBidi" w:hAnsiTheme="majorBidi" w:cstheme="majorBidi"/>
          <w:sz w:val="24"/>
          <w:szCs w:val="24"/>
        </w:rPr>
      </w:pPr>
    </w:p>
    <w:p w14:paraId="2921290F" w14:textId="77777777" w:rsidR="00D238A2" w:rsidRPr="00B92144" w:rsidRDefault="00D238A2" w:rsidP="00F725B0">
      <w:pPr>
        <w:spacing w:line="360" w:lineRule="auto"/>
        <w:jc w:val="both"/>
        <w:rPr>
          <w:rFonts w:asciiTheme="majorBidi" w:hAnsiTheme="majorBidi" w:cstheme="majorBidi"/>
          <w:sz w:val="24"/>
          <w:szCs w:val="24"/>
        </w:rPr>
      </w:pPr>
    </w:p>
    <w:p w14:paraId="526EFA1D" w14:textId="539AC2C5" w:rsidR="00E06363" w:rsidRPr="00B92144" w:rsidRDefault="00E06363" w:rsidP="00A273B5">
      <w:pPr>
        <w:pStyle w:val="ListParagraph"/>
        <w:numPr>
          <w:ilvl w:val="0"/>
          <w:numId w:val="8"/>
        </w:numPr>
        <w:jc w:val="both"/>
        <w:rPr>
          <w:rFonts w:asciiTheme="majorBidi" w:hAnsiTheme="majorBidi" w:cstheme="majorBidi"/>
          <w:b/>
          <w:bCs/>
          <w:sz w:val="24"/>
          <w:szCs w:val="24"/>
        </w:rPr>
      </w:pPr>
      <w:r w:rsidRPr="00B92144">
        <w:rPr>
          <w:rFonts w:asciiTheme="majorBidi" w:hAnsiTheme="majorBidi" w:cstheme="majorBidi"/>
          <w:b/>
          <w:bCs/>
          <w:sz w:val="24"/>
          <w:szCs w:val="24"/>
        </w:rPr>
        <w:t>The sample and data</w:t>
      </w:r>
    </w:p>
    <w:p w14:paraId="0171EA24" w14:textId="00F5C899" w:rsidR="000E23F9" w:rsidRPr="00B92144" w:rsidRDefault="00F66D97" w:rsidP="00FB4B88">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Our dataset is a cross-sectional analysis of the relationship between R</w:t>
      </w:r>
      <w:r w:rsidR="00A00B9F" w:rsidRPr="00B92144">
        <w:rPr>
          <w:rFonts w:asciiTheme="majorBidi" w:hAnsiTheme="majorBidi" w:cstheme="majorBidi"/>
          <w:sz w:val="24"/>
          <w:szCs w:val="24"/>
        </w:rPr>
        <w:t>R</w:t>
      </w:r>
      <w:r w:rsidR="001D5242" w:rsidRPr="00B92144">
        <w:rPr>
          <w:rFonts w:asciiTheme="majorBidi" w:hAnsiTheme="majorBidi" w:cstheme="majorBidi"/>
          <w:sz w:val="24"/>
          <w:szCs w:val="24"/>
        </w:rPr>
        <w:t>D</w:t>
      </w:r>
      <w:r w:rsidR="00253285" w:rsidRPr="00B92144">
        <w:rPr>
          <w:rFonts w:asciiTheme="majorBidi" w:hAnsiTheme="majorBidi" w:cstheme="majorBidi"/>
          <w:sz w:val="24"/>
          <w:szCs w:val="24"/>
        </w:rPr>
        <w:t xml:space="preserve">, </w:t>
      </w:r>
      <w:r w:rsidRPr="00B92144">
        <w:rPr>
          <w:rFonts w:asciiTheme="majorBidi" w:hAnsiTheme="majorBidi" w:cstheme="majorBidi"/>
          <w:sz w:val="24"/>
          <w:szCs w:val="24"/>
        </w:rPr>
        <w:t>corporate attributes</w:t>
      </w:r>
      <w:r w:rsidR="00253285" w:rsidRPr="00B92144">
        <w:rPr>
          <w:rFonts w:asciiTheme="majorBidi" w:hAnsiTheme="majorBidi" w:cstheme="majorBidi"/>
          <w:sz w:val="24"/>
          <w:szCs w:val="24"/>
        </w:rPr>
        <w:t xml:space="preserve"> and governance structure</w:t>
      </w:r>
      <w:r w:rsidRPr="00B92144">
        <w:rPr>
          <w:rFonts w:asciiTheme="majorBidi" w:hAnsiTheme="majorBidi" w:cstheme="majorBidi"/>
          <w:sz w:val="24"/>
          <w:szCs w:val="24"/>
        </w:rPr>
        <w:t xml:space="preserve"> over the period 200</w:t>
      </w:r>
      <w:r w:rsidR="006323BB" w:rsidRPr="00B92144">
        <w:rPr>
          <w:rFonts w:asciiTheme="majorBidi" w:hAnsiTheme="majorBidi" w:cstheme="majorBidi"/>
          <w:sz w:val="24"/>
          <w:szCs w:val="24"/>
        </w:rPr>
        <w:t>9</w:t>
      </w:r>
      <w:r w:rsidRPr="00B92144">
        <w:rPr>
          <w:rFonts w:asciiTheme="majorBidi" w:hAnsiTheme="majorBidi" w:cstheme="majorBidi"/>
          <w:sz w:val="24"/>
          <w:szCs w:val="24"/>
        </w:rPr>
        <w:t>-2014. We use Bankscope and the Bankers databases for the sample selection. The Bankers magazine published a survey in November 2011 of the top Islamic financial institutions by country.</w:t>
      </w:r>
      <w:r w:rsidR="000D2558" w:rsidRPr="00B92144">
        <w:rPr>
          <w:rFonts w:asciiTheme="majorBidi" w:hAnsiTheme="majorBidi" w:cstheme="majorBidi"/>
          <w:sz w:val="24"/>
          <w:szCs w:val="24"/>
        </w:rPr>
        <w:t xml:space="preserve"> For the sake of consistency in our sample, we</w:t>
      </w:r>
      <w:r w:rsidR="000E23F9" w:rsidRPr="00B92144">
        <w:rPr>
          <w:rFonts w:asciiTheme="majorBidi" w:hAnsiTheme="majorBidi" w:cstheme="majorBidi"/>
          <w:sz w:val="24"/>
          <w:szCs w:val="24"/>
        </w:rPr>
        <w:t xml:space="preserve"> include</w:t>
      </w:r>
      <w:r w:rsidR="000D2558" w:rsidRPr="00B92144">
        <w:rPr>
          <w:rFonts w:asciiTheme="majorBidi" w:hAnsiTheme="majorBidi" w:cstheme="majorBidi"/>
          <w:sz w:val="24"/>
          <w:szCs w:val="24"/>
        </w:rPr>
        <w:t xml:space="preserve"> banks which provide only financial statements. In addition, we excluded subsidiaries from our </w:t>
      </w:r>
      <w:r w:rsidR="009445CC" w:rsidRPr="00B92144">
        <w:rPr>
          <w:rFonts w:asciiTheme="majorBidi" w:hAnsiTheme="majorBidi" w:cstheme="majorBidi"/>
          <w:sz w:val="24"/>
          <w:szCs w:val="24"/>
        </w:rPr>
        <w:t xml:space="preserve">samples. </w:t>
      </w:r>
      <w:r w:rsidR="000D2558" w:rsidRPr="00B92144">
        <w:rPr>
          <w:rFonts w:asciiTheme="majorBidi" w:hAnsiTheme="majorBidi" w:cstheme="majorBidi"/>
          <w:sz w:val="24"/>
          <w:szCs w:val="24"/>
        </w:rPr>
        <w:t xml:space="preserve">Therefore, we collect data for </w:t>
      </w:r>
      <w:r w:rsidR="009445CC" w:rsidRPr="00B92144">
        <w:rPr>
          <w:rFonts w:asciiTheme="majorBidi" w:hAnsiTheme="majorBidi" w:cstheme="majorBidi"/>
          <w:sz w:val="24"/>
          <w:szCs w:val="24"/>
        </w:rPr>
        <w:t>72</w:t>
      </w:r>
      <w:r w:rsidR="000D2558" w:rsidRPr="00B92144">
        <w:rPr>
          <w:rFonts w:asciiTheme="majorBidi" w:hAnsiTheme="majorBidi" w:cstheme="majorBidi"/>
          <w:sz w:val="24"/>
          <w:szCs w:val="24"/>
        </w:rPr>
        <w:t xml:space="preserve"> Islamic banks </w:t>
      </w:r>
      <w:r w:rsidR="009445CC" w:rsidRPr="00B92144">
        <w:rPr>
          <w:rFonts w:asciiTheme="majorBidi" w:hAnsiTheme="majorBidi" w:cstheme="majorBidi"/>
          <w:sz w:val="24"/>
          <w:szCs w:val="24"/>
        </w:rPr>
        <w:t xml:space="preserve">and 97 conventional banks </w:t>
      </w:r>
      <w:r w:rsidR="000D2558" w:rsidRPr="00B92144">
        <w:rPr>
          <w:rFonts w:asciiTheme="majorBidi" w:hAnsiTheme="majorBidi" w:cstheme="majorBidi"/>
          <w:sz w:val="24"/>
          <w:szCs w:val="24"/>
        </w:rPr>
        <w:t>from 1</w:t>
      </w:r>
      <w:r w:rsidR="00FB4B88" w:rsidRPr="00B92144">
        <w:rPr>
          <w:rFonts w:asciiTheme="majorBidi" w:hAnsiTheme="majorBidi" w:cstheme="majorBidi"/>
          <w:sz w:val="24"/>
          <w:szCs w:val="24"/>
        </w:rPr>
        <w:t>1</w:t>
      </w:r>
      <w:r w:rsidR="000D2558" w:rsidRPr="00B92144">
        <w:rPr>
          <w:rFonts w:asciiTheme="majorBidi" w:hAnsiTheme="majorBidi" w:cstheme="majorBidi"/>
          <w:sz w:val="24"/>
          <w:szCs w:val="24"/>
        </w:rPr>
        <w:t xml:space="preserve"> countries namely Bahrain, Indonesia, Jordan,</w:t>
      </w:r>
      <w:r w:rsidR="009445CC" w:rsidRPr="00B92144">
        <w:rPr>
          <w:rFonts w:asciiTheme="majorBidi" w:hAnsiTheme="majorBidi" w:cstheme="majorBidi"/>
          <w:sz w:val="24"/>
          <w:szCs w:val="24"/>
        </w:rPr>
        <w:t xml:space="preserve"> </w:t>
      </w:r>
      <w:r w:rsidR="000D2558" w:rsidRPr="00B92144">
        <w:rPr>
          <w:rFonts w:asciiTheme="majorBidi" w:hAnsiTheme="majorBidi" w:cstheme="majorBidi"/>
          <w:sz w:val="24"/>
          <w:szCs w:val="24"/>
        </w:rPr>
        <w:t xml:space="preserve">Kuwait, Malaysia, </w:t>
      </w:r>
      <w:r w:rsidR="009445CC" w:rsidRPr="00B92144">
        <w:rPr>
          <w:rFonts w:asciiTheme="majorBidi" w:hAnsiTheme="majorBidi" w:cstheme="majorBidi"/>
          <w:sz w:val="24"/>
          <w:szCs w:val="24"/>
        </w:rPr>
        <w:t>Pakistan, Qatar, Saudi Arabia, Tunisia</w:t>
      </w:r>
      <w:r w:rsidR="000D2558" w:rsidRPr="00B92144">
        <w:rPr>
          <w:rFonts w:asciiTheme="majorBidi" w:hAnsiTheme="majorBidi" w:cstheme="majorBidi"/>
          <w:sz w:val="24"/>
          <w:szCs w:val="24"/>
        </w:rPr>
        <w:t xml:space="preserve">, </w:t>
      </w:r>
      <w:r w:rsidR="009445CC" w:rsidRPr="00B92144">
        <w:rPr>
          <w:rFonts w:asciiTheme="majorBidi" w:hAnsiTheme="majorBidi" w:cstheme="majorBidi"/>
          <w:sz w:val="24"/>
          <w:szCs w:val="24"/>
        </w:rPr>
        <w:t xml:space="preserve">Egypt, turkey and </w:t>
      </w:r>
      <w:r w:rsidR="000D2558" w:rsidRPr="00B92144">
        <w:rPr>
          <w:rFonts w:asciiTheme="majorBidi" w:hAnsiTheme="majorBidi" w:cstheme="majorBidi"/>
          <w:sz w:val="24"/>
          <w:szCs w:val="24"/>
        </w:rPr>
        <w:t>United Arab Emirates (UAE). The</w:t>
      </w:r>
      <w:r w:rsidR="009445CC" w:rsidRPr="00B92144">
        <w:rPr>
          <w:rFonts w:asciiTheme="majorBidi" w:hAnsiTheme="majorBidi" w:cstheme="majorBidi"/>
          <w:sz w:val="24"/>
          <w:szCs w:val="24"/>
        </w:rPr>
        <w:t xml:space="preserve"> </w:t>
      </w:r>
      <w:r w:rsidR="000D2558" w:rsidRPr="00B92144">
        <w:rPr>
          <w:rFonts w:asciiTheme="majorBidi" w:hAnsiTheme="majorBidi" w:cstheme="majorBidi"/>
          <w:sz w:val="24"/>
          <w:szCs w:val="24"/>
        </w:rPr>
        <w:t>dataset is hand collected from the annual reports and the websites of the respective banks. Data were collected from several</w:t>
      </w:r>
      <w:r w:rsidR="009445CC" w:rsidRPr="00B92144">
        <w:rPr>
          <w:rFonts w:asciiTheme="majorBidi" w:hAnsiTheme="majorBidi" w:cstheme="majorBidi"/>
          <w:sz w:val="24"/>
          <w:szCs w:val="24"/>
        </w:rPr>
        <w:t xml:space="preserve"> sources including Bankscope, and Zawya</w:t>
      </w:r>
      <w:r w:rsidR="000D2558" w:rsidRPr="00B92144">
        <w:rPr>
          <w:rFonts w:asciiTheme="majorBidi" w:hAnsiTheme="majorBidi" w:cstheme="majorBidi"/>
          <w:sz w:val="24"/>
          <w:szCs w:val="24"/>
        </w:rPr>
        <w:t xml:space="preserve"> database</w:t>
      </w:r>
      <w:r w:rsidR="009445CC" w:rsidRPr="00B92144">
        <w:rPr>
          <w:rFonts w:asciiTheme="majorBidi" w:hAnsiTheme="majorBidi" w:cstheme="majorBidi"/>
          <w:sz w:val="24"/>
          <w:szCs w:val="24"/>
        </w:rPr>
        <w:t xml:space="preserve">, in </w:t>
      </w:r>
      <w:r w:rsidR="000D2558" w:rsidRPr="00B92144">
        <w:rPr>
          <w:rFonts w:asciiTheme="majorBidi" w:hAnsiTheme="majorBidi" w:cstheme="majorBidi"/>
          <w:sz w:val="24"/>
          <w:szCs w:val="24"/>
        </w:rPr>
        <w:t>addition to</w:t>
      </w:r>
      <w:r w:rsidR="009445CC" w:rsidRPr="00B92144">
        <w:rPr>
          <w:rFonts w:asciiTheme="majorBidi" w:hAnsiTheme="majorBidi" w:cstheme="majorBidi"/>
          <w:sz w:val="24"/>
          <w:szCs w:val="24"/>
        </w:rPr>
        <w:t xml:space="preserve"> </w:t>
      </w:r>
      <w:r w:rsidR="000D2558" w:rsidRPr="00B92144">
        <w:rPr>
          <w:rFonts w:asciiTheme="majorBidi" w:hAnsiTheme="majorBidi" w:cstheme="majorBidi"/>
          <w:sz w:val="24"/>
          <w:szCs w:val="24"/>
        </w:rPr>
        <w:t xml:space="preserve">the annual reports and websites. Financial information was collected from </w:t>
      </w:r>
      <w:r w:rsidR="009445CC" w:rsidRPr="00B92144">
        <w:rPr>
          <w:rFonts w:asciiTheme="majorBidi" w:hAnsiTheme="majorBidi" w:cstheme="majorBidi"/>
          <w:sz w:val="24"/>
          <w:szCs w:val="24"/>
        </w:rPr>
        <w:t>Zawya datab</w:t>
      </w:r>
      <w:r w:rsidR="000E23F9" w:rsidRPr="00B92144">
        <w:rPr>
          <w:rFonts w:asciiTheme="majorBidi" w:hAnsiTheme="majorBidi" w:cstheme="majorBidi"/>
          <w:sz w:val="24"/>
          <w:szCs w:val="24"/>
        </w:rPr>
        <w:t>a</w:t>
      </w:r>
      <w:r w:rsidR="009445CC" w:rsidRPr="00B92144">
        <w:rPr>
          <w:rFonts w:asciiTheme="majorBidi" w:hAnsiTheme="majorBidi" w:cstheme="majorBidi"/>
          <w:sz w:val="24"/>
          <w:szCs w:val="24"/>
        </w:rPr>
        <w:t>se</w:t>
      </w:r>
      <w:r w:rsidR="000D2558" w:rsidRPr="00B92144">
        <w:rPr>
          <w:rFonts w:asciiTheme="majorBidi" w:hAnsiTheme="majorBidi" w:cstheme="majorBidi"/>
          <w:sz w:val="24"/>
          <w:szCs w:val="24"/>
        </w:rPr>
        <w:t xml:space="preserve"> and Bankscope in addition</w:t>
      </w:r>
      <w:r w:rsidR="009445CC" w:rsidRPr="00B92144">
        <w:rPr>
          <w:rFonts w:asciiTheme="majorBidi" w:hAnsiTheme="majorBidi" w:cstheme="majorBidi"/>
          <w:sz w:val="24"/>
          <w:szCs w:val="24"/>
        </w:rPr>
        <w:t xml:space="preserve"> </w:t>
      </w:r>
      <w:r w:rsidR="000D2558" w:rsidRPr="00B92144">
        <w:rPr>
          <w:rFonts w:asciiTheme="majorBidi" w:hAnsiTheme="majorBidi" w:cstheme="majorBidi"/>
          <w:sz w:val="24"/>
          <w:szCs w:val="24"/>
        </w:rPr>
        <w:t>to the annual reports.</w:t>
      </w:r>
    </w:p>
    <w:p w14:paraId="0A3010BE" w14:textId="1908EFBE" w:rsidR="004509E1" w:rsidRPr="00B92144" w:rsidRDefault="00782DF6" w:rsidP="00A273B5">
      <w:pPr>
        <w:pStyle w:val="ListParagraph"/>
        <w:numPr>
          <w:ilvl w:val="1"/>
          <w:numId w:val="8"/>
        </w:numPr>
        <w:spacing w:line="360" w:lineRule="auto"/>
        <w:jc w:val="both"/>
        <w:rPr>
          <w:rFonts w:asciiTheme="majorBidi" w:hAnsiTheme="majorBidi" w:cstheme="majorBidi"/>
          <w:b/>
          <w:bCs/>
          <w:sz w:val="24"/>
          <w:szCs w:val="24"/>
        </w:rPr>
      </w:pPr>
      <w:r w:rsidRPr="00B92144">
        <w:rPr>
          <w:rFonts w:asciiTheme="majorBidi" w:hAnsiTheme="majorBidi" w:cstheme="majorBidi"/>
          <w:b/>
          <w:bCs/>
          <w:sz w:val="24"/>
          <w:szCs w:val="24"/>
        </w:rPr>
        <w:t>D</w:t>
      </w:r>
      <w:r w:rsidR="004509E1" w:rsidRPr="00B92144">
        <w:rPr>
          <w:rFonts w:asciiTheme="majorBidi" w:hAnsiTheme="majorBidi" w:cstheme="majorBidi"/>
          <w:b/>
          <w:bCs/>
          <w:sz w:val="24"/>
          <w:szCs w:val="24"/>
        </w:rPr>
        <w:t>ependent variable:</w:t>
      </w:r>
    </w:p>
    <w:p w14:paraId="6A03D870" w14:textId="77777777" w:rsidR="00A273B5" w:rsidRPr="00B92144" w:rsidRDefault="0010067B" w:rsidP="00F725B0">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To assess the level of risk disclosure across the studied countries, we use a traditional approach in disclosure studies that is content analysis. </w:t>
      </w:r>
      <w:r w:rsidRPr="00B92144">
        <w:rPr>
          <w:rFonts w:asciiTheme="majorBidi" w:hAnsiTheme="majorBidi" w:cstheme="majorBidi"/>
          <w:color w:val="365F91" w:themeColor="accent1" w:themeShade="BF"/>
          <w:sz w:val="24"/>
          <w:szCs w:val="24"/>
        </w:rPr>
        <w:t xml:space="preserve">Krippendorff (1980) </w:t>
      </w:r>
      <w:r w:rsidR="00235707" w:rsidRPr="00B92144">
        <w:rPr>
          <w:rFonts w:asciiTheme="majorBidi" w:hAnsiTheme="majorBidi" w:cstheme="majorBidi"/>
          <w:sz w:val="24"/>
          <w:szCs w:val="24"/>
        </w:rPr>
        <w:t>trusts</w:t>
      </w:r>
      <w:r w:rsidRPr="00B92144">
        <w:rPr>
          <w:rFonts w:asciiTheme="majorBidi" w:hAnsiTheme="majorBidi" w:cstheme="majorBidi"/>
          <w:sz w:val="24"/>
          <w:szCs w:val="24"/>
        </w:rPr>
        <w:t xml:space="preserve"> that content analysis </w:t>
      </w:r>
      <w:r w:rsidR="00235707" w:rsidRPr="00B92144">
        <w:rPr>
          <w:rFonts w:asciiTheme="majorBidi" w:hAnsiTheme="majorBidi" w:cstheme="majorBidi"/>
          <w:sz w:val="24"/>
          <w:szCs w:val="24"/>
        </w:rPr>
        <w:t>guarantee</w:t>
      </w:r>
      <w:r w:rsidR="00444B06" w:rsidRPr="00B92144">
        <w:rPr>
          <w:rFonts w:asciiTheme="majorBidi" w:hAnsiTheme="majorBidi" w:cstheme="majorBidi"/>
          <w:sz w:val="24"/>
          <w:szCs w:val="24"/>
        </w:rPr>
        <w:t>s</w:t>
      </w:r>
      <w:r w:rsidRPr="00B92144">
        <w:rPr>
          <w:rFonts w:asciiTheme="majorBidi" w:hAnsiTheme="majorBidi" w:cstheme="majorBidi"/>
          <w:sz w:val="24"/>
          <w:szCs w:val="24"/>
        </w:rPr>
        <w:t xml:space="preserve"> repeatability and valid inferences from data according to their contexts.</w:t>
      </w:r>
      <w:r w:rsidR="00235707" w:rsidRPr="00B92144">
        <w:rPr>
          <w:rFonts w:asciiTheme="majorBidi" w:hAnsiTheme="majorBidi" w:cstheme="majorBidi"/>
          <w:sz w:val="24"/>
          <w:szCs w:val="24"/>
        </w:rPr>
        <w:t xml:space="preserve"> </w:t>
      </w:r>
    </w:p>
    <w:p w14:paraId="65720390" w14:textId="15627BBF" w:rsidR="00C542A6" w:rsidRPr="00B92144" w:rsidRDefault="0010067B" w:rsidP="001E33A0">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We collect data from annual reports which</w:t>
      </w:r>
      <w:r w:rsidR="00444B06" w:rsidRPr="00B92144">
        <w:rPr>
          <w:rFonts w:asciiTheme="majorBidi" w:hAnsiTheme="majorBidi" w:cstheme="majorBidi"/>
          <w:sz w:val="24"/>
          <w:szCs w:val="24"/>
        </w:rPr>
        <w:t xml:space="preserve"> </w:t>
      </w:r>
      <w:r w:rsidR="00FC2C6E" w:rsidRPr="00B92144">
        <w:rPr>
          <w:rFonts w:asciiTheme="majorBidi" w:hAnsiTheme="majorBidi" w:cstheme="majorBidi"/>
          <w:sz w:val="24"/>
          <w:szCs w:val="24"/>
        </w:rPr>
        <w:t>cover different aspects of banks</w:t>
      </w:r>
      <w:r w:rsidR="00CA5479" w:rsidRPr="00B92144">
        <w:rPr>
          <w:rFonts w:asciiTheme="majorBidi" w:hAnsiTheme="majorBidi" w:cstheme="majorBidi"/>
          <w:sz w:val="24"/>
          <w:szCs w:val="24"/>
        </w:rPr>
        <w:t>’</w:t>
      </w:r>
      <w:r w:rsidR="00FC2C6E" w:rsidRPr="00B92144">
        <w:rPr>
          <w:rFonts w:asciiTheme="majorBidi" w:hAnsiTheme="majorBidi" w:cstheme="majorBidi"/>
          <w:sz w:val="24"/>
          <w:szCs w:val="24"/>
        </w:rPr>
        <w:t xml:space="preserve"> financial and non-financial performances.</w:t>
      </w:r>
      <w:r w:rsidR="00CA5479" w:rsidRPr="00B92144">
        <w:rPr>
          <w:rFonts w:asciiTheme="majorBidi" w:hAnsiTheme="majorBidi" w:cstheme="majorBidi"/>
          <w:sz w:val="24"/>
          <w:szCs w:val="24"/>
        </w:rPr>
        <w:t xml:space="preserve"> Typically, </w:t>
      </w:r>
      <w:r w:rsidR="00BF21E8" w:rsidRPr="00B92144">
        <w:rPr>
          <w:rFonts w:asciiTheme="majorBidi" w:hAnsiTheme="majorBidi" w:cstheme="majorBidi"/>
          <w:sz w:val="24"/>
          <w:szCs w:val="24"/>
        </w:rPr>
        <w:t>annual</w:t>
      </w:r>
      <w:r w:rsidR="00CA5479" w:rsidRPr="00B92144">
        <w:rPr>
          <w:rFonts w:asciiTheme="majorBidi" w:hAnsiTheme="majorBidi" w:cstheme="majorBidi"/>
          <w:sz w:val="24"/>
          <w:szCs w:val="24"/>
        </w:rPr>
        <w:t xml:space="preserve"> reports </w:t>
      </w:r>
      <w:r w:rsidR="00F933EB" w:rsidRPr="00B92144">
        <w:rPr>
          <w:rFonts w:asciiTheme="majorBidi" w:hAnsiTheme="majorBidi" w:cstheme="majorBidi"/>
          <w:sz w:val="24"/>
          <w:szCs w:val="24"/>
        </w:rPr>
        <w:t>provide a review of</w:t>
      </w:r>
      <w:r w:rsidR="00444B06" w:rsidRPr="00B92144">
        <w:rPr>
          <w:rFonts w:asciiTheme="majorBidi" w:hAnsiTheme="majorBidi" w:cstheme="majorBidi"/>
          <w:sz w:val="24"/>
          <w:szCs w:val="24"/>
        </w:rPr>
        <w:t xml:space="preserve"> </w:t>
      </w:r>
      <w:r w:rsidR="00B516F4" w:rsidRPr="00B92144">
        <w:rPr>
          <w:rFonts w:asciiTheme="majorBidi" w:hAnsiTheme="majorBidi" w:cstheme="majorBidi"/>
          <w:sz w:val="24"/>
          <w:szCs w:val="24"/>
        </w:rPr>
        <w:t>banks’</w:t>
      </w:r>
      <w:r w:rsidR="009D6131" w:rsidRPr="00B92144">
        <w:rPr>
          <w:rFonts w:asciiTheme="majorBidi" w:hAnsiTheme="majorBidi" w:cstheme="majorBidi"/>
          <w:sz w:val="24"/>
          <w:szCs w:val="24"/>
        </w:rPr>
        <w:t xml:space="preserve"> </w:t>
      </w:r>
      <w:r w:rsidR="00444B06" w:rsidRPr="00B92144">
        <w:rPr>
          <w:rFonts w:asciiTheme="majorBidi" w:hAnsiTheme="majorBidi" w:cstheme="majorBidi"/>
          <w:sz w:val="24"/>
          <w:szCs w:val="24"/>
        </w:rPr>
        <w:t>activities, their position</w:t>
      </w:r>
      <w:r w:rsidR="005A541D" w:rsidRPr="00B92144">
        <w:rPr>
          <w:rFonts w:asciiTheme="majorBidi" w:hAnsiTheme="majorBidi" w:cstheme="majorBidi"/>
          <w:sz w:val="24"/>
          <w:szCs w:val="24"/>
        </w:rPr>
        <w:t>,</w:t>
      </w:r>
      <w:r w:rsidR="00444B06" w:rsidRPr="00B92144">
        <w:rPr>
          <w:rFonts w:asciiTheme="majorBidi" w:hAnsiTheme="majorBidi" w:cstheme="majorBidi"/>
          <w:sz w:val="24"/>
          <w:szCs w:val="24"/>
        </w:rPr>
        <w:t xml:space="preserve"> </w:t>
      </w:r>
      <w:r w:rsidR="00FE21CA" w:rsidRPr="00B92144">
        <w:rPr>
          <w:rFonts w:asciiTheme="majorBidi" w:hAnsiTheme="majorBidi" w:cstheme="majorBidi"/>
          <w:sz w:val="24"/>
          <w:szCs w:val="24"/>
        </w:rPr>
        <w:t>their</w:t>
      </w:r>
      <w:r w:rsidR="005A541D" w:rsidRPr="00B92144">
        <w:rPr>
          <w:rFonts w:asciiTheme="majorBidi" w:hAnsiTheme="majorBidi" w:cstheme="majorBidi"/>
          <w:sz w:val="24"/>
          <w:szCs w:val="24"/>
        </w:rPr>
        <w:t xml:space="preserve"> risk</w:t>
      </w:r>
      <w:r w:rsidR="00FE21CA" w:rsidRPr="00B92144">
        <w:rPr>
          <w:rFonts w:asciiTheme="majorBidi" w:hAnsiTheme="majorBidi" w:cstheme="majorBidi"/>
          <w:sz w:val="24"/>
          <w:szCs w:val="24"/>
        </w:rPr>
        <w:t xml:space="preserve"> </w:t>
      </w:r>
      <w:r w:rsidR="005A541D" w:rsidRPr="00B92144">
        <w:rPr>
          <w:rFonts w:asciiTheme="majorBidi" w:hAnsiTheme="majorBidi" w:cstheme="majorBidi"/>
          <w:sz w:val="24"/>
          <w:szCs w:val="24"/>
        </w:rPr>
        <w:t>and capital resources</w:t>
      </w:r>
      <w:r w:rsidR="00FE21CA" w:rsidRPr="00B92144">
        <w:rPr>
          <w:rFonts w:asciiTheme="majorBidi" w:hAnsiTheme="majorBidi" w:cstheme="majorBidi"/>
          <w:sz w:val="24"/>
          <w:szCs w:val="24"/>
        </w:rPr>
        <w:t>’ management</w:t>
      </w:r>
      <w:r w:rsidR="005A541D" w:rsidRPr="00B92144">
        <w:rPr>
          <w:rFonts w:asciiTheme="majorBidi" w:hAnsiTheme="majorBidi" w:cstheme="majorBidi"/>
          <w:sz w:val="24"/>
          <w:szCs w:val="24"/>
        </w:rPr>
        <w:t xml:space="preserve"> </w:t>
      </w:r>
      <w:r w:rsidR="00444B06" w:rsidRPr="00B92144">
        <w:rPr>
          <w:rFonts w:asciiTheme="majorBidi" w:hAnsiTheme="majorBidi" w:cstheme="majorBidi"/>
          <w:sz w:val="24"/>
          <w:szCs w:val="24"/>
        </w:rPr>
        <w:t xml:space="preserve">and their </w:t>
      </w:r>
      <w:r w:rsidR="00CA5479" w:rsidRPr="00B92144">
        <w:rPr>
          <w:rFonts w:asciiTheme="majorBidi" w:hAnsiTheme="majorBidi" w:cstheme="majorBidi"/>
          <w:sz w:val="24"/>
          <w:szCs w:val="24"/>
        </w:rPr>
        <w:t>business vision for the future</w:t>
      </w:r>
      <w:r w:rsidR="00444B06"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We perform the risk disclosures’ analysis of the sample </w:t>
      </w:r>
      <w:r w:rsidR="00B345FC" w:rsidRPr="00B92144">
        <w:rPr>
          <w:rFonts w:asciiTheme="majorBidi" w:hAnsiTheme="majorBidi" w:cstheme="majorBidi"/>
          <w:sz w:val="24"/>
          <w:szCs w:val="24"/>
        </w:rPr>
        <w:t>bank</w:t>
      </w:r>
      <w:r w:rsidRPr="00B92144">
        <w:rPr>
          <w:rFonts w:asciiTheme="majorBidi" w:hAnsiTheme="majorBidi" w:cstheme="majorBidi"/>
          <w:sz w:val="24"/>
          <w:szCs w:val="24"/>
        </w:rPr>
        <w:t>s in all the narrative sections in the annual reports</w:t>
      </w:r>
      <w:r w:rsidR="009D6131" w:rsidRPr="00B92144">
        <w:rPr>
          <w:rFonts w:asciiTheme="majorBidi" w:hAnsiTheme="majorBidi" w:cstheme="majorBidi"/>
          <w:sz w:val="24"/>
          <w:szCs w:val="24"/>
        </w:rPr>
        <w:t>. While the traditional reporting model emphasi</w:t>
      </w:r>
      <w:r w:rsidR="002B5407" w:rsidRPr="00B92144">
        <w:rPr>
          <w:rFonts w:asciiTheme="majorBidi" w:hAnsiTheme="majorBidi" w:cstheme="majorBidi"/>
          <w:sz w:val="24"/>
          <w:szCs w:val="24"/>
        </w:rPr>
        <w:t>z</w:t>
      </w:r>
      <w:r w:rsidR="009D6131" w:rsidRPr="00B92144">
        <w:rPr>
          <w:rFonts w:asciiTheme="majorBidi" w:hAnsiTheme="majorBidi" w:cstheme="majorBidi"/>
          <w:sz w:val="24"/>
          <w:szCs w:val="24"/>
        </w:rPr>
        <w:t>ed backward-looking and quantified information,</w:t>
      </w:r>
      <w:r w:rsidRPr="00B92144">
        <w:rPr>
          <w:rFonts w:asciiTheme="majorBidi" w:hAnsiTheme="majorBidi" w:cstheme="majorBidi"/>
          <w:sz w:val="24"/>
          <w:szCs w:val="24"/>
        </w:rPr>
        <w:t xml:space="preserve"> </w:t>
      </w:r>
      <w:r w:rsidR="009D6131" w:rsidRPr="00B92144">
        <w:rPr>
          <w:rFonts w:asciiTheme="majorBidi" w:hAnsiTheme="majorBidi" w:cstheme="majorBidi"/>
          <w:sz w:val="24"/>
          <w:szCs w:val="24"/>
        </w:rPr>
        <w:t>qualitative and forward-looking information increase</w:t>
      </w:r>
      <w:r w:rsidR="002B5407" w:rsidRPr="00B92144">
        <w:rPr>
          <w:rFonts w:asciiTheme="majorBidi" w:hAnsiTheme="majorBidi" w:cstheme="majorBidi"/>
          <w:sz w:val="24"/>
          <w:szCs w:val="24"/>
        </w:rPr>
        <w:t>s</w:t>
      </w:r>
      <w:r w:rsidR="009D6131" w:rsidRPr="00B92144">
        <w:rPr>
          <w:rFonts w:asciiTheme="majorBidi" w:hAnsiTheme="majorBidi" w:cstheme="majorBidi"/>
          <w:sz w:val="24"/>
          <w:szCs w:val="24"/>
        </w:rPr>
        <w:t xml:space="preserve"> the overall quality of corporate </w:t>
      </w:r>
      <w:r w:rsidR="009D6131" w:rsidRPr="00B92144">
        <w:rPr>
          <w:rFonts w:asciiTheme="majorBidi" w:hAnsiTheme="majorBidi" w:cstheme="majorBidi"/>
          <w:sz w:val="24"/>
          <w:szCs w:val="24"/>
        </w:rPr>
        <w:lastRenderedPageBreak/>
        <w:t xml:space="preserve">reporting and have considerable value for </w:t>
      </w:r>
      <w:r w:rsidR="0090381F" w:rsidRPr="00B92144">
        <w:rPr>
          <w:rFonts w:asciiTheme="majorBidi" w:hAnsiTheme="majorBidi" w:cstheme="majorBidi"/>
          <w:sz w:val="24"/>
          <w:szCs w:val="24"/>
        </w:rPr>
        <w:t xml:space="preserve">banks’ stakeholders </w:t>
      </w:r>
      <w:r w:rsidR="009D6131" w:rsidRPr="00B92144">
        <w:rPr>
          <w:rFonts w:asciiTheme="majorBidi" w:hAnsiTheme="majorBidi" w:cstheme="majorBidi"/>
          <w:sz w:val="24"/>
          <w:szCs w:val="24"/>
        </w:rPr>
        <w:t>(</w:t>
      </w:r>
      <w:r w:rsidR="009D6131" w:rsidRPr="00B92144">
        <w:rPr>
          <w:rFonts w:asciiTheme="majorBidi" w:hAnsiTheme="majorBidi" w:cstheme="majorBidi"/>
          <w:color w:val="365F91" w:themeColor="accent1" w:themeShade="BF"/>
          <w:sz w:val="24"/>
          <w:szCs w:val="24"/>
        </w:rPr>
        <w:t>Chatterjee</w:t>
      </w:r>
      <w:r w:rsidR="001303D7" w:rsidRPr="00B92144">
        <w:rPr>
          <w:rFonts w:asciiTheme="majorBidi" w:hAnsiTheme="majorBidi" w:cstheme="majorBidi"/>
          <w:color w:val="365F91" w:themeColor="accent1" w:themeShade="BF"/>
          <w:sz w:val="24"/>
          <w:szCs w:val="24"/>
        </w:rPr>
        <w:t xml:space="preserve"> </w:t>
      </w:r>
      <w:r w:rsidR="001E33A0" w:rsidRPr="00B92144">
        <w:rPr>
          <w:rFonts w:asciiTheme="majorBidi" w:hAnsiTheme="majorBidi" w:cstheme="majorBidi"/>
          <w:color w:val="365F91" w:themeColor="accent1" w:themeShade="BF"/>
          <w:sz w:val="24"/>
          <w:szCs w:val="24"/>
        </w:rPr>
        <w:t>Tooley, Fatseas, &amp; Brown</w:t>
      </w:r>
      <w:r w:rsidR="009D6131" w:rsidRPr="00B92144">
        <w:rPr>
          <w:rFonts w:asciiTheme="majorBidi" w:hAnsiTheme="majorBidi" w:cstheme="majorBidi"/>
          <w:color w:val="365F91" w:themeColor="accent1" w:themeShade="BF"/>
          <w:sz w:val="24"/>
          <w:szCs w:val="24"/>
        </w:rPr>
        <w:t>, 201</w:t>
      </w:r>
      <w:r w:rsidR="001E33A0" w:rsidRPr="00B92144">
        <w:rPr>
          <w:rFonts w:asciiTheme="majorBidi" w:hAnsiTheme="majorBidi" w:cstheme="majorBidi"/>
          <w:color w:val="365F91" w:themeColor="accent1" w:themeShade="BF"/>
          <w:sz w:val="24"/>
          <w:szCs w:val="24"/>
        </w:rPr>
        <w:t>3</w:t>
      </w:r>
      <w:r w:rsidR="009D6131" w:rsidRPr="00B92144">
        <w:rPr>
          <w:rFonts w:asciiTheme="majorBidi" w:hAnsiTheme="majorBidi" w:cstheme="majorBidi"/>
          <w:sz w:val="24"/>
          <w:szCs w:val="24"/>
        </w:rPr>
        <w:t>).</w:t>
      </w:r>
      <w:r w:rsidR="0090381F" w:rsidRPr="00B92144">
        <w:rPr>
          <w:rFonts w:asciiTheme="majorBidi" w:hAnsiTheme="majorBidi" w:cstheme="majorBidi"/>
          <w:sz w:val="24"/>
          <w:szCs w:val="24"/>
        </w:rPr>
        <w:t xml:space="preserve"> Narrative </w:t>
      </w:r>
      <w:r w:rsidRPr="00B92144">
        <w:rPr>
          <w:rFonts w:asciiTheme="majorBidi" w:hAnsiTheme="majorBidi" w:cstheme="majorBidi"/>
          <w:sz w:val="24"/>
          <w:szCs w:val="24"/>
        </w:rPr>
        <w:t>section</w:t>
      </w:r>
      <w:r w:rsidR="0090381F" w:rsidRPr="00B92144">
        <w:rPr>
          <w:rFonts w:asciiTheme="majorBidi" w:hAnsiTheme="majorBidi" w:cstheme="majorBidi"/>
          <w:sz w:val="24"/>
          <w:szCs w:val="24"/>
        </w:rPr>
        <w:t>s</w:t>
      </w:r>
      <w:r w:rsidRPr="00B92144">
        <w:rPr>
          <w:rFonts w:asciiTheme="majorBidi" w:hAnsiTheme="majorBidi" w:cstheme="majorBidi"/>
          <w:sz w:val="24"/>
          <w:szCs w:val="24"/>
        </w:rPr>
        <w:t xml:space="preserve"> serve</w:t>
      </w:r>
      <w:r w:rsidR="00FE21CA" w:rsidRPr="00B92144">
        <w:rPr>
          <w:rFonts w:asciiTheme="majorBidi" w:hAnsiTheme="majorBidi" w:cstheme="majorBidi"/>
          <w:sz w:val="24"/>
          <w:szCs w:val="24"/>
        </w:rPr>
        <w:t xml:space="preserve"> indeed</w:t>
      </w:r>
      <w:r w:rsidRPr="00B92144">
        <w:rPr>
          <w:rFonts w:asciiTheme="majorBidi" w:hAnsiTheme="majorBidi" w:cstheme="majorBidi"/>
          <w:sz w:val="24"/>
          <w:szCs w:val="24"/>
        </w:rPr>
        <w:t xml:space="preserve"> as a </w:t>
      </w:r>
      <w:r w:rsidR="0090381F" w:rsidRPr="00B92144">
        <w:rPr>
          <w:rFonts w:asciiTheme="majorBidi" w:hAnsiTheme="majorBidi" w:cstheme="majorBidi"/>
          <w:sz w:val="24"/>
          <w:szCs w:val="24"/>
        </w:rPr>
        <w:t>tool</w:t>
      </w:r>
      <w:r w:rsidRPr="00B92144">
        <w:rPr>
          <w:rFonts w:asciiTheme="majorBidi" w:hAnsiTheme="majorBidi" w:cstheme="majorBidi"/>
          <w:sz w:val="24"/>
          <w:szCs w:val="24"/>
        </w:rPr>
        <w:t xml:space="preserve"> for managers to </w:t>
      </w:r>
      <w:r w:rsidR="0090381F" w:rsidRPr="00B92144">
        <w:rPr>
          <w:rFonts w:asciiTheme="majorBidi" w:hAnsiTheme="majorBidi" w:cstheme="majorBidi"/>
          <w:sz w:val="24"/>
          <w:szCs w:val="24"/>
        </w:rPr>
        <w:t>disclose</w:t>
      </w:r>
      <w:r w:rsidRPr="00B92144">
        <w:rPr>
          <w:rFonts w:asciiTheme="majorBidi" w:hAnsiTheme="majorBidi" w:cstheme="majorBidi"/>
          <w:sz w:val="24"/>
          <w:szCs w:val="24"/>
        </w:rPr>
        <w:t xml:space="preserve"> “their perspectives of the firm to investors, such as why earnings have changed, what liquidity needs the firm faces, what capital resources have been or are planned to be used, what material market risks the firm is exposed to” (</w:t>
      </w:r>
      <w:r w:rsidRPr="00B92144">
        <w:rPr>
          <w:rFonts w:asciiTheme="majorBidi" w:hAnsiTheme="majorBidi" w:cstheme="majorBidi"/>
          <w:color w:val="365F91" w:themeColor="accent1" w:themeShade="BF"/>
          <w:sz w:val="24"/>
          <w:szCs w:val="24"/>
        </w:rPr>
        <w:t xml:space="preserve">Brown </w:t>
      </w:r>
      <w:r w:rsidR="0088116C" w:rsidRPr="00B92144">
        <w:rPr>
          <w:rFonts w:asciiTheme="majorBidi" w:hAnsiTheme="majorBidi" w:cstheme="majorBidi"/>
          <w:color w:val="365F91" w:themeColor="accent1" w:themeShade="BF"/>
          <w:sz w:val="24"/>
          <w:szCs w:val="24"/>
        </w:rPr>
        <w:t>&amp;</w:t>
      </w:r>
      <w:r w:rsidRPr="00B92144">
        <w:rPr>
          <w:rFonts w:asciiTheme="majorBidi" w:hAnsiTheme="majorBidi" w:cstheme="majorBidi"/>
          <w:color w:val="365F91" w:themeColor="accent1" w:themeShade="BF"/>
          <w:sz w:val="24"/>
          <w:szCs w:val="24"/>
        </w:rPr>
        <w:t xml:space="preserve"> Tucker, 2011, p. 310</w:t>
      </w:r>
      <w:r w:rsidRPr="00B92144">
        <w:rPr>
          <w:rFonts w:asciiTheme="majorBidi" w:hAnsiTheme="majorBidi" w:cstheme="majorBidi"/>
          <w:sz w:val="24"/>
          <w:szCs w:val="24"/>
        </w:rPr>
        <w:t>) and what are the future trends that may affect</w:t>
      </w:r>
      <w:r w:rsidR="00CB6CFC" w:rsidRPr="00B92144">
        <w:rPr>
          <w:rFonts w:asciiTheme="majorBidi" w:hAnsiTheme="majorBidi" w:cstheme="majorBidi"/>
          <w:sz w:val="24"/>
          <w:szCs w:val="24"/>
        </w:rPr>
        <w:t xml:space="preserve"> </w:t>
      </w:r>
      <w:r w:rsidRPr="00B92144">
        <w:rPr>
          <w:rFonts w:asciiTheme="majorBidi" w:hAnsiTheme="majorBidi" w:cstheme="majorBidi"/>
          <w:sz w:val="24"/>
          <w:szCs w:val="24"/>
        </w:rPr>
        <w:t>future operations</w:t>
      </w:r>
      <w:r w:rsidR="0090381F" w:rsidRPr="00B92144">
        <w:rPr>
          <w:rFonts w:asciiTheme="majorBidi" w:hAnsiTheme="majorBidi" w:cstheme="majorBidi"/>
          <w:sz w:val="24"/>
          <w:szCs w:val="24"/>
        </w:rPr>
        <w:t>.</w:t>
      </w:r>
    </w:p>
    <w:p w14:paraId="7AC18067" w14:textId="68A7E4E2" w:rsidR="00902ECD" w:rsidRPr="00B92144" w:rsidRDefault="00902ECD" w:rsidP="00CA6F77">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We chose to consider risk related information at an aggregated level since the adoption of international standards of risk reporting in emerging markets is a vital step in their steady integration into the global economic system. It is also worthy to mention that out of our </w:t>
      </w:r>
      <w:r w:rsidR="00CA6F77" w:rsidRPr="00B92144">
        <w:rPr>
          <w:rFonts w:asciiTheme="majorBidi" w:hAnsiTheme="majorBidi" w:cstheme="majorBidi"/>
          <w:sz w:val="24"/>
          <w:szCs w:val="24"/>
        </w:rPr>
        <w:t>11</w:t>
      </w:r>
      <w:r w:rsidRPr="00B92144">
        <w:rPr>
          <w:rFonts w:asciiTheme="majorBidi" w:hAnsiTheme="majorBidi" w:cstheme="majorBidi"/>
          <w:sz w:val="24"/>
          <w:szCs w:val="24"/>
        </w:rPr>
        <w:t xml:space="preserve"> investigated countries; eight countries have already required or allowed the use of IFRS by their listed financial firms. Besides, the literature on the financial sector shows that these firms disclose more comprehensive risk information relative to firms in other industries [e.g., </w:t>
      </w:r>
      <w:r w:rsidRPr="00B92144">
        <w:rPr>
          <w:rFonts w:asciiTheme="majorBidi" w:hAnsiTheme="majorBidi" w:cstheme="majorBidi"/>
          <w:color w:val="365F91" w:themeColor="accent1" w:themeShade="BF"/>
          <w:sz w:val="24"/>
          <w:szCs w:val="24"/>
        </w:rPr>
        <w:t>Al-Hadi</w:t>
      </w:r>
      <w:r w:rsidR="001E33A0" w:rsidRPr="00B92144">
        <w:rPr>
          <w:rFonts w:asciiTheme="majorBidi" w:hAnsiTheme="majorBidi" w:cstheme="majorBidi"/>
          <w:color w:val="365F91" w:themeColor="accent1" w:themeShade="BF"/>
          <w:sz w:val="24"/>
          <w:szCs w:val="24"/>
        </w:rPr>
        <w:t>, Al-Yahyaee, Hussain, &amp; Taylo</w:t>
      </w:r>
      <w:r w:rsidRPr="00B92144">
        <w:rPr>
          <w:rFonts w:asciiTheme="majorBidi" w:hAnsiTheme="majorBidi" w:cstheme="majorBidi"/>
          <w:color w:val="365F91" w:themeColor="accent1" w:themeShade="BF"/>
          <w:sz w:val="24"/>
          <w:szCs w:val="24"/>
        </w:rPr>
        <w:t>, 2017; Hirtle, 2007; Nier and Baumann, 2006; Pérignon and Smith, 2010</w:t>
      </w:r>
      <w:r w:rsidRPr="00B92144">
        <w:rPr>
          <w:rFonts w:asciiTheme="majorBidi" w:hAnsiTheme="majorBidi" w:cstheme="majorBidi"/>
          <w:sz w:val="24"/>
          <w:szCs w:val="24"/>
        </w:rPr>
        <w:t xml:space="preserve">]. Not to mention that </w:t>
      </w:r>
      <w:r w:rsidR="00DD5517" w:rsidRPr="00B92144">
        <w:rPr>
          <w:rFonts w:asciiTheme="majorBidi" w:hAnsiTheme="majorBidi" w:cstheme="majorBidi"/>
          <w:sz w:val="24"/>
          <w:szCs w:val="24"/>
        </w:rPr>
        <w:t xml:space="preserve">most Islamic banks in Bahrain, Jordan, </w:t>
      </w:r>
      <w:r w:rsidR="00CE5B09" w:rsidRPr="00B92144">
        <w:rPr>
          <w:rFonts w:asciiTheme="majorBidi" w:hAnsiTheme="majorBidi" w:cstheme="majorBidi"/>
          <w:sz w:val="24"/>
          <w:szCs w:val="24"/>
        </w:rPr>
        <w:t xml:space="preserve">Qatar, </w:t>
      </w:r>
      <w:r w:rsidR="00DD5517" w:rsidRPr="00B92144">
        <w:rPr>
          <w:rFonts w:asciiTheme="majorBidi" w:hAnsiTheme="majorBidi" w:cstheme="majorBidi"/>
          <w:sz w:val="24"/>
          <w:szCs w:val="24"/>
        </w:rPr>
        <w:t xml:space="preserve">Saudi Arabia or Malaysia are </w:t>
      </w:r>
      <w:r w:rsidR="00CE5B09" w:rsidRPr="00B92144">
        <w:rPr>
          <w:rFonts w:asciiTheme="majorBidi" w:hAnsiTheme="majorBidi" w:cstheme="majorBidi"/>
          <w:sz w:val="24"/>
          <w:szCs w:val="24"/>
        </w:rPr>
        <w:t xml:space="preserve">either required to comply or </w:t>
      </w:r>
      <w:r w:rsidR="00DD5517" w:rsidRPr="00B92144">
        <w:rPr>
          <w:rFonts w:asciiTheme="majorBidi" w:hAnsiTheme="majorBidi" w:cstheme="majorBidi"/>
          <w:sz w:val="24"/>
          <w:szCs w:val="24"/>
        </w:rPr>
        <w:t xml:space="preserve">moving toward embracing the </w:t>
      </w:r>
      <w:r w:rsidRPr="00B92144">
        <w:rPr>
          <w:rFonts w:asciiTheme="majorBidi" w:hAnsiTheme="majorBidi" w:cstheme="majorBidi"/>
          <w:sz w:val="24"/>
          <w:szCs w:val="24"/>
        </w:rPr>
        <w:t>AAOIFI and IF</w:t>
      </w:r>
      <w:r w:rsidR="00DD5517" w:rsidRPr="00B92144">
        <w:rPr>
          <w:rFonts w:asciiTheme="majorBidi" w:hAnsiTheme="majorBidi" w:cstheme="majorBidi"/>
          <w:sz w:val="24"/>
          <w:szCs w:val="24"/>
        </w:rPr>
        <w:t>S</w:t>
      </w:r>
      <w:r w:rsidRPr="00B92144">
        <w:rPr>
          <w:rFonts w:asciiTheme="majorBidi" w:hAnsiTheme="majorBidi" w:cstheme="majorBidi"/>
          <w:sz w:val="24"/>
          <w:szCs w:val="24"/>
        </w:rPr>
        <w:t xml:space="preserve">B standards </w:t>
      </w:r>
      <w:r w:rsidR="00DD5517" w:rsidRPr="00B92144">
        <w:rPr>
          <w:rFonts w:asciiTheme="majorBidi" w:hAnsiTheme="majorBidi" w:cstheme="majorBidi"/>
          <w:sz w:val="24"/>
          <w:szCs w:val="24"/>
        </w:rPr>
        <w:t xml:space="preserve">at a steady pace. </w:t>
      </w:r>
    </w:p>
    <w:p w14:paraId="3466C99D" w14:textId="445C9070" w:rsidR="00FA1B55" w:rsidRPr="00B92144" w:rsidRDefault="00353401" w:rsidP="00815EA4">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Scholars relied on different coding schemes when performing a content analysis. These schemes</w:t>
      </w:r>
      <w:r w:rsidR="00231F78" w:rsidRPr="00B92144">
        <w:rPr>
          <w:rFonts w:asciiTheme="majorBidi" w:hAnsiTheme="majorBidi" w:cstheme="majorBidi"/>
          <w:sz w:val="24"/>
          <w:szCs w:val="24"/>
        </w:rPr>
        <w:t xml:space="preserve"> involve the use of either keywords, sentences or pages as a measurement unit. </w:t>
      </w:r>
      <w:r w:rsidR="001022B3" w:rsidRPr="00B92144">
        <w:rPr>
          <w:rFonts w:asciiTheme="majorBidi" w:hAnsiTheme="majorBidi" w:cstheme="majorBidi"/>
          <w:sz w:val="24"/>
          <w:szCs w:val="24"/>
        </w:rPr>
        <w:t>Congruent with recent risk disclosure literature (</w:t>
      </w:r>
      <w:r w:rsidR="001022B3" w:rsidRPr="00B92144">
        <w:rPr>
          <w:rFonts w:asciiTheme="majorBidi" w:hAnsiTheme="majorBidi" w:cstheme="majorBidi"/>
          <w:color w:val="365F91" w:themeColor="accent1" w:themeShade="BF"/>
          <w:sz w:val="24"/>
          <w:szCs w:val="24"/>
        </w:rPr>
        <w:t xml:space="preserve">Beretta </w:t>
      </w:r>
      <w:r w:rsidR="0088116C" w:rsidRPr="00B92144">
        <w:rPr>
          <w:rFonts w:asciiTheme="majorBidi" w:hAnsiTheme="majorBidi" w:cstheme="majorBidi"/>
          <w:color w:val="365F91" w:themeColor="accent1" w:themeShade="BF"/>
          <w:sz w:val="24"/>
          <w:szCs w:val="24"/>
        </w:rPr>
        <w:t>&amp;</w:t>
      </w:r>
      <w:r w:rsidR="001022B3" w:rsidRPr="00B92144">
        <w:rPr>
          <w:rFonts w:asciiTheme="majorBidi" w:hAnsiTheme="majorBidi" w:cstheme="majorBidi"/>
          <w:color w:val="365F91" w:themeColor="accent1" w:themeShade="BF"/>
          <w:sz w:val="24"/>
          <w:szCs w:val="24"/>
        </w:rPr>
        <w:t xml:space="preserve"> Bozzolan, 2004; Linsley </w:t>
      </w:r>
      <w:r w:rsidR="0088116C" w:rsidRPr="00B92144">
        <w:rPr>
          <w:rFonts w:asciiTheme="majorBidi" w:hAnsiTheme="majorBidi" w:cstheme="majorBidi"/>
          <w:color w:val="365F91" w:themeColor="accent1" w:themeShade="BF"/>
          <w:sz w:val="24"/>
          <w:szCs w:val="24"/>
        </w:rPr>
        <w:t>&amp;</w:t>
      </w:r>
      <w:r w:rsidR="001022B3" w:rsidRPr="00B92144">
        <w:rPr>
          <w:rFonts w:asciiTheme="majorBidi" w:hAnsiTheme="majorBidi" w:cstheme="majorBidi"/>
          <w:color w:val="365F91" w:themeColor="accent1" w:themeShade="BF"/>
          <w:sz w:val="24"/>
          <w:szCs w:val="24"/>
        </w:rPr>
        <w:t xml:space="preserve"> Shrives, 2006; </w:t>
      </w:r>
      <w:r w:rsidR="0062045B" w:rsidRPr="00B92144">
        <w:rPr>
          <w:rFonts w:asciiTheme="majorBidi" w:hAnsiTheme="majorBidi" w:cstheme="majorBidi"/>
          <w:color w:val="365F91" w:themeColor="accent1" w:themeShade="BF"/>
          <w:sz w:val="24"/>
          <w:szCs w:val="24"/>
        </w:rPr>
        <w:t>Amran, Bin, &amp; Hassan 2009</w:t>
      </w:r>
      <w:r w:rsidR="001022B3" w:rsidRPr="00B92144">
        <w:rPr>
          <w:rFonts w:asciiTheme="majorBidi" w:hAnsiTheme="majorBidi" w:cstheme="majorBidi"/>
          <w:color w:val="365F91" w:themeColor="accent1" w:themeShade="BF"/>
          <w:sz w:val="24"/>
          <w:szCs w:val="24"/>
        </w:rPr>
        <w:t>; Dobler</w:t>
      </w:r>
      <w:r w:rsidR="003D5EAB" w:rsidRPr="00B92144">
        <w:rPr>
          <w:rFonts w:asciiTheme="majorBidi" w:hAnsiTheme="majorBidi" w:cstheme="majorBidi"/>
          <w:color w:val="365F91" w:themeColor="accent1" w:themeShade="BF"/>
          <w:sz w:val="24"/>
          <w:szCs w:val="24"/>
        </w:rPr>
        <w:t>, Lajili &amp;Zéghal</w:t>
      </w:r>
      <w:r w:rsidR="001022B3" w:rsidRPr="00B92144">
        <w:rPr>
          <w:rFonts w:asciiTheme="majorBidi" w:hAnsiTheme="majorBidi" w:cstheme="majorBidi"/>
          <w:color w:val="365F91" w:themeColor="accent1" w:themeShade="BF"/>
          <w:sz w:val="24"/>
          <w:szCs w:val="24"/>
        </w:rPr>
        <w:t>., 2011; Hussainey</w:t>
      </w:r>
      <w:r w:rsidR="00AA2C2D" w:rsidRPr="00B92144">
        <w:rPr>
          <w:rFonts w:asciiTheme="majorBidi" w:hAnsiTheme="majorBidi" w:cstheme="majorBidi"/>
          <w:color w:val="365F91" w:themeColor="accent1" w:themeShade="BF"/>
          <w:sz w:val="24"/>
          <w:szCs w:val="24"/>
        </w:rPr>
        <w:t xml:space="preserve"> &amp;</w:t>
      </w:r>
      <w:r w:rsidR="00AA2C2D" w:rsidRPr="00B92144">
        <w:rPr>
          <w:rFonts w:asciiTheme="majorBidi" w:hAnsiTheme="majorBidi" w:cstheme="majorBidi"/>
        </w:rPr>
        <w:t xml:space="preserve"> </w:t>
      </w:r>
      <w:r w:rsidR="00AA2C2D" w:rsidRPr="00B92144">
        <w:rPr>
          <w:rFonts w:asciiTheme="majorBidi" w:hAnsiTheme="majorBidi" w:cstheme="majorBidi"/>
          <w:color w:val="365F91" w:themeColor="accent1" w:themeShade="BF"/>
          <w:sz w:val="24"/>
          <w:szCs w:val="24"/>
        </w:rPr>
        <w:t>Elzahar</w:t>
      </w:r>
      <w:r w:rsidR="001022B3" w:rsidRPr="00B92144">
        <w:rPr>
          <w:rFonts w:asciiTheme="majorBidi" w:hAnsiTheme="majorBidi" w:cstheme="majorBidi"/>
          <w:color w:val="365F91" w:themeColor="accent1" w:themeShade="BF"/>
          <w:sz w:val="24"/>
          <w:szCs w:val="24"/>
        </w:rPr>
        <w:t>, 2012; Moumen</w:t>
      </w:r>
      <w:r w:rsidR="003D5EAB" w:rsidRPr="00B92144">
        <w:rPr>
          <w:rFonts w:asciiTheme="majorBidi" w:hAnsiTheme="majorBidi" w:cstheme="majorBidi"/>
          <w:color w:val="365F91" w:themeColor="accent1" w:themeShade="BF"/>
          <w:sz w:val="24"/>
          <w:szCs w:val="24"/>
        </w:rPr>
        <w:t>, Ben Othman &amp; Hussainey</w:t>
      </w:r>
      <w:r w:rsidR="001022B3" w:rsidRPr="00B92144">
        <w:rPr>
          <w:rFonts w:asciiTheme="majorBidi" w:hAnsiTheme="majorBidi" w:cstheme="majorBidi"/>
          <w:color w:val="365F91" w:themeColor="accent1" w:themeShade="BF"/>
          <w:sz w:val="24"/>
          <w:szCs w:val="24"/>
        </w:rPr>
        <w:t>, 2015; 2016</w:t>
      </w:r>
      <w:r w:rsidR="001022B3" w:rsidRPr="00B92144">
        <w:rPr>
          <w:rFonts w:asciiTheme="majorBidi" w:hAnsiTheme="majorBidi" w:cstheme="majorBidi"/>
          <w:sz w:val="24"/>
          <w:szCs w:val="24"/>
        </w:rPr>
        <w:t xml:space="preserve">) we </w:t>
      </w:r>
      <w:r w:rsidR="00B974AD" w:rsidRPr="00B92144">
        <w:rPr>
          <w:rFonts w:asciiTheme="majorBidi" w:hAnsiTheme="majorBidi" w:cstheme="majorBidi"/>
          <w:sz w:val="24"/>
          <w:szCs w:val="24"/>
        </w:rPr>
        <w:t>count</w:t>
      </w:r>
      <w:r w:rsidR="001022B3" w:rsidRPr="00B92144">
        <w:rPr>
          <w:rFonts w:asciiTheme="majorBidi" w:hAnsiTheme="majorBidi" w:cstheme="majorBidi"/>
          <w:sz w:val="24"/>
          <w:szCs w:val="24"/>
        </w:rPr>
        <w:t xml:space="preserve"> the number of risk-related sentences to assess</w:t>
      </w:r>
      <w:r w:rsidR="00BA76C6" w:rsidRPr="00B92144">
        <w:rPr>
          <w:rFonts w:asciiTheme="majorBidi" w:hAnsiTheme="majorBidi" w:cstheme="majorBidi"/>
          <w:sz w:val="24"/>
          <w:szCs w:val="24"/>
        </w:rPr>
        <w:t xml:space="preserve"> the level of</w:t>
      </w:r>
      <w:r w:rsidR="001022B3" w:rsidRPr="00B92144">
        <w:rPr>
          <w:rFonts w:asciiTheme="majorBidi" w:hAnsiTheme="majorBidi" w:cstheme="majorBidi"/>
          <w:sz w:val="24"/>
          <w:szCs w:val="24"/>
        </w:rPr>
        <w:t xml:space="preserve"> risk disclosure </w:t>
      </w:r>
      <w:r w:rsidR="00BA76C6" w:rsidRPr="00B92144">
        <w:rPr>
          <w:rFonts w:asciiTheme="majorBidi" w:hAnsiTheme="majorBidi" w:cstheme="majorBidi"/>
          <w:sz w:val="24"/>
          <w:szCs w:val="24"/>
        </w:rPr>
        <w:t>by banks</w:t>
      </w:r>
      <w:r w:rsidR="001022B3" w:rsidRPr="00B92144">
        <w:rPr>
          <w:rFonts w:asciiTheme="majorBidi" w:hAnsiTheme="majorBidi" w:cstheme="majorBidi"/>
          <w:sz w:val="24"/>
          <w:szCs w:val="24"/>
        </w:rPr>
        <w:t>.</w:t>
      </w:r>
      <w:r w:rsidR="00B974AD" w:rsidRPr="00B92144">
        <w:rPr>
          <w:rFonts w:asciiTheme="majorBidi" w:hAnsiTheme="majorBidi" w:cstheme="majorBidi"/>
          <w:sz w:val="24"/>
          <w:szCs w:val="24"/>
        </w:rPr>
        <w:t xml:space="preserve"> </w:t>
      </w:r>
      <w:r w:rsidR="00106779" w:rsidRPr="00B92144">
        <w:rPr>
          <w:rFonts w:asciiTheme="majorBidi" w:hAnsiTheme="majorBidi" w:cstheme="majorBidi"/>
          <w:sz w:val="24"/>
          <w:szCs w:val="24"/>
        </w:rPr>
        <w:t xml:space="preserve">We expect less bias when referring to sentences compared to words since </w:t>
      </w:r>
      <w:r w:rsidR="00494B35" w:rsidRPr="00B92144">
        <w:rPr>
          <w:rFonts w:asciiTheme="majorBidi" w:hAnsiTheme="majorBidi" w:cstheme="majorBidi"/>
          <w:color w:val="365F91" w:themeColor="accent1" w:themeShade="BF"/>
          <w:sz w:val="24"/>
          <w:szCs w:val="24"/>
        </w:rPr>
        <w:t>Unerman (2000</w:t>
      </w:r>
      <w:r w:rsidR="00494B35" w:rsidRPr="00B92144">
        <w:rPr>
          <w:rFonts w:asciiTheme="majorBidi" w:hAnsiTheme="majorBidi" w:cstheme="majorBidi"/>
          <w:sz w:val="24"/>
          <w:szCs w:val="24"/>
        </w:rPr>
        <w:t xml:space="preserve">) suggests that </w:t>
      </w:r>
      <w:r w:rsidR="00455044" w:rsidRPr="00B92144">
        <w:rPr>
          <w:rFonts w:asciiTheme="majorBidi" w:hAnsiTheme="majorBidi" w:cstheme="majorBidi"/>
          <w:sz w:val="24"/>
          <w:szCs w:val="24"/>
        </w:rPr>
        <w:t xml:space="preserve">words cannot be coded into different risk categories without reference to the sentence. </w:t>
      </w:r>
      <w:r w:rsidR="00455044" w:rsidRPr="00B92144">
        <w:rPr>
          <w:rFonts w:asciiTheme="majorBidi" w:hAnsiTheme="majorBidi" w:cstheme="majorBidi"/>
          <w:color w:val="365F91" w:themeColor="accent1" w:themeShade="BF"/>
          <w:sz w:val="24"/>
          <w:szCs w:val="24"/>
        </w:rPr>
        <w:t>Krippendorf (</w:t>
      </w:r>
      <w:r w:rsidR="00815EA4" w:rsidRPr="00B92144">
        <w:rPr>
          <w:rFonts w:asciiTheme="majorBidi" w:hAnsiTheme="majorBidi" w:cstheme="majorBidi"/>
          <w:color w:val="365F91" w:themeColor="accent1" w:themeShade="BF"/>
          <w:sz w:val="24"/>
          <w:szCs w:val="24"/>
        </w:rPr>
        <w:t>2007</w:t>
      </w:r>
      <w:r w:rsidR="00455044" w:rsidRPr="00B92144">
        <w:rPr>
          <w:rFonts w:asciiTheme="majorBidi" w:hAnsiTheme="majorBidi" w:cstheme="majorBidi"/>
          <w:color w:val="365F91" w:themeColor="accent1" w:themeShade="BF"/>
          <w:sz w:val="24"/>
          <w:szCs w:val="24"/>
        </w:rPr>
        <w:t xml:space="preserve">) </w:t>
      </w:r>
      <w:r w:rsidR="00455044" w:rsidRPr="00B92144">
        <w:rPr>
          <w:rFonts w:asciiTheme="majorBidi" w:hAnsiTheme="majorBidi" w:cstheme="majorBidi"/>
          <w:sz w:val="24"/>
          <w:szCs w:val="24"/>
        </w:rPr>
        <w:t>argues further that “the meaning of a word typically depends on its syntactical role within a sentence”.</w:t>
      </w:r>
      <w:r w:rsidR="00655B1D" w:rsidRPr="00B92144">
        <w:rPr>
          <w:rFonts w:asciiTheme="majorBidi" w:hAnsiTheme="majorBidi" w:cstheme="majorBidi"/>
          <w:sz w:val="24"/>
          <w:szCs w:val="24"/>
        </w:rPr>
        <w:t xml:space="preserve"> </w:t>
      </w:r>
    </w:p>
    <w:p w14:paraId="4E144603" w14:textId="2D56E50A" w:rsidR="00CE5B09" w:rsidRPr="00B92144" w:rsidRDefault="00455044" w:rsidP="00B87AD1">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An additional requirement for content analysis is </w:t>
      </w:r>
      <w:r w:rsidR="00EB15DF" w:rsidRPr="00B92144">
        <w:rPr>
          <w:rFonts w:asciiTheme="majorBidi" w:hAnsiTheme="majorBidi" w:cstheme="majorBidi"/>
          <w:sz w:val="24"/>
          <w:szCs w:val="24"/>
        </w:rPr>
        <w:t xml:space="preserve">the coding instrument. </w:t>
      </w:r>
      <w:r w:rsidR="00803090" w:rsidRPr="00B92144">
        <w:rPr>
          <w:rFonts w:asciiTheme="majorBidi" w:hAnsiTheme="majorBidi" w:cstheme="majorBidi"/>
          <w:sz w:val="24"/>
          <w:szCs w:val="24"/>
        </w:rPr>
        <w:t xml:space="preserve">Our risk assessment instrument encompasses </w:t>
      </w:r>
      <w:r w:rsidR="00E60AC7" w:rsidRPr="00B92144">
        <w:rPr>
          <w:rFonts w:asciiTheme="majorBidi" w:hAnsiTheme="majorBidi" w:cstheme="majorBidi"/>
          <w:sz w:val="24"/>
          <w:szCs w:val="24"/>
        </w:rPr>
        <w:t>significant risk exposure</w:t>
      </w:r>
      <w:r w:rsidR="00CC52E4" w:rsidRPr="00B92144">
        <w:rPr>
          <w:rFonts w:asciiTheme="majorBidi" w:hAnsiTheme="majorBidi" w:cstheme="majorBidi"/>
          <w:sz w:val="24"/>
          <w:szCs w:val="24"/>
        </w:rPr>
        <w:t xml:space="preserve"> for banks</w:t>
      </w:r>
      <w:r w:rsidR="00803090" w:rsidRPr="00B92144">
        <w:rPr>
          <w:rFonts w:asciiTheme="majorBidi" w:hAnsiTheme="majorBidi" w:cstheme="majorBidi"/>
          <w:sz w:val="24"/>
          <w:szCs w:val="24"/>
        </w:rPr>
        <w:t xml:space="preserve"> and focuses on </w:t>
      </w:r>
      <w:r w:rsidR="0023743A" w:rsidRPr="00B92144">
        <w:rPr>
          <w:rFonts w:asciiTheme="majorBidi" w:hAnsiTheme="majorBidi" w:cstheme="majorBidi"/>
          <w:sz w:val="24"/>
          <w:szCs w:val="24"/>
        </w:rPr>
        <w:t>eight</w:t>
      </w:r>
      <w:r w:rsidR="00803090" w:rsidRPr="00B92144">
        <w:rPr>
          <w:rFonts w:asciiTheme="majorBidi" w:hAnsiTheme="majorBidi" w:cstheme="majorBidi"/>
          <w:sz w:val="24"/>
          <w:szCs w:val="24"/>
        </w:rPr>
        <w:t xml:space="preserve"> types of disclosures, including </w:t>
      </w:r>
      <w:r w:rsidR="0023743A" w:rsidRPr="00B92144">
        <w:rPr>
          <w:rFonts w:asciiTheme="majorBidi" w:hAnsiTheme="majorBidi" w:cstheme="majorBidi"/>
          <w:i/>
          <w:iCs/>
          <w:sz w:val="24"/>
          <w:szCs w:val="24"/>
        </w:rPr>
        <w:t>capital structure</w:t>
      </w:r>
      <w:r w:rsidR="00803090" w:rsidRPr="00B92144">
        <w:rPr>
          <w:rFonts w:asciiTheme="majorBidi" w:hAnsiTheme="majorBidi" w:cstheme="majorBidi"/>
          <w:i/>
          <w:iCs/>
          <w:sz w:val="24"/>
          <w:szCs w:val="24"/>
        </w:rPr>
        <w:t xml:space="preserve">, </w:t>
      </w:r>
      <w:r w:rsidR="0023743A" w:rsidRPr="00B92144">
        <w:rPr>
          <w:rFonts w:asciiTheme="majorBidi" w:hAnsiTheme="majorBidi" w:cstheme="majorBidi"/>
          <w:i/>
          <w:iCs/>
          <w:sz w:val="24"/>
          <w:szCs w:val="24"/>
        </w:rPr>
        <w:t>financial</w:t>
      </w:r>
      <w:r w:rsidR="00DE777A" w:rsidRPr="00B92144">
        <w:rPr>
          <w:rFonts w:asciiTheme="majorBidi" w:hAnsiTheme="majorBidi" w:cstheme="majorBidi"/>
          <w:i/>
          <w:iCs/>
          <w:sz w:val="24"/>
          <w:szCs w:val="24"/>
        </w:rPr>
        <w:t xml:space="preserve"> risk</w:t>
      </w:r>
      <w:r w:rsidR="00803090" w:rsidRPr="00B92144">
        <w:rPr>
          <w:rFonts w:asciiTheme="majorBidi" w:hAnsiTheme="majorBidi" w:cstheme="majorBidi"/>
          <w:i/>
          <w:iCs/>
          <w:sz w:val="24"/>
          <w:szCs w:val="24"/>
        </w:rPr>
        <w:t>,</w:t>
      </w:r>
      <w:r w:rsidR="000A3B29" w:rsidRPr="00B92144">
        <w:rPr>
          <w:rFonts w:asciiTheme="majorBidi" w:hAnsiTheme="majorBidi" w:cstheme="majorBidi"/>
          <w:i/>
          <w:iCs/>
          <w:sz w:val="24"/>
          <w:szCs w:val="24"/>
        </w:rPr>
        <w:t xml:space="preserve"> </w:t>
      </w:r>
      <w:r w:rsidR="00803090" w:rsidRPr="00B92144">
        <w:rPr>
          <w:rFonts w:asciiTheme="majorBidi" w:hAnsiTheme="majorBidi" w:cstheme="majorBidi"/>
          <w:i/>
          <w:iCs/>
          <w:sz w:val="24"/>
          <w:szCs w:val="24"/>
        </w:rPr>
        <w:t>operational</w:t>
      </w:r>
      <w:r w:rsidR="00DE777A" w:rsidRPr="00B92144">
        <w:rPr>
          <w:rFonts w:asciiTheme="majorBidi" w:hAnsiTheme="majorBidi" w:cstheme="majorBidi"/>
          <w:i/>
          <w:iCs/>
          <w:sz w:val="24"/>
          <w:szCs w:val="24"/>
        </w:rPr>
        <w:t xml:space="preserve"> risk</w:t>
      </w:r>
      <w:r w:rsidR="00803090" w:rsidRPr="00B92144">
        <w:rPr>
          <w:rFonts w:asciiTheme="majorBidi" w:hAnsiTheme="majorBidi" w:cstheme="majorBidi"/>
          <w:i/>
          <w:iCs/>
          <w:sz w:val="24"/>
          <w:szCs w:val="24"/>
        </w:rPr>
        <w:t xml:space="preserve">, </w:t>
      </w:r>
      <w:r w:rsidR="0023743A" w:rsidRPr="00B92144">
        <w:rPr>
          <w:rFonts w:asciiTheme="majorBidi" w:hAnsiTheme="majorBidi" w:cstheme="majorBidi"/>
          <w:i/>
          <w:iCs/>
          <w:sz w:val="24"/>
          <w:szCs w:val="24"/>
        </w:rPr>
        <w:t xml:space="preserve">financial instruments, reserves, segment information, accounting </w:t>
      </w:r>
      <w:r w:rsidR="00DE777A" w:rsidRPr="00B92144">
        <w:rPr>
          <w:rFonts w:asciiTheme="majorBidi" w:hAnsiTheme="majorBidi" w:cstheme="majorBidi"/>
          <w:i/>
          <w:iCs/>
          <w:sz w:val="24"/>
          <w:szCs w:val="24"/>
        </w:rPr>
        <w:t>and presentation policies and</w:t>
      </w:r>
      <w:r w:rsidR="00803090" w:rsidRPr="00B92144">
        <w:rPr>
          <w:rFonts w:asciiTheme="majorBidi" w:hAnsiTheme="majorBidi" w:cstheme="majorBidi"/>
          <w:i/>
          <w:iCs/>
          <w:sz w:val="24"/>
          <w:szCs w:val="24"/>
        </w:rPr>
        <w:t xml:space="preserve"> </w:t>
      </w:r>
      <w:r w:rsidR="00DE777A" w:rsidRPr="00B92144">
        <w:rPr>
          <w:rFonts w:asciiTheme="majorBidi" w:hAnsiTheme="majorBidi" w:cstheme="majorBidi"/>
          <w:i/>
          <w:iCs/>
          <w:sz w:val="24"/>
          <w:szCs w:val="24"/>
        </w:rPr>
        <w:t>general</w:t>
      </w:r>
      <w:r w:rsidR="00803090" w:rsidRPr="00B92144">
        <w:rPr>
          <w:rFonts w:asciiTheme="majorBidi" w:hAnsiTheme="majorBidi" w:cstheme="majorBidi"/>
          <w:i/>
          <w:iCs/>
          <w:sz w:val="24"/>
          <w:szCs w:val="24"/>
        </w:rPr>
        <w:t xml:space="preserve"> risk</w:t>
      </w:r>
      <w:r w:rsidR="00DE777A" w:rsidRPr="00B92144">
        <w:rPr>
          <w:rFonts w:asciiTheme="majorBidi" w:hAnsiTheme="majorBidi" w:cstheme="majorBidi"/>
          <w:i/>
          <w:iCs/>
          <w:sz w:val="24"/>
          <w:szCs w:val="24"/>
        </w:rPr>
        <w:t xml:space="preserve"> information</w:t>
      </w:r>
      <w:r w:rsidR="00803090" w:rsidRPr="00B92144">
        <w:rPr>
          <w:rFonts w:asciiTheme="majorBidi" w:hAnsiTheme="majorBidi" w:cstheme="majorBidi"/>
          <w:i/>
          <w:iCs/>
          <w:sz w:val="24"/>
          <w:szCs w:val="24"/>
        </w:rPr>
        <w:t>.</w:t>
      </w:r>
      <w:r w:rsidR="00CC52E4" w:rsidRPr="00B92144">
        <w:rPr>
          <w:rFonts w:asciiTheme="majorBidi" w:hAnsiTheme="majorBidi" w:cstheme="majorBidi"/>
          <w:i/>
          <w:iCs/>
          <w:sz w:val="24"/>
          <w:szCs w:val="24"/>
        </w:rPr>
        <w:t xml:space="preserve"> </w:t>
      </w:r>
      <w:r w:rsidR="00B54622" w:rsidRPr="00B92144">
        <w:rPr>
          <w:rFonts w:asciiTheme="majorBidi" w:hAnsiTheme="majorBidi" w:cstheme="majorBidi"/>
          <w:sz w:val="24"/>
          <w:szCs w:val="24"/>
        </w:rPr>
        <w:t xml:space="preserve">We also incorporated </w:t>
      </w:r>
      <w:r w:rsidR="00B87AD1" w:rsidRPr="00B92144">
        <w:rPr>
          <w:rFonts w:asciiTheme="majorBidi" w:hAnsiTheme="majorBidi" w:cstheme="majorBidi"/>
          <w:sz w:val="24"/>
          <w:szCs w:val="24"/>
        </w:rPr>
        <w:t>another</w:t>
      </w:r>
      <w:r w:rsidR="00B54622" w:rsidRPr="00B92144">
        <w:rPr>
          <w:rFonts w:asciiTheme="majorBidi" w:hAnsiTheme="majorBidi" w:cstheme="majorBidi"/>
          <w:sz w:val="24"/>
          <w:szCs w:val="24"/>
        </w:rPr>
        <w:t xml:space="preserve"> risk sub-component specific to Islamic banks</w:t>
      </w:r>
      <w:r w:rsidR="003A7181" w:rsidRPr="00B92144">
        <w:rPr>
          <w:rFonts w:asciiTheme="majorBidi" w:hAnsiTheme="majorBidi" w:cstheme="majorBidi"/>
          <w:sz w:val="24"/>
          <w:szCs w:val="24"/>
        </w:rPr>
        <w:t xml:space="preserve">. </w:t>
      </w:r>
      <w:r w:rsidR="0040394A" w:rsidRPr="00B92144">
        <w:rPr>
          <w:rFonts w:asciiTheme="majorBidi" w:hAnsiTheme="majorBidi" w:cstheme="majorBidi"/>
          <w:sz w:val="24"/>
          <w:szCs w:val="24"/>
        </w:rPr>
        <w:t>Extending</w:t>
      </w:r>
      <w:r w:rsidR="00487953" w:rsidRPr="00B92144">
        <w:rPr>
          <w:rFonts w:asciiTheme="majorBidi" w:hAnsiTheme="majorBidi" w:cstheme="majorBidi"/>
          <w:sz w:val="24"/>
          <w:szCs w:val="24"/>
        </w:rPr>
        <w:t xml:space="preserve"> </w:t>
      </w:r>
      <w:r w:rsidR="00291449" w:rsidRPr="00B92144">
        <w:rPr>
          <w:rFonts w:asciiTheme="majorBidi" w:hAnsiTheme="majorBidi" w:cstheme="majorBidi"/>
          <w:color w:val="365F91" w:themeColor="accent1" w:themeShade="BF"/>
          <w:sz w:val="20"/>
          <w:szCs w:val="20"/>
        </w:rPr>
        <w:t xml:space="preserve">Nahar, Azim, </w:t>
      </w:r>
      <w:r w:rsidR="00291449" w:rsidRPr="00B92144">
        <w:rPr>
          <w:rFonts w:asciiTheme="majorBidi" w:hAnsiTheme="majorBidi" w:cstheme="majorBidi"/>
          <w:color w:val="365F91" w:themeColor="accent1" w:themeShade="BF"/>
          <w:sz w:val="20"/>
          <w:szCs w:val="20"/>
        </w:rPr>
        <w:lastRenderedPageBreak/>
        <w:t>&amp; Jubb</w:t>
      </w:r>
      <w:r w:rsidR="00291449" w:rsidRPr="00B92144">
        <w:rPr>
          <w:rFonts w:asciiTheme="majorBidi" w:hAnsiTheme="majorBidi" w:cstheme="majorBidi"/>
          <w:color w:val="365F91" w:themeColor="accent1" w:themeShade="BF"/>
          <w:sz w:val="24"/>
          <w:szCs w:val="24"/>
        </w:rPr>
        <w:t xml:space="preserve"> </w:t>
      </w:r>
      <w:r w:rsidR="00487953" w:rsidRPr="00B92144">
        <w:rPr>
          <w:rFonts w:asciiTheme="majorBidi" w:hAnsiTheme="majorBidi" w:cstheme="majorBidi"/>
          <w:color w:val="365F91" w:themeColor="accent1" w:themeShade="BF"/>
          <w:sz w:val="24"/>
          <w:szCs w:val="24"/>
        </w:rPr>
        <w:t>(2016)</w:t>
      </w:r>
      <w:r w:rsidR="00487953" w:rsidRPr="00B92144">
        <w:rPr>
          <w:rFonts w:asciiTheme="majorBidi" w:hAnsiTheme="majorBidi" w:cstheme="majorBidi"/>
          <w:sz w:val="24"/>
          <w:szCs w:val="24"/>
        </w:rPr>
        <w:t xml:space="preserve">, we develop our index from </w:t>
      </w:r>
      <w:r w:rsidR="0040394A" w:rsidRPr="00B92144">
        <w:rPr>
          <w:rFonts w:asciiTheme="majorBidi" w:hAnsiTheme="majorBidi" w:cstheme="majorBidi"/>
          <w:sz w:val="24"/>
          <w:szCs w:val="24"/>
        </w:rPr>
        <w:t>4</w:t>
      </w:r>
      <w:r w:rsidR="00487953" w:rsidRPr="00B92144">
        <w:rPr>
          <w:rFonts w:asciiTheme="majorBidi" w:hAnsiTheme="majorBidi" w:cstheme="majorBidi"/>
          <w:sz w:val="24"/>
          <w:szCs w:val="24"/>
        </w:rPr>
        <w:t xml:space="preserve"> main sources: the guidelines provided by the International Financial Reporting Standard (IFRS) 7, the Basel II: Market Discipline guideline, </w:t>
      </w:r>
      <w:r w:rsidR="0040394A" w:rsidRPr="00B92144">
        <w:rPr>
          <w:rFonts w:asciiTheme="majorBidi" w:hAnsiTheme="majorBidi" w:cstheme="majorBidi"/>
          <w:sz w:val="24"/>
          <w:szCs w:val="24"/>
        </w:rPr>
        <w:t xml:space="preserve">The AAOIFI </w:t>
      </w:r>
      <w:r w:rsidR="00487953" w:rsidRPr="00B92144">
        <w:rPr>
          <w:rFonts w:asciiTheme="majorBidi" w:hAnsiTheme="majorBidi" w:cstheme="majorBidi"/>
          <w:sz w:val="24"/>
          <w:szCs w:val="24"/>
        </w:rPr>
        <w:t xml:space="preserve">and </w:t>
      </w:r>
      <w:r w:rsidR="0040394A" w:rsidRPr="00B92144">
        <w:rPr>
          <w:rFonts w:asciiTheme="majorBidi" w:hAnsiTheme="majorBidi" w:cstheme="majorBidi"/>
          <w:sz w:val="24"/>
          <w:szCs w:val="24"/>
        </w:rPr>
        <w:t xml:space="preserve">IFSB standards (specific to Islamic banks), </w:t>
      </w:r>
      <w:r w:rsidR="00655B1D" w:rsidRPr="00B92144">
        <w:rPr>
          <w:rFonts w:asciiTheme="majorBidi" w:hAnsiTheme="majorBidi" w:cstheme="majorBidi"/>
          <w:sz w:val="24"/>
          <w:szCs w:val="24"/>
        </w:rPr>
        <w:t xml:space="preserve">and </w:t>
      </w:r>
      <w:r w:rsidR="00487953" w:rsidRPr="00B92144">
        <w:rPr>
          <w:rFonts w:asciiTheme="majorBidi" w:hAnsiTheme="majorBidi" w:cstheme="majorBidi"/>
          <w:sz w:val="24"/>
          <w:szCs w:val="24"/>
        </w:rPr>
        <w:t>the accounting literature (</w:t>
      </w:r>
      <w:r w:rsidR="00487953" w:rsidRPr="00B92144">
        <w:rPr>
          <w:rFonts w:asciiTheme="majorBidi" w:hAnsiTheme="majorBidi" w:cstheme="majorBidi"/>
          <w:color w:val="365F91" w:themeColor="accent1" w:themeShade="BF"/>
          <w:sz w:val="24"/>
          <w:szCs w:val="24"/>
        </w:rPr>
        <w:t xml:space="preserve">Cabedo </w:t>
      </w:r>
      <w:r w:rsidR="0088116C" w:rsidRPr="00B92144">
        <w:rPr>
          <w:rFonts w:asciiTheme="majorBidi" w:hAnsiTheme="majorBidi" w:cstheme="majorBidi"/>
          <w:color w:val="365F91" w:themeColor="accent1" w:themeShade="BF"/>
          <w:sz w:val="24"/>
          <w:szCs w:val="24"/>
        </w:rPr>
        <w:t>&amp;</w:t>
      </w:r>
      <w:r w:rsidR="00487953" w:rsidRPr="00B92144">
        <w:rPr>
          <w:rFonts w:asciiTheme="majorBidi" w:hAnsiTheme="majorBidi" w:cstheme="majorBidi"/>
          <w:color w:val="365F91" w:themeColor="accent1" w:themeShade="BF"/>
          <w:sz w:val="24"/>
          <w:szCs w:val="24"/>
        </w:rPr>
        <w:t xml:space="preserve"> Tirado, 2004; Oliveria, Rodriques </w:t>
      </w:r>
      <w:r w:rsidR="0088116C" w:rsidRPr="00B92144">
        <w:rPr>
          <w:rFonts w:asciiTheme="majorBidi" w:hAnsiTheme="majorBidi" w:cstheme="majorBidi"/>
          <w:color w:val="365F91" w:themeColor="accent1" w:themeShade="BF"/>
          <w:sz w:val="24"/>
          <w:szCs w:val="24"/>
        </w:rPr>
        <w:t>&amp;</w:t>
      </w:r>
      <w:r w:rsidR="00487953" w:rsidRPr="00B92144">
        <w:rPr>
          <w:rFonts w:asciiTheme="majorBidi" w:hAnsiTheme="majorBidi" w:cstheme="majorBidi"/>
          <w:color w:val="365F91" w:themeColor="accent1" w:themeShade="BF"/>
          <w:sz w:val="24"/>
          <w:szCs w:val="24"/>
        </w:rPr>
        <w:t xml:space="preserve"> Craig, 2011</w:t>
      </w:r>
      <w:r w:rsidR="003D5EAB" w:rsidRPr="00B92144">
        <w:rPr>
          <w:rFonts w:asciiTheme="majorBidi" w:hAnsiTheme="majorBidi" w:cstheme="majorBidi"/>
          <w:color w:val="365F91" w:themeColor="accent1" w:themeShade="BF"/>
          <w:sz w:val="24"/>
          <w:szCs w:val="24"/>
        </w:rPr>
        <w:t>b</w:t>
      </w:r>
      <w:r w:rsidR="00487953" w:rsidRPr="00B92144">
        <w:rPr>
          <w:rFonts w:asciiTheme="majorBidi" w:hAnsiTheme="majorBidi" w:cstheme="majorBidi"/>
          <w:color w:val="365F91" w:themeColor="accent1" w:themeShade="BF"/>
          <w:sz w:val="24"/>
          <w:szCs w:val="24"/>
        </w:rPr>
        <w:t xml:space="preserve">; Barakat </w:t>
      </w:r>
      <w:r w:rsidR="0088116C" w:rsidRPr="00B92144">
        <w:rPr>
          <w:rFonts w:asciiTheme="majorBidi" w:hAnsiTheme="majorBidi" w:cstheme="majorBidi"/>
          <w:color w:val="365F91" w:themeColor="accent1" w:themeShade="BF"/>
          <w:sz w:val="24"/>
          <w:szCs w:val="24"/>
        </w:rPr>
        <w:t>&amp;</w:t>
      </w:r>
      <w:r w:rsidR="00487953" w:rsidRPr="00B92144">
        <w:rPr>
          <w:rFonts w:asciiTheme="majorBidi" w:hAnsiTheme="majorBidi" w:cstheme="majorBidi"/>
          <w:color w:val="365F91" w:themeColor="accent1" w:themeShade="BF"/>
          <w:sz w:val="24"/>
          <w:szCs w:val="24"/>
        </w:rPr>
        <w:t xml:space="preserve"> Hussainey, 2013</w:t>
      </w:r>
      <w:r w:rsidR="00EE1F82" w:rsidRPr="00B92144">
        <w:rPr>
          <w:rFonts w:asciiTheme="majorBidi" w:hAnsiTheme="majorBidi" w:cstheme="majorBidi"/>
          <w:color w:val="365F91" w:themeColor="accent1" w:themeShade="BF"/>
          <w:sz w:val="24"/>
          <w:szCs w:val="24"/>
        </w:rPr>
        <w:t>; Abdallah</w:t>
      </w:r>
      <w:r w:rsidR="00815EA4" w:rsidRPr="00B92144">
        <w:rPr>
          <w:rFonts w:asciiTheme="majorBidi" w:hAnsiTheme="majorBidi" w:cstheme="majorBidi"/>
          <w:color w:val="365F91" w:themeColor="accent1" w:themeShade="BF"/>
          <w:sz w:val="24"/>
          <w:szCs w:val="24"/>
        </w:rPr>
        <w:t>,</w:t>
      </w:r>
      <w:r w:rsidR="00EE1F82" w:rsidRPr="00B92144">
        <w:rPr>
          <w:rFonts w:asciiTheme="majorBidi" w:hAnsiTheme="majorBidi" w:cstheme="majorBidi"/>
          <w:color w:val="365F91" w:themeColor="accent1" w:themeShade="BF"/>
          <w:sz w:val="24"/>
          <w:szCs w:val="24"/>
        </w:rPr>
        <w:t xml:space="preserve"> </w:t>
      </w:r>
      <w:r w:rsidR="00815EA4" w:rsidRPr="00B92144">
        <w:rPr>
          <w:rFonts w:asciiTheme="majorBidi" w:hAnsiTheme="majorBidi" w:cstheme="majorBidi"/>
          <w:color w:val="365F91" w:themeColor="accent1" w:themeShade="BF"/>
          <w:sz w:val="24"/>
          <w:szCs w:val="24"/>
        </w:rPr>
        <w:t>Hassan, &amp; McClelland</w:t>
      </w:r>
      <w:r w:rsidR="00EE1F82" w:rsidRPr="00B92144">
        <w:rPr>
          <w:rFonts w:asciiTheme="majorBidi" w:hAnsiTheme="majorBidi" w:cstheme="majorBidi"/>
          <w:color w:val="365F91" w:themeColor="accent1" w:themeShade="BF"/>
          <w:sz w:val="24"/>
          <w:szCs w:val="24"/>
        </w:rPr>
        <w:t>, 2015</w:t>
      </w:r>
      <w:r w:rsidR="00487953" w:rsidRPr="00B92144">
        <w:rPr>
          <w:rFonts w:asciiTheme="majorBidi" w:hAnsiTheme="majorBidi" w:cstheme="majorBidi"/>
          <w:sz w:val="24"/>
          <w:szCs w:val="24"/>
        </w:rPr>
        <w:t xml:space="preserve">). </w:t>
      </w:r>
      <w:r w:rsidR="00845BD5" w:rsidRPr="00B92144">
        <w:rPr>
          <w:rFonts w:asciiTheme="majorBidi" w:hAnsiTheme="majorBidi" w:cstheme="majorBidi"/>
          <w:sz w:val="24"/>
          <w:szCs w:val="24"/>
        </w:rPr>
        <w:t>Typically, we adopted</w:t>
      </w:r>
      <w:r w:rsidR="00566117" w:rsidRPr="00B92144">
        <w:rPr>
          <w:rFonts w:asciiTheme="majorBidi" w:hAnsiTheme="majorBidi" w:cstheme="majorBidi"/>
          <w:sz w:val="24"/>
          <w:szCs w:val="24"/>
        </w:rPr>
        <w:t xml:space="preserve"> </w:t>
      </w:r>
      <w:r w:rsidR="00845BD5" w:rsidRPr="00B92144">
        <w:rPr>
          <w:rFonts w:asciiTheme="majorBidi" w:hAnsiTheme="majorBidi" w:cstheme="majorBidi"/>
          <w:sz w:val="24"/>
          <w:szCs w:val="24"/>
        </w:rPr>
        <w:t xml:space="preserve">a </w:t>
      </w:r>
      <w:r w:rsidR="00566117" w:rsidRPr="00B92144">
        <w:rPr>
          <w:rFonts w:asciiTheme="majorBidi" w:hAnsiTheme="majorBidi" w:cstheme="majorBidi"/>
          <w:sz w:val="24"/>
          <w:szCs w:val="24"/>
        </w:rPr>
        <w:t>two steps</w:t>
      </w:r>
      <w:r w:rsidR="00845BD5" w:rsidRPr="00B92144">
        <w:rPr>
          <w:rFonts w:asciiTheme="majorBidi" w:hAnsiTheme="majorBidi" w:cstheme="majorBidi"/>
          <w:sz w:val="24"/>
          <w:szCs w:val="24"/>
        </w:rPr>
        <w:t xml:space="preserve"> process</w:t>
      </w:r>
      <w:r w:rsidR="00566117" w:rsidRPr="00B92144">
        <w:rPr>
          <w:rFonts w:asciiTheme="majorBidi" w:hAnsiTheme="majorBidi" w:cstheme="majorBidi"/>
          <w:sz w:val="24"/>
          <w:szCs w:val="24"/>
        </w:rPr>
        <w:t xml:space="preserve">. </w:t>
      </w:r>
      <w:r w:rsidR="00D32FA7" w:rsidRPr="00B92144">
        <w:rPr>
          <w:rFonts w:asciiTheme="majorBidi" w:hAnsiTheme="majorBidi" w:cstheme="majorBidi"/>
          <w:sz w:val="24"/>
          <w:szCs w:val="24"/>
        </w:rPr>
        <w:t>I</w:t>
      </w:r>
      <w:r w:rsidR="00566117" w:rsidRPr="00B92144">
        <w:rPr>
          <w:rFonts w:asciiTheme="majorBidi" w:hAnsiTheme="majorBidi" w:cstheme="majorBidi"/>
          <w:sz w:val="24"/>
          <w:szCs w:val="24"/>
        </w:rPr>
        <w:t>n the first step</w:t>
      </w:r>
      <w:r w:rsidR="00D32FA7" w:rsidRPr="00B92144">
        <w:rPr>
          <w:rFonts w:asciiTheme="majorBidi" w:hAnsiTheme="majorBidi" w:cstheme="majorBidi"/>
          <w:sz w:val="24"/>
          <w:szCs w:val="24"/>
        </w:rPr>
        <w:t xml:space="preserve"> we made an extensive review of prior studies and identified the common items </w:t>
      </w:r>
      <w:r w:rsidR="00E50416" w:rsidRPr="00B92144">
        <w:rPr>
          <w:rFonts w:asciiTheme="majorBidi" w:hAnsiTheme="majorBidi" w:cstheme="majorBidi"/>
          <w:sz w:val="24"/>
          <w:szCs w:val="24"/>
        </w:rPr>
        <w:t xml:space="preserve">used to assess banks’ risk disclosure. </w:t>
      </w:r>
    </w:p>
    <w:p w14:paraId="172254B1" w14:textId="773BD982" w:rsidR="00A273B5" w:rsidRPr="00B92144" w:rsidRDefault="00E50416" w:rsidP="00487656">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We then cluster these items in accordance with regulatory requirements (IFRS 7</w:t>
      </w:r>
      <w:r w:rsidR="00655B1D" w:rsidRPr="00B92144">
        <w:rPr>
          <w:rFonts w:asciiTheme="majorBidi" w:hAnsiTheme="majorBidi" w:cstheme="majorBidi"/>
          <w:sz w:val="24"/>
          <w:szCs w:val="24"/>
        </w:rPr>
        <w:t>;</w:t>
      </w:r>
      <w:r w:rsidRPr="00B92144">
        <w:rPr>
          <w:rFonts w:asciiTheme="majorBidi" w:hAnsiTheme="majorBidi" w:cstheme="majorBidi"/>
          <w:sz w:val="24"/>
          <w:szCs w:val="24"/>
        </w:rPr>
        <w:t xml:space="preserve"> Basel II: Market discipline</w:t>
      </w:r>
      <w:r w:rsidR="00655B1D" w:rsidRPr="00B92144">
        <w:rPr>
          <w:rFonts w:asciiTheme="majorBidi" w:hAnsiTheme="majorBidi" w:cstheme="majorBidi"/>
          <w:sz w:val="24"/>
          <w:szCs w:val="24"/>
        </w:rPr>
        <w:t>; AAOIFI and IFSB standards</w:t>
      </w:r>
      <w:r w:rsidRPr="00B92144">
        <w:rPr>
          <w:rFonts w:asciiTheme="majorBidi" w:hAnsiTheme="majorBidi" w:cstheme="majorBidi"/>
          <w:sz w:val="24"/>
          <w:szCs w:val="24"/>
        </w:rPr>
        <w:t>).</w:t>
      </w:r>
      <w:r w:rsidR="00F707D6" w:rsidRPr="00B92144">
        <w:rPr>
          <w:rFonts w:asciiTheme="majorBidi" w:hAnsiTheme="majorBidi" w:cstheme="majorBidi"/>
          <w:sz w:val="24"/>
          <w:szCs w:val="24"/>
        </w:rPr>
        <w:t xml:space="preserve"> </w:t>
      </w:r>
      <w:r w:rsidR="00E76E6A" w:rsidRPr="00B92144">
        <w:rPr>
          <w:rFonts w:asciiTheme="majorBidi" w:hAnsiTheme="majorBidi" w:cstheme="majorBidi"/>
          <w:sz w:val="24"/>
          <w:szCs w:val="24"/>
        </w:rPr>
        <w:t>I</w:t>
      </w:r>
      <w:r w:rsidR="00F707D6" w:rsidRPr="00B92144">
        <w:rPr>
          <w:rFonts w:asciiTheme="majorBidi" w:hAnsiTheme="majorBidi" w:cstheme="majorBidi"/>
          <w:sz w:val="24"/>
          <w:szCs w:val="24"/>
        </w:rPr>
        <w:t>n total our risk disclosure index includes 69 items</w:t>
      </w:r>
      <w:r w:rsidR="00571B61" w:rsidRPr="00B92144">
        <w:rPr>
          <w:rFonts w:asciiTheme="majorBidi" w:hAnsiTheme="majorBidi" w:cstheme="majorBidi"/>
          <w:sz w:val="24"/>
          <w:szCs w:val="24"/>
        </w:rPr>
        <w:t xml:space="preserve"> grouped into 8 risk sub-categories. to measure the level of risk disclosure by banks, we assign to each of these risk items the number of sentences disclosed in banks’ annual reports. We </w:t>
      </w:r>
      <w:r w:rsidR="00352CC4" w:rsidRPr="00B92144">
        <w:rPr>
          <w:rFonts w:asciiTheme="majorBidi" w:hAnsiTheme="majorBidi" w:cstheme="majorBidi"/>
          <w:sz w:val="24"/>
          <w:szCs w:val="24"/>
        </w:rPr>
        <w:t xml:space="preserve">code risk disclosures </w:t>
      </w:r>
      <w:r w:rsidR="00571B61" w:rsidRPr="00B92144">
        <w:rPr>
          <w:rFonts w:asciiTheme="majorBidi" w:hAnsiTheme="majorBidi" w:cstheme="majorBidi"/>
          <w:sz w:val="24"/>
          <w:szCs w:val="24"/>
        </w:rPr>
        <w:t>any sentence that informs the reader about “any opportunity or prospect, or of any hazard, danger, harm, threat or exposure, that has already impacted or may impact upon the company, as well as the management of any such opportunity, prospect, hazard, harm, threat, or exposure”</w:t>
      </w:r>
      <w:r w:rsidR="00352CC4" w:rsidRPr="00B92144">
        <w:rPr>
          <w:rFonts w:asciiTheme="majorBidi" w:hAnsiTheme="majorBidi" w:cstheme="majorBidi"/>
          <w:sz w:val="24"/>
          <w:szCs w:val="24"/>
        </w:rPr>
        <w:t xml:space="preserve"> (</w:t>
      </w:r>
      <w:r w:rsidR="00352CC4" w:rsidRPr="00B92144">
        <w:rPr>
          <w:rFonts w:asciiTheme="majorBidi" w:hAnsiTheme="majorBidi" w:cstheme="majorBidi"/>
          <w:color w:val="365F91" w:themeColor="accent1" w:themeShade="BF"/>
          <w:sz w:val="24"/>
          <w:szCs w:val="24"/>
        </w:rPr>
        <w:t xml:space="preserve">Linsley </w:t>
      </w:r>
      <w:r w:rsidR="00E05652" w:rsidRPr="00B92144">
        <w:rPr>
          <w:rFonts w:asciiTheme="majorBidi" w:hAnsiTheme="majorBidi" w:cstheme="majorBidi"/>
          <w:color w:val="365F91" w:themeColor="accent1" w:themeShade="BF"/>
          <w:sz w:val="24"/>
          <w:szCs w:val="24"/>
        </w:rPr>
        <w:t>&amp;</w:t>
      </w:r>
      <w:r w:rsidR="00352CC4" w:rsidRPr="00B92144">
        <w:rPr>
          <w:rFonts w:asciiTheme="majorBidi" w:hAnsiTheme="majorBidi" w:cstheme="majorBidi"/>
          <w:color w:val="365F91" w:themeColor="accent1" w:themeShade="BF"/>
          <w:sz w:val="24"/>
          <w:szCs w:val="24"/>
        </w:rPr>
        <w:t xml:space="preserve"> Shrives, 2006</w:t>
      </w:r>
      <w:r w:rsidR="00352CC4" w:rsidRPr="00B92144">
        <w:rPr>
          <w:rFonts w:asciiTheme="majorBidi" w:hAnsiTheme="majorBidi" w:cstheme="majorBidi"/>
          <w:sz w:val="24"/>
          <w:szCs w:val="24"/>
        </w:rPr>
        <w:t>)</w:t>
      </w:r>
      <w:r w:rsidR="00571B61" w:rsidRPr="00B92144">
        <w:rPr>
          <w:rFonts w:asciiTheme="majorBidi" w:hAnsiTheme="majorBidi" w:cstheme="majorBidi"/>
          <w:sz w:val="24"/>
          <w:szCs w:val="24"/>
        </w:rPr>
        <w:t>.</w:t>
      </w:r>
    </w:p>
    <w:p w14:paraId="0F3B5896" w14:textId="28BCF05D" w:rsidR="00BC658A" w:rsidRPr="00B92144" w:rsidRDefault="00352CC4" w:rsidP="00BD17E0">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We ensure the construct validity of our risk disclosure index </w:t>
      </w:r>
      <w:r w:rsidR="00051FD5" w:rsidRPr="00B92144">
        <w:rPr>
          <w:rFonts w:asciiTheme="majorBidi" w:hAnsiTheme="majorBidi" w:cstheme="majorBidi"/>
          <w:sz w:val="24"/>
          <w:szCs w:val="24"/>
        </w:rPr>
        <w:t xml:space="preserve">and the reliability of our scores by following these procedures. First, as we previously stated, we </w:t>
      </w:r>
      <w:r w:rsidRPr="00B92144">
        <w:rPr>
          <w:rFonts w:asciiTheme="majorBidi" w:hAnsiTheme="majorBidi" w:cstheme="majorBidi"/>
          <w:sz w:val="24"/>
          <w:szCs w:val="24"/>
        </w:rPr>
        <w:t>deriv</w:t>
      </w:r>
      <w:r w:rsidR="00051FD5" w:rsidRPr="00B92144">
        <w:rPr>
          <w:rFonts w:asciiTheme="majorBidi" w:hAnsiTheme="majorBidi" w:cstheme="majorBidi"/>
          <w:sz w:val="24"/>
          <w:szCs w:val="24"/>
        </w:rPr>
        <w:t>e</w:t>
      </w:r>
      <w:r w:rsidRPr="00B92144">
        <w:rPr>
          <w:rFonts w:asciiTheme="majorBidi" w:hAnsiTheme="majorBidi" w:cstheme="majorBidi"/>
          <w:sz w:val="24"/>
          <w:szCs w:val="24"/>
        </w:rPr>
        <w:t xml:space="preserve"> the index categories and items from multiple and varied sources of information (IFRS, Basel II, </w:t>
      </w:r>
      <w:r w:rsidR="00655B1D" w:rsidRPr="00B92144">
        <w:rPr>
          <w:rFonts w:asciiTheme="majorBidi" w:hAnsiTheme="majorBidi" w:cstheme="majorBidi"/>
          <w:sz w:val="24"/>
          <w:szCs w:val="24"/>
        </w:rPr>
        <w:t xml:space="preserve">AAOIFI, IFSB, </w:t>
      </w:r>
      <w:r w:rsidRPr="00B92144">
        <w:rPr>
          <w:rFonts w:asciiTheme="majorBidi" w:hAnsiTheme="majorBidi" w:cstheme="majorBidi"/>
          <w:sz w:val="24"/>
          <w:szCs w:val="24"/>
        </w:rPr>
        <w:t>prior literature)</w:t>
      </w:r>
      <w:r w:rsidR="00E6784F" w:rsidRPr="00B92144">
        <w:rPr>
          <w:rFonts w:asciiTheme="majorBidi" w:hAnsiTheme="majorBidi" w:cstheme="majorBidi"/>
          <w:sz w:val="24"/>
          <w:szCs w:val="24"/>
        </w:rPr>
        <w:t xml:space="preserve">. </w:t>
      </w:r>
      <w:r w:rsidR="00051FD5" w:rsidRPr="00B92144">
        <w:rPr>
          <w:rFonts w:asciiTheme="majorBidi" w:hAnsiTheme="majorBidi" w:cstheme="majorBidi"/>
          <w:sz w:val="24"/>
          <w:szCs w:val="24"/>
        </w:rPr>
        <w:t xml:space="preserve">Second, to ensure reproducibility, </w:t>
      </w:r>
      <w:r w:rsidR="00BF0620" w:rsidRPr="00B92144">
        <w:rPr>
          <w:rFonts w:asciiTheme="majorBidi" w:hAnsiTheme="majorBidi" w:cstheme="majorBidi"/>
          <w:sz w:val="24"/>
          <w:szCs w:val="24"/>
        </w:rPr>
        <w:t>one single coder perform</w:t>
      </w:r>
      <w:r w:rsidR="00162E79" w:rsidRPr="00B92144">
        <w:rPr>
          <w:rFonts w:asciiTheme="majorBidi" w:hAnsiTheme="majorBidi" w:cstheme="majorBidi"/>
          <w:sz w:val="24"/>
          <w:szCs w:val="24"/>
        </w:rPr>
        <w:t>ed</w:t>
      </w:r>
      <w:r w:rsidR="00BF0620" w:rsidRPr="00B92144">
        <w:rPr>
          <w:rFonts w:asciiTheme="majorBidi" w:hAnsiTheme="majorBidi" w:cstheme="majorBidi"/>
          <w:sz w:val="24"/>
          <w:szCs w:val="24"/>
        </w:rPr>
        <w:t xml:space="preserve"> </w:t>
      </w:r>
      <w:r w:rsidR="00051FD5" w:rsidRPr="00B92144">
        <w:rPr>
          <w:rFonts w:asciiTheme="majorBidi" w:hAnsiTheme="majorBidi" w:cstheme="majorBidi"/>
          <w:sz w:val="24"/>
          <w:szCs w:val="24"/>
        </w:rPr>
        <w:t xml:space="preserve">the </w:t>
      </w:r>
      <w:r w:rsidR="00BF0620" w:rsidRPr="00B92144">
        <w:rPr>
          <w:rFonts w:asciiTheme="majorBidi" w:hAnsiTheme="majorBidi" w:cstheme="majorBidi"/>
          <w:sz w:val="24"/>
          <w:szCs w:val="24"/>
        </w:rPr>
        <w:t>content analysis</w:t>
      </w:r>
      <w:r w:rsidR="00051FD5" w:rsidRPr="00B92144">
        <w:rPr>
          <w:rFonts w:asciiTheme="majorBidi" w:hAnsiTheme="majorBidi" w:cstheme="majorBidi"/>
          <w:sz w:val="24"/>
          <w:szCs w:val="24"/>
        </w:rPr>
        <w:t xml:space="preserve"> of banks’ annual reports (</w:t>
      </w:r>
      <w:r w:rsidR="00051FD5" w:rsidRPr="00B92144">
        <w:rPr>
          <w:rFonts w:asciiTheme="majorBidi" w:hAnsiTheme="majorBidi" w:cstheme="majorBidi"/>
          <w:color w:val="365F91" w:themeColor="accent1" w:themeShade="BF"/>
          <w:sz w:val="24"/>
          <w:szCs w:val="24"/>
        </w:rPr>
        <w:t>Krippendorff, 200</w:t>
      </w:r>
      <w:r w:rsidR="00BE272B" w:rsidRPr="00B92144">
        <w:rPr>
          <w:rFonts w:asciiTheme="majorBidi" w:hAnsiTheme="majorBidi" w:cstheme="majorBidi"/>
          <w:color w:val="365F91" w:themeColor="accent1" w:themeShade="BF"/>
          <w:sz w:val="24"/>
          <w:szCs w:val="24"/>
        </w:rPr>
        <w:t>7</w:t>
      </w:r>
      <w:r w:rsidR="00051FD5" w:rsidRPr="00B92144">
        <w:rPr>
          <w:rFonts w:asciiTheme="majorBidi" w:hAnsiTheme="majorBidi" w:cstheme="majorBidi"/>
          <w:sz w:val="24"/>
          <w:szCs w:val="24"/>
        </w:rPr>
        <w:t>). Third,</w:t>
      </w:r>
      <w:r w:rsidR="00162E79" w:rsidRPr="00B92144">
        <w:rPr>
          <w:rFonts w:asciiTheme="majorBidi" w:hAnsiTheme="majorBidi" w:cstheme="majorBidi"/>
          <w:sz w:val="24"/>
          <w:szCs w:val="24"/>
        </w:rPr>
        <w:t xml:space="preserve"> an independent evaluator with financial reporting expertise coded a sub sample of 25 annual reports to ensure the reliability of the scale. </w:t>
      </w:r>
      <w:r w:rsidR="00BE272B" w:rsidRPr="00B92144">
        <w:rPr>
          <w:rFonts w:asciiTheme="majorBidi" w:hAnsiTheme="majorBidi" w:cstheme="majorBidi"/>
          <w:color w:val="365F91" w:themeColor="accent1" w:themeShade="BF"/>
          <w:sz w:val="24"/>
          <w:szCs w:val="24"/>
        </w:rPr>
        <w:t>Krippendroff (1980; 2007</w:t>
      </w:r>
      <w:r w:rsidR="00162E79" w:rsidRPr="00B92144">
        <w:rPr>
          <w:rFonts w:asciiTheme="majorBidi" w:hAnsiTheme="majorBidi" w:cstheme="majorBidi"/>
          <w:color w:val="365F91" w:themeColor="accent1" w:themeShade="BF"/>
          <w:sz w:val="24"/>
          <w:szCs w:val="24"/>
        </w:rPr>
        <w:t>)</w:t>
      </w:r>
      <w:r w:rsidR="00162E79" w:rsidRPr="00B92144">
        <w:rPr>
          <w:rFonts w:asciiTheme="majorBidi" w:hAnsiTheme="majorBidi" w:cstheme="majorBidi"/>
          <w:sz w:val="24"/>
          <w:szCs w:val="24"/>
        </w:rPr>
        <w:t xml:space="preserve"> argues that it is important that at least two researchers do this type of analysis independently and compare results for reliability checking. Fourth,</w:t>
      </w:r>
      <w:r w:rsidR="00D55A57" w:rsidRPr="00B92144">
        <w:rPr>
          <w:rFonts w:asciiTheme="majorBidi" w:hAnsiTheme="majorBidi" w:cstheme="majorBidi"/>
          <w:sz w:val="24"/>
          <w:szCs w:val="24"/>
        </w:rPr>
        <w:t xml:space="preserve"> we compare</w:t>
      </w:r>
      <w:r w:rsidR="00162E79" w:rsidRPr="00B92144">
        <w:rPr>
          <w:rFonts w:asciiTheme="majorBidi" w:hAnsiTheme="majorBidi" w:cstheme="majorBidi"/>
          <w:sz w:val="24"/>
          <w:szCs w:val="24"/>
        </w:rPr>
        <w:t xml:space="preserve"> t</w:t>
      </w:r>
      <w:r w:rsidR="00BC658A" w:rsidRPr="00B92144">
        <w:rPr>
          <w:rFonts w:asciiTheme="majorBidi" w:hAnsiTheme="majorBidi" w:cstheme="majorBidi"/>
          <w:sz w:val="24"/>
          <w:szCs w:val="24"/>
        </w:rPr>
        <w:t xml:space="preserve">he risk Disclosure Index coded by both </w:t>
      </w:r>
      <w:r w:rsidR="00D55A57" w:rsidRPr="00B92144">
        <w:rPr>
          <w:rFonts w:asciiTheme="majorBidi" w:hAnsiTheme="majorBidi" w:cstheme="majorBidi"/>
          <w:sz w:val="24"/>
          <w:szCs w:val="24"/>
        </w:rPr>
        <w:t>academics (the main researcher and the independent evaluator)</w:t>
      </w:r>
      <w:r w:rsidR="00BC658A" w:rsidRPr="00B92144">
        <w:rPr>
          <w:rFonts w:asciiTheme="majorBidi" w:hAnsiTheme="majorBidi" w:cstheme="majorBidi"/>
          <w:sz w:val="24"/>
          <w:szCs w:val="24"/>
        </w:rPr>
        <w:t xml:space="preserve"> to ascertain if there were any significant differences.</w:t>
      </w:r>
      <w:r w:rsidR="00D55A57" w:rsidRPr="00B92144">
        <w:rPr>
          <w:rFonts w:asciiTheme="majorBidi" w:hAnsiTheme="majorBidi" w:cstheme="majorBidi"/>
          <w:sz w:val="24"/>
          <w:szCs w:val="24"/>
        </w:rPr>
        <w:t xml:space="preserve"> Specifically,</w:t>
      </w:r>
      <w:r w:rsidR="00BC658A" w:rsidRPr="00B92144">
        <w:rPr>
          <w:rFonts w:asciiTheme="majorBidi" w:hAnsiTheme="majorBidi" w:cstheme="majorBidi"/>
          <w:sz w:val="24"/>
          <w:szCs w:val="24"/>
        </w:rPr>
        <w:t xml:space="preserve"> we </w:t>
      </w:r>
      <w:r w:rsidR="00D55A57" w:rsidRPr="00B92144">
        <w:rPr>
          <w:rFonts w:asciiTheme="majorBidi" w:hAnsiTheme="majorBidi" w:cstheme="majorBidi"/>
          <w:sz w:val="24"/>
          <w:szCs w:val="24"/>
        </w:rPr>
        <w:t>perform an</w:t>
      </w:r>
      <w:r w:rsidR="00BC658A" w:rsidRPr="00B92144">
        <w:rPr>
          <w:rFonts w:asciiTheme="majorBidi" w:hAnsiTheme="majorBidi" w:cstheme="majorBidi"/>
          <w:sz w:val="24"/>
          <w:szCs w:val="24"/>
        </w:rPr>
        <w:t xml:space="preserve"> inter</w:t>
      </w:r>
      <w:r w:rsidR="00D55A57" w:rsidRPr="00B92144">
        <w:rPr>
          <w:rFonts w:asciiTheme="majorBidi" w:hAnsiTheme="majorBidi" w:cstheme="majorBidi"/>
          <w:sz w:val="24"/>
          <w:szCs w:val="24"/>
        </w:rPr>
        <w:t>-</w:t>
      </w:r>
      <w:r w:rsidR="00BC658A" w:rsidRPr="00B92144">
        <w:rPr>
          <w:rFonts w:asciiTheme="majorBidi" w:hAnsiTheme="majorBidi" w:cstheme="majorBidi"/>
          <w:sz w:val="24"/>
          <w:szCs w:val="24"/>
        </w:rPr>
        <w:t xml:space="preserve"> rater reliability</w:t>
      </w:r>
      <w:r w:rsidR="00D55A57" w:rsidRPr="00B92144">
        <w:rPr>
          <w:rFonts w:asciiTheme="majorBidi" w:hAnsiTheme="majorBidi" w:cstheme="majorBidi"/>
          <w:sz w:val="24"/>
          <w:szCs w:val="24"/>
        </w:rPr>
        <w:t xml:space="preserve"> test</w:t>
      </w:r>
      <w:r w:rsidR="00BC658A" w:rsidRPr="00B92144">
        <w:rPr>
          <w:rFonts w:asciiTheme="majorBidi" w:hAnsiTheme="majorBidi" w:cstheme="majorBidi"/>
          <w:sz w:val="24"/>
          <w:szCs w:val="24"/>
        </w:rPr>
        <w:t xml:space="preserve"> to check for consistency in coding, a</w:t>
      </w:r>
      <w:r w:rsidR="00D55A57" w:rsidRPr="00B92144">
        <w:rPr>
          <w:rFonts w:asciiTheme="majorBidi" w:hAnsiTheme="majorBidi" w:cstheme="majorBidi"/>
          <w:sz w:val="24"/>
          <w:szCs w:val="24"/>
        </w:rPr>
        <w:t>nd</w:t>
      </w:r>
      <w:r w:rsidR="00BC658A" w:rsidRPr="00B92144">
        <w:rPr>
          <w:rFonts w:asciiTheme="majorBidi" w:hAnsiTheme="majorBidi" w:cstheme="majorBidi"/>
          <w:sz w:val="24"/>
          <w:szCs w:val="24"/>
        </w:rPr>
        <w:t xml:space="preserve"> </w:t>
      </w:r>
      <w:r w:rsidR="00D55A57" w:rsidRPr="00B92144">
        <w:rPr>
          <w:rFonts w:asciiTheme="majorBidi" w:hAnsiTheme="majorBidi" w:cstheme="majorBidi"/>
          <w:sz w:val="24"/>
          <w:szCs w:val="24"/>
        </w:rPr>
        <w:t xml:space="preserve">for </w:t>
      </w:r>
      <w:r w:rsidR="00BC658A" w:rsidRPr="00B92144">
        <w:rPr>
          <w:rFonts w:asciiTheme="majorBidi" w:hAnsiTheme="majorBidi" w:cstheme="majorBidi"/>
          <w:sz w:val="24"/>
          <w:szCs w:val="24"/>
        </w:rPr>
        <w:t>accuracy</w:t>
      </w:r>
      <w:r w:rsidR="00D55A57" w:rsidRPr="00B92144">
        <w:rPr>
          <w:rFonts w:asciiTheme="majorBidi" w:hAnsiTheme="majorBidi" w:cstheme="majorBidi"/>
          <w:sz w:val="24"/>
          <w:szCs w:val="24"/>
        </w:rPr>
        <w:t xml:space="preserve"> of risk disclosures’ scores</w:t>
      </w:r>
      <w:r w:rsidR="00BC658A" w:rsidRPr="00B92144">
        <w:rPr>
          <w:rFonts w:asciiTheme="majorBidi" w:hAnsiTheme="majorBidi" w:cstheme="majorBidi"/>
          <w:sz w:val="24"/>
          <w:szCs w:val="24"/>
        </w:rPr>
        <w:t xml:space="preserve">. </w:t>
      </w:r>
      <w:r w:rsidR="00D55A57" w:rsidRPr="00B92144">
        <w:rPr>
          <w:rFonts w:asciiTheme="majorBidi" w:hAnsiTheme="majorBidi" w:cstheme="majorBidi"/>
          <w:sz w:val="24"/>
          <w:szCs w:val="24"/>
        </w:rPr>
        <w:t>W</w:t>
      </w:r>
      <w:r w:rsidR="00BC658A" w:rsidRPr="00B92144">
        <w:rPr>
          <w:rFonts w:asciiTheme="majorBidi" w:hAnsiTheme="majorBidi" w:cstheme="majorBidi"/>
          <w:sz w:val="24"/>
          <w:szCs w:val="24"/>
        </w:rPr>
        <w:t>e rely on Krippendorff’s alpha test, which is the most appropriate test of inter rater reliability</w:t>
      </w:r>
      <w:r w:rsidR="00D55A57" w:rsidRPr="00B92144">
        <w:rPr>
          <w:rFonts w:asciiTheme="majorBidi" w:hAnsiTheme="majorBidi" w:cstheme="majorBidi"/>
          <w:sz w:val="24"/>
          <w:szCs w:val="24"/>
        </w:rPr>
        <w:t xml:space="preserve"> (</w:t>
      </w:r>
      <w:r w:rsidR="00D55A57" w:rsidRPr="00B92144">
        <w:rPr>
          <w:rFonts w:asciiTheme="majorBidi" w:hAnsiTheme="majorBidi" w:cstheme="majorBidi"/>
          <w:color w:val="365F91" w:themeColor="accent1" w:themeShade="BF"/>
          <w:sz w:val="24"/>
          <w:szCs w:val="24"/>
        </w:rPr>
        <w:t xml:space="preserve">Hayes </w:t>
      </w:r>
      <w:r w:rsidR="00E05652" w:rsidRPr="00B92144">
        <w:rPr>
          <w:rFonts w:asciiTheme="majorBidi" w:hAnsiTheme="majorBidi" w:cstheme="majorBidi"/>
          <w:color w:val="365F91" w:themeColor="accent1" w:themeShade="BF"/>
          <w:sz w:val="24"/>
          <w:szCs w:val="24"/>
        </w:rPr>
        <w:t>&amp;</w:t>
      </w:r>
      <w:r w:rsidR="00D55A57" w:rsidRPr="00B92144">
        <w:rPr>
          <w:rFonts w:asciiTheme="majorBidi" w:hAnsiTheme="majorBidi" w:cstheme="majorBidi"/>
          <w:color w:val="365F91" w:themeColor="accent1" w:themeShade="BF"/>
          <w:sz w:val="24"/>
          <w:szCs w:val="24"/>
        </w:rPr>
        <w:t xml:space="preserve"> Krippendorff, 2007; Krippendorff, 2010</w:t>
      </w:r>
      <w:r w:rsidR="00D55A57" w:rsidRPr="00B92144">
        <w:rPr>
          <w:rFonts w:asciiTheme="majorBidi" w:hAnsiTheme="majorBidi" w:cstheme="majorBidi"/>
          <w:sz w:val="24"/>
          <w:szCs w:val="24"/>
        </w:rPr>
        <w:t>)</w:t>
      </w:r>
      <w:r w:rsidR="00BC658A" w:rsidRPr="00B92144">
        <w:rPr>
          <w:rFonts w:asciiTheme="majorBidi" w:hAnsiTheme="majorBidi" w:cstheme="majorBidi"/>
          <w:sz w:val="24"/>
          <w:szCs w:val="24"/>
        </w:rPr>
        <w:t>. The test generates a Kalpha of 0.8</w:t>
      </w:r>
      <w:r w:rsidR="00D55A57" w:rsidRPr="00B92144">
        <w:rPr>
          <w:rFonts w:asciiTheme="majorBidi" w:hAnsiTheme="majorBidi" w:cstheme="majorBidi"/>
          <w:sz w:val="24"/>
          <w:szCs w:val="24"/>
        </w:rPr>
        <w:t>25</w:t>
      </w:r>
      <w:r w:rsidR="00BC658A" w:rsidRPr="00B92144">
        <w:rPr>
          <w:rFonts w:asciiTheme="majorBidi" w:hAnsiTheme="majorBidi" w:cstheme="majorBidi"/>
          <w:sz w:val="24"/>
          <w:szCs w:val="24"/>
        </w:rPr>
        <w:t xml:space="preserve">, a satisfactory level of inter-rater reliability for this intra-class agreement coefficient. It is </w:t>
      </w:r>
      <w:r w:rsidR="00D55A57" w:rsidRPr="00B92144">
        <w:rPr>
          <w:rFonts w:asciiTheme="majorBidi" w:hAnsiTheme="majorBidi" w:cstheme="majorBidi"/>
          <w:sz w:val="24"/>
          <w:szCs w:val="24"/>
        </w:rPr>
        <w:t>common</w:t>
      </w:r>
      <w:r w:rsidR="00BC658A" w:rsidRPr="00B92144">
        <w:rPr>
          <w:rFonts w:asciiTheme="majorBidi" w:hAnsiTheme="majorBidi" w:cstheme="majorBidi"/>
          <w:sz w:val="24"/>
          <w:szCs w:val="24"/>
        </w:rPr>
        <w:t xml:space="preserve"> to require Kalpha = 0.80 as the cut off point for a good reliability test, with a minimum of 0.67 (</w:t>
      </w:r>
      <w:r w:rsidR="00BC658A" w:rsidRPr="00B92144">
        <w:rPr>
          <w:rFonts w:asciiTheme="majorBidi" w:hAnsiTheme="majorBidi" w:cstheme="majorBidi"/>
          <w:color w:val="365F91" w:themeColor="accent1" w:themeShade="BF"/>
          <w:sz w:val="24"/>
          <w:szCs w:val="24"/>
        </w:rPr>
        <w:t>Krippendorff, 200</w:t>
      </w:r>
      <w:r w:rsidR="00BD17E0" w:rsidRPr="00B92144">
        <w:rPr>
          <w:rFonts w:asciiTheme="majorBidi" w:hAnsiTheme="majorBidi" w:cstheme="majorBidi"/>
          <w:color w:val="365F91" w:themeColor="accent1" w:themeShade="BF"/>
          <w:sz w:val="24"/>
          <w:szCs w:val="24"/>
        </w:rPr>
        <w:t>7</w:t>
      </w:r>
      <w:r w:rsidR="00BC658A" w:rsidRPr="00B92144">
        <w:rPr>
          <w:rFonts w:asciiTheme="majorBidi" w:hAnsiTheme="majorBidi" w:cstheme="majorBidi"/>
          <w:sz w:val="24"/>
          <w:szCs w:val="24"/>
        </w:rPr>
        <w:t>).</w:t>
      </w:r>
    </w:p>
    <w:p w14:paraId="089FBD8B" w14:textId="5B20AA8A" w:rsidR="00571B61" w:rsidRPr="00B92144" w:rsidRDefault="00571B61" w:rsidP="000A3B29">
      <w:pPr>
        <w:spacing w:line="360" w:lineRule="auto"/>
        <w:jc w:val="both"/>
        <w:rPr>
          <w:rFonts w:asciiTheme="majorBidi" w:hAnsiTheme="majorBidi" w:cstheme="majorBidi"/>
          <w:sz w:val="24"/>
          <w:szCs w:val="24"/>
        </w:rPr>
      </w:pPr>
    </w:p>
    <w:p w14:paraId="7512A347" w14:textId="77777777" w:rsidR="001B6D4B" w:rsidRPr="00B92144" w:rsidRDefault="001B6D4B" w:rsidP="0010067B">
      <w:pPr>
        <w:spacing w:line="360" w:lineRule="auto"/>
        <w:jc w:val="both"/>
        <w:rPr>
          <w:rFonts w:asciiTheme="majorBidi" w:hAnsiTheme="majorBidi" w:cstheme="majorBidi"/>
          <w:b/>
          <w:bCs/>
          <w:sz w:val="24"/>
          <w:szCs w:val="24"/>
        </w:rPr>
        <w:sectPr w:rsidR="001B6D4B" w:rsidRPr="00B9214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70ECCFB" w14:textId="1322B578" w:rsidR="005D07D4" w:rsidRPr="00B92144" w:rsidRDefault="005D07D4" w:rsidP="00A273B5">
      <w:pPr>
        <w:pStyle w:val="ListParagraph"/>
        <w:numPr>
          <w:ilvl w:val="1"/>
          <w:numId w:val="8"/>
        </w:numPr>
        <w:spacing w:line="360" w:lineRule="auto"/>
        <w:jc w:val="both"/>
        <w:rPr>
          <w:rFonts w:asciiTheme="majorBidi" w:hAnsiTheme="majorBidi" w:cstheme="majorBidi"/>
          <w:b/>
          <w:bCs/>
          <w:sz w:val="24"/>
          <w:szCs w:val="24"/>
        </w:rPr>
      </w:pPr>
      <w:r w:rsidRPr="00B92144">
        <w:rPr>
          <w:rFonts w:asciiTheme="majorBidi" w:hAnsiTheme="majorBidi" w:cstheme="majorBidi"/>
          <w:b/>
          <w:bCs/>
          <w:sz w:val="24"/>
          <w:szCs w:val="24"/>
        </w:rPr>
        <w:lastRenderedPageBreak/>
        <w:t>Independent variables:</w:t>
      </w:r>
    </w:p>
    <w:p w14:paraId="3DDAB27E" w14:textId="77777777" w:rsidR="001B6D4B" w:rsidRPr="00B92144" w:rsidRDefault="001B6D4B" w:rsidP="001B6D4B">
      <w:pPr>
        <w:rPr>
          <w:rFonts w:asciiTheme="majorBidi" w:hAnsiTheme="majorBidi" w:cstheme="majorBidi"/>
          <w:sz w:val="24"/>
          <w:szCs w:val="24"/>
        </w:rPr>
      </w:pPr>
      <w:r w:rsidRPr="00B92144">
        <w:rPr>
          <w:rFonts w:asciiTheme="majorBidi" w:hAnsiTheme="majorBidi" w:cstheme="majorBidi"/>
          <w:sz w:val="24"/>
          <w:szCs w:val="24"/>
        </w:rPr>
        <w:t>Table 1: Model specification and variable measurement</w:t>
      </w:r>
    </w:p>
    <w:tbl>
      <w:tblPr>
        <w:tblStyle w:val="PlainTable2"/>
        <w:tblW w:w="12114" w:type="dxa"/>
        <w:tblLayout w:type="fixed"/>
        <w:tblLook w:val="04A0" w:firstRow="1" w:lastRow="0" w:firstColumn="1" w:lastColumn="0" w:noHBand="0" w:noVBand="1"/>
      </w:tblPr>
      <w:tblGrid>
        <w:gridCol w:w="1458"/>
        <w:gridCol w:w="3132"/>
        <w:gridCol w:w="5444"/>
        <w:gridCol w:w="2080"/>
      </w:tblGrid>
      <w:tr w:rsidR="001B6D4B" w:rsidRPr="00B92144" w14:paraId="60883E43" w14:textId="77777777" w:rsidTr="00CB0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09FE688A" w14:textId="3BC43FD5" w:rsidR="001B6D4B" w:rsidRPr="00B92144" w:rsidRDefault="001B6D4B" w:rsidP="004850CA">
            <w:pPr>
              <w:rPr>
                <w:rFonts w:asciiTheme="majorBidi" w:hAnsiTheme="majorBidi" w:cstheme="majorBidi"/>
                <w:b w:val="0"/>
                <w:bCs w:val="0"/>
                <w:i/>
                <w:iCs/>
                <w:sz w:val="20"/>
                <w:szCs w:val="20"/>
              </w:rPr>
            </w:pPr>
            <w:r w:rsidRPr="00B92144">
              <w:rPr>
                <w:rFonts w:asciiTheme="majorBidi" w:hAnsiTheme="majorBidi" w:cstheme="majorBidi"/>
                <w:b w:val="0"/>
                <w:bCs w:val="0"/>
                <w:i/>
                <w:iCs/>
                <w:sz w:val="20"/>
                <w:szCs w:val="20"/>
              </w:rPr>
              <w:t xml:space="preserve">Abbreviated </w:t>
            </w:r>
            <w:r w:rsidR="00B23619" w:rsidRPr="00B92144">
              <w:rPr>
                <w:rFonts w:asciiTheme="majorBidi" w:hAnsiTheme="majorBidi" w:cstheme="majorBidi"/>
                <w:b w:val="0"/>
                <w:bCs w:val="0"/>
                <w:i/>
                <w:iCs/>
                <w:sz w:val="20"/>
                <w:szCs w:val="20"/>
              </w:rPr>
              <w:t>N</w:t>
            </w:r>
            <w:r w:rsidRPr="00B92144">
              <w:rPr>
                <w:rFonts w:asciiTheme="majorBidi" w:hAnsiTheme="majorBidi" w:cstheme="majorBidi"/>
                <w:b w:val="0"/>
                <w:bCs w:val="0"/>
                <w:i/>
                <w:iCs/>
                <w:sz w:val="20"/>
                <w:szCs w:val="20"/>
              </w:rPr>
              <w:t>ame</w:t>
            </w:r>
          </w:p>
        </w:tc>
        <w:tc>
          <w:tcPr>
            <w:tcW w:w="3132" w:type="dxa"/>
          </w:tcPr>
          <w:p w14:paraId="7FFD24A9" w14:textId="5DBCEEFB" w:rsidR="001B6D4B" w:rsidRPr="00B92144" w:rsidRDefault="001B6D4B" w:rsidP="004850C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B92144">
              <w:rPr>
                <w:rFonts w:asciiTheme="majorBidi" w:hAnsiTheme="majorBidi" w:cstheme="majorBidi"/>
                <w:b w:val="0"/>
                <w:bCs w:val="0"/>
                <w:sz w:val="20"/>
                <w:szCs w:val="20"/>
              </w:rPr>
              <w:t xml:space="preserve">Full </w:t>
            </w:r>
            <w:r w:rsidR="00B23619" w:rsidRPr="00B92144">
              <w:rPr>
                <w:rFonts w:asciiTheme="majorBidi" w:hAnsiTheme="majorBidi" w:cstheme="majorBidi"/>
                <w:b w:val="0"/>
                <w:bCs w:val="0"/>
                <w:sz w:val="20"/>
                <w:szCs w:val="20"/>
              </w:rPr>
              <w:t>N</w:t>
            </w:r>
            <w:r w:rsidRPr="00B92144">
              <w:rPr>
                <w:rFonts w:asciiTheme="majorBidi" w:hAnsiTheme="majorBidi" w:cstheme="majorBidi"/>
                <w:b w:val="0"/>
                <w:bCs w:val="0"/>
                <w:sz w:val="20"/>
                <w:szCs w:val="20"/>
              </w:rPr>
              <w:t>ame</w:t>
            </w:r>
          </w:p>
        </w:tc>
        <w:tc>
          <w:tcPr>
            <w:tcW w:w="5444" w:type="dxa"/>
          </w:tcPr>
          <w:p w14:paraId="2D745FE1" w14:textId="77777777" w:rsidR="001B6D4B" w:rsidRPr="00B92144" w:rsidRDefault="001B6D4B" w:rsidP="004850C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B92144">
              <w:rPr>
                <w:rFonts w:asciiTheme="majorBidi" w:hAnsiTheme="majorBidi" w:cstheme="majorBidi"/>
                <w:b w:val="0"/>
                <w:bCs w:val="0"/>
                <w:sz w:val="20"/>
                <w:szCs w:val="20"/>
              </w:rPr>
              <w:t>Variable description</w:t>
            </w:r>
          </w:p>
        </w:tc>
        <w:tc>
          <w:tcPr>
            <w:tcW w:w="2080" w:type="dxa"/>
          </w:tcPr>
          <w:p w14:paraId="648F1793" w14:textId="77777777" w:rsidR="001B6D4B" w:rsidRPr="00B92144" w:rsidRDefault="001B6D4B" w:rsidP="004850C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B92144">
              <w:rPr>
                <w:rFonts w:asciiTheme="majorBidi" w:hAnsiTheme="majorBidi" w:cstheme="majorBidi"/>
                <w:b w:val="0"/>
                <w:bCs w:val="0"/>
                <w:sz w:val="20"/>
                <w:szCs w:val="20"/>
              </w:rPr>
              <w:t>Data source</w:t>
            </w:r>
          </w:p>
        </w:tc>
      </w:tr>
      <w:tr w:rsidR="001B6D4B" w:rsidRPr="00B92144" w14:paraId="73B03CDD" w14:textId="77777777" w:rsidTr="00CB0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396A42CD" w14:textId="77777777" w:rsidR="001B6D4B" w:rsidRPr="00B92144" w:rsidRDefault="001B6D4B" w:rsidP="004850CA">
            <w:pPr>
              <w:rPr>
                <w:rFonts w:asciiTheme="majorBidi" w:hAnsiTheme="majorBidi" w:cstheme="majorBidi"/>
                <w:sz w:val="20"/>
                <w:szCs w:val="20"/>
              </w:rPr>
            </w:pPr>
            <w:r w:rsidRPr="00B92144">
              <w:rPr>
                <w:rFonts w:asciiTheme="majorBidi" w:hAnsiTheme="majorBidi" w:cstheme="majorBidi"/>
                <w:sz w:val="20"/>
                <w:szCs w:val="20"/>
              </w:rPr>
              <w:t>BLOCK</w:t>
            </w:r>
          </w:p>
        </w:tc>
        <w:tc>
          <w:tcPr>
            <w:tcW w:w="3132" w:type="dxa"/>
          </w:tcPr>
          <w:p w14:paraId="3C918E1C" w14:textId="77777777" w:rsidR="001B6D4B" w:rsidRPr="00B92144" w:rsidRDefault="001B6D4B" w:rsidP="004850C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Number of Blockholders</w:t>
            </w:r>
          </w:p>
          <w:p w14:paraId="3705A7A2" w14:textId="77777777" w:rsidR="001B6D4B" w:rsidRPr="00B92144" w:rsidRDefault="001B6D4B" w:rsidP="004850CA">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5444" w:type="dxa"/>
          </w:tcPr>
          <w:p w14:paraId="6EFCB50F" w14:textId="77777777" w:rsidR="001B6D4B" w:rsidRPr="00B92144" w:rsidRDefault="001B6D4B" w:rsidP="004850C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Number of blockholders– shareholders whose ownership ≥5 % of total number of shares issued.</w:t>
            </w:r>
          </w:p>
        </w:tc>
        <w:tc>
          <w:tcPr>
            <w:tcW w:w="2080" w:type="dxa"/>
          </w:tcPr>
          <w:p w14:paraId="6FBAFE07" w14:textId="77777777" w:rsidR="001B6D4B" w:rsidRPr="00B92144" w:rsidRDefault="001B6D4B" w:rsidP="004850C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Zawya data base- bank website-annual report</w:t>
            </w:r>
          </w:p>
        </w:tc>
      </w:tr>
      <w:tr w:rsidR="001B6D4B" w:rsidRPr="00B92144" w14:paraId="2677AAB9" w14:textId="77777777" w:rsidTr="00CB06D2">
        <w:tc>
          <w:tcPr>
            <w:cnfStyle w:val="001000000000" w:firstRow="0" w:lastRow="0" w:firstColumn="1" w:lastColumn="0" w:oddVBand="0" w:evenVBand="0" w:oddHBand="0" w:evenHBand="0" w:firstRowFirstColumn="0" w:firstRowLastColumn="0" w:lastRowFirstColumn="0" w:lastRowLastColumn="0"/>
            <w:tcW w:w="1458" w:type="dxa"/>
          </w:tcPr>
          <w:p w14:paraId="4B1BE0E5" w14:textId="77777777" w:rsidR="001B6D4B" w:rsidRPr="00B92144" w:rsidRDefault="006F36BF" w:rsidP="004850CA">
            <w:pPr>
              <w:rPr>
                <w:rFonts w:asciiTheme="majorBidi" w:hAnsiTheme="majorBidi" w:cstheme="majorBidi"/>
                <w:sz w:val="20"/>
                <w:szCs w:val="20"/>
              </w:rPr>
            </w:pPr>
            <w:r w:rsidRPr="00B92144">
              <w:rPr>
                <w:rFonts w:asciiTheme="majorBidi" w:hAnsiTheme="majorBidi" w:cstheme="majorBidi"/>
                <w:sz w:val="20"/>
                <w:szCs w:val="20"/>
              </w:rPr>
              <w:t>FOREIGN</w:t>
            </w:r>
          </w:p>
        </w:tc>
        <w:tc>
          <w:tcPr>
            <w:tcW w:w="3132" w:type="dxa"/>
          </w:tcPr>
          <w:p w14:paraId="078F9FB7" w14:textId="77777777" w:rsidR="001B6D4B" w:rsidRPr="00B92144" w:rsidRDefault="006F36BF" w:rsidP="004850C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foreign</w:t>
            </w:r>
            <w:r w:rsidR="001B6D4B" w:rsidRPr="00B92144">
              <w:rPr>
                <w:rFonts w:asciiTheme="majorBidi" w:hAnsiTheme="majorBidi" w:cstheme="majorBidi"/>
                <w:sz w:val="20"/>
                <w:szCs w:val="20"/>
              </w:rPr>
              <w:t xml:space="preserve"> ownership</w:t>
            </w:r>
          </w:p>
        </w:tc>
        <w:tc>
          <w:tcPr>
            <w:tcW w:w="5444" w:type="dxa"/>
          </w:tcPr>
          <w:p w14:paraId="2BEEDFE3" w14:textId="77777777" w:rsidR="001B6D4B" w:rsidRPr="00B92144" w:rsidRDefault="001B6D4B" w:rsidP="006F36B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 xml:space="preserve">Percent of shares owned by </w:t>
            </w:r>
            <w:r w:rsidR="006F36BF" w:rsidRPr="00B92144">
              <w:rPr>
                <w:rFonts w:asciiTheme="majorBidi" w:hAnsiTheme="majorBidi" w:cstheme="majorBidi"/>
                <w:sz w:val="20"/>
                <w:szCs w:val="20"/>
              </w:rPr>
              <w:t>foreign</w:t>
            </w:r>
            <w:r w:rsidRPr="00B92144">
              <w:rPr>
                <w:rFonts w:asciiTheme="majorBidi" w:hAnsiTheme="majorBidi" w:cstheme="majorBidi"/>
                <w:sz w:val="20"/>
                <w:szCs w:val="20"/>
              </w:rPr>
              <w:t xml:space="preserve"> shareholders</w:t>
            </w:r>
          </w:p>
        </w:tc>
        <w:tc>
          <w:tcPr>
            <w:tcW w:w="2080" w:type="dxa"/>
          </w:tcPr>
          <w:p w14:paraId="060FC7FB" w14:textId="77777777" w:rsidR="001B6D4B" w:rsidRPr="00B92144" w:rsidRDefault="001B6D4B" w:rsidP="004850C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Zawya data base- bank website-annual report</w:t>
            </w:r>
          </w:p>
        </w:tc>
      </w:tr>
      <w:tr w:rsidR="001B6D4B" w:rsidRPr="00B92144" w14:paraId="2E65EB90" w14:textId="77777777" w:rsidTr="00CB0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3976A974" w14:textId="77777777" w:rsidR="001B6D4B" w:rsidRPr="00B92144" w:rsidRDefault="001B6D4B" w:rsidP="004850CA">
            <w:pPr>
              <w:rPr>
                <w:rFonts w:asciiTheme="majorBidi" w:hAnsiTheme="majorBidi" w:cstheme="majorBidi"/>
                <w:sz w:val="20"/>
                <w:szCs w:val="20"/>
              </w:rPr>
            </w:pPr>
            <w:r w:rsidRPr="00B92144">
              <w:rPr>
                <w:rFonts w:asciiTheme="majorBidi" w:hAnsiTheme="majorBidi" w:cstheme="majorBidi"/>
                <w:sz w:val="20"/>
                <w:szCs w:val="20"/>
              </w:rPr>
              <w:t>BDSIZE</w:t>
            </w:r>
          </w:p>
        </w:tc>
        <w:tc>
          <w:tcPr>
            <w:tcW w:w="3132" w:type="dxa"/>
          </w:tcPr>
          <w:p w14:paraId="184FA807" w14:textId="77777777" w:rsidR="001B6D4B" w:rsidRPr="00B92144" w:rsidRDefault="001B6D4B" w:rsidP="004850C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Board size</w:t>
            </w:r>
          </w:p>
        </w:tc>
        <w:tc>
          <w:tcPr>
            <w:tcW w:w="5444" w:type="dxa"/>
          </w:tcPr>
          <w:p w14:paraId="42EDC2B3" w14:textId="77777777" w:rsidR="001B6D4B" w:rsidRPr="00B92144" w:rsidRDefault="001B6D4B" w:rsidP="004850C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The number of board members</w:t>
            </w:r>
          </w:p>
        </w:tc>
        <w:tc>
          <w:tcPr>
            <w:tcW w:w="2080" w:type="dxa"/>
          </w:tcPr>
          <w:p w14:paraId="365322AC" w14:textId="77777777" w:rsidR="001B6D4B" w:rsidRPr="00B92144" w:rsidRDefault="001B6D4B" w:rsidP="004850C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Annual report</w:t>
            </w:r>
          </w:p>
        </w:tc>
      </w:tr>
      <w:tr w:rsidR="001B6D4B" w:rsidRPr="00B92144" w14:paraId="36522B47" w14:textId="77777777" w:rsidTr="00CB06D2">
        <w:trPr>
          <w:trHeight w:val="513"/>
        </w:trPr>
        <w:tc>
          <w:tcPr>
            <w:cnfStyle w:val="001000000000" w:firstRow="0" w:lastRow="0" w:firstColumn="1" w:lastColumn="0" w:oddVBand="0" w:evenVBand="0" w:oddHBand="0" w:evenHBand="0" w:firstRowFirstColumn="0" w:firstRowLastColumn="0" w:lastRowFirstColumn="0" w:lastRowLastColumn="0"/>
            <w:tcW w:w="1458" w:type="dxa"/>
          </w:tcPr>
          <w:p w14:paraId="170ACD4E" w14:textId="77777777" w:rsidR="001B6D4B" w:rsidRPr="00B92144" w:rsidRDefault="001B6D4B" w:rsidP="004850CA">
            <w:pPr>
              <w:rPr>
                <w:rFonts w:asciiTheme="majorBidi" w:hAnsiTheme="majorBidi" w:cstheme="majorBidi"/>
                <w:sz w:val="20"/>
                <w:szCs w:val="20"/>
              </w:rPr>
            </w:pPr>
            <w:r w:rsidRPr="00B92144">
              <w:rPr>
                <w:rFonts w:asciiTheme="majorBidi" w:hAnsiTheme="majorBidi" w:cstheme="majorBidi"/>
                <w:sz w:val="20"/>
                <w:szCs w:val="20"/>
              </w:rPr>
              <w:t>BDIND</w:t>
            </w:r>
          </w:p>
        </w:tc>
        <w:tc>
          <w:tcPr>
            <w:tcW w:w="3132" w:type="dxa"/>
          </w:tcPr>
          <w:p w14:paraId="1472E296" w14:textId="77777777" w:rsidR="001B6D4B" w:rsidRPr="00B92144" w:rsidRDefault="001B6D4B" w:rsidP="004850C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Board independence</w:t>
            </w:r>
          </w:p>
        </w:tc>
        <w:tc>
          <w:tcPr>
            <w:tcW w:w="5444" w:type="dxa"/>
          </w:tcPr>
          <w:p w14:paraId="166B3F47" w14:textId="77777777" w:rsidR="001B6D4B" w:rsidRPr="00B92144" w:rsidRDefault="001B6D4B" w:rsidP="004850C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Ratio of the number of non-executive directors to the total number of the directors</w:t>
            </w:r>
          </w:p>
        </w:tc>
        <w:tc>
          <w:tcPr>
            <w:tcW w:w="2080" w:type="dxa"/>
          </w:tcPr>
          <w:p w14:paraId="2B6755C5" w14:textId="77777777" w:rsidR="001B6D4B" w:rsidRPr="00B92144" w:rsidRDefault="001B6D4B" w:rsidP="004850C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Annual report</w:t>
            </w:r>
          </w:p>
        </w:tc>
      </w:tr>
      <w:tr w:rsidR="00F65F01" w:rsidRPr="00B92144" w14:paraId="7CD841BE" w14:textId="77777777" w:rsidTr="00CB0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09530BED" w14:textId="77777777" w:rsidR="00F65F01" w:rsidRPr="00B92144" w:rsidRDefault="00F65F01" w:rsidP="004850CA">
            <w:pPr>
              <w:rPr>
                <w:rFonts w:asciiTheme="majorBidi" w:hAnsiTheme="majorBidi" w:cstheme="majorBidi"/>
                <w:sz w:val="20"/>
                <w:szCs w:val="20"/>
              </w:rPr>
            </w:pPr>
            <w:r w:rsidRPr="00B92144">
              <w:rPr>
                <w:rFonts w:asciiTheme="majorBidi" w:hAnsiTheme="majorBidi" w:cstheme="majorBidi"/>
                <w:sz w:val="20"/>
                <w:szCs w:val="20"/>
              </w:rPr>
              <w:t>BDFOREIGN</w:t>
            </w:r>
          </w:p>
        </w:tc>
        <w:tc>
          <w:tcPr>
            <w:tcW w:w="3132" w:type="dxa"/>
          </w:tcPr>
          <w:p w14:paraId="51FD415D" w14:textId="77777777" w:rsidR="00F65F01" w:rsidRPr="00B92144" w:rsidRDefault="006F36BF" w:rsidP="004850C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Foreign directors</w:t>
            </w:r>
          </w:p>
        </w:tc>
        <w:tc>
          <w:tcPr>
            <w:tcW w:w="5444" w:type="dxa"/>
          </w:tcPr>
          <w:p w14:paraId="7BC16473" w14:textId="77777777" w:rsidR="00F65F01" w:rsidRPr="00B92144" w:rsidRDefault="006F36BF" w:rsidP="006F36B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Ratio of the number of foreign directors to the total number of the directors</w:t>
            </w:r>
          </w:p>
        </w:tc>
        <w:tc>
          <w:tcPr>
            <w:tcW w:w="2080" w:type="dxa"/>
          </w:tcPr>
          <w:p w14:paraId="45377D8C" w14:textId="77777777" w:rsidR="00F65F01" w:rsidRPr="00B92144" w:rsidRDefault="006F36BF" w:rsidP="004850C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Annual report</w:t>
            </w:r>
          </w:p>
        </w:tc>
      </w:tr>
      <w:tr w:rsidR="00B23619" w:rsidRPr="00B92144" w14:paraId="6718A4AA" w14:textId="77777777" w:rsidTr="00CB06D2">
        <w:tc>
          <w:tcPr>
            <w:cnfStyle w:val="001000000000" w:firstRow="0" w:lastRow="0" w:firstColumn="1" w:lastColumn="0" w:oddVBand="0" w:evenVBand="0" w:oddHBand="0" w:evenHBand="0" w:firstRowFirstColumn="0" w:firstRowLastColumn="0" w:lastRowFirstColumn="0" w:lastRowLastColumn="0"/>
            <w:tcW w:w="1458" w:type="dxa"/>
          </w:tcPr>
          <w:p w14:paraId="0F5F06B8" w14:textId="4F709271" w:rsidR="00B23619" w:rsidRPr="00B92144" w:rsidRDefault="00B23619" w:rsidP="00B23619">
            <w:pPr>
              <w:rPr>
                <w:rFonts w:asciiTheme="majorBidi" w:hAnsiTheme="majorBidi" w:cstheme="majorBidi"/>
                <w:sz w:val="20"/>
                <w:szCs w:val="20"/>
              </w:rPr>
            </w:pPr>
            <w:r w:rsidRPr="00B92144">
              <w:rPr>
                <w:rFonts w:asciiTheme="majorBidi" w:hAnsiTheme="majorBidi" w:cstheme="majorBidi"/>
                <w:sz w:val="20"/>
                <w:szCs w:val="20"/>
              </w:rPr>
              <w:t>ROA</w:t>
            </w:r>
          </w:p>
        </w:tc>
        <w:tc>
          <w:tcPr>
            <w:tcW w:w="3132" w:type="dxa"/>
          </w:tcPr>
          <w:p w14:paraId="4B917B83" w14:textId="2CAEDB49" w:rsidR="00B23619" w:rsidRPr="00B92144" w:rsidRDefault="00B23619" w:rsidP="00B236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Return on assets</w:t>
            </w:r>
          </w:p>
        </w:tc>
        <w:tc>
          <w:tcPr>
            <w:tcW w:w="5444" w:type="dxa"/>
          </w:tcPr>
          <w:p w14:paraId="273C330C" w14:textId="0656556E" w:rsidR="00B23619" w:rsidRPr="00B92144" w:rsidRDefault="00B23619" w:rsidP="00B236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Net income/total assets</w:t>
            </w:r>
          </w:p>
        </w:tc>
        <w:tc>
          <w:tcPr>
            <w:tcW w:w="2080" w:type="dxa"/>
          </w:tcPr>
          <w:p w14:paraId="4B7F20C3" w14:textId="693601A3" w:rsidR="00B23619" w:rsidRPr="00B92144" w:rsidRDefault="00B23619" w:rsidP="00B236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Annual report: Financial statements</w:t>
            </w:r>
          </w:p>
        </w:tc>
      </w:tr>
      <w:tr w:rsidR="00B23619" w:rsidRPr="00B92144" w14:paraId="44C87257" w14:textId="77777777" w:rsidTr="00CB0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6BB086BC" w14:textId="57F76B5D" w:rsidR="00B23619" w:rsidRPr="00B92144" w:rsidRDefault="00B23619" w:rsidP="00B23619">
            <w:pPr>
              <w:rPr>
                <w:rFonts w:asciiTheme="majorBidi" w:hAnsiTheme="majorBidi" w:cstheme="majorBidi"/>
                <w:sz w:val="20"/>
                <w:szCs w:val="20"/>
              </w:rPr>
            </w:pPr>
            <w:r w:rsidRPr="00B92144">
              <w:rPr>
                <w:rFonts w:asciiTheme="majorBidi" w:hAnsiTheme="majorBidi" w:cstheme="majorBidi"/>
                <w:sz w:val="20"/>
                <w:szCs w:val="20"/>
              </w:rPr>
              <w:t>LEVERAGE</w:t>
            </w:r>
          </w:p>
        </w:tc>
        <w:tc>
          <w:tcPr>
            <w:tcW w:w="3132" w:type="dxa"/>
          </w:tcPr>
          <w:p w14:paraId="6E2DBA21" w14:textId="77777777" w:rsidR="00B23619" w:rsidRPr="00B92144" w:rsidRDefault="00B23619" w:rsidP="00B236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Leverage</w:t>
            </w:r>
          </w:p>
        </w:tc>
        <w:tc>
          <w:tcPr>
            <w:tcW w:w="5444" w:type="dxa"/>
          </w:tcPr>
          <w:p w14:paraId="6B4A6A1D" w14:textId="77777777" w:rsidR="00B23619" w:rsidRPr="00B92144" w:rsidRDefault="00B23619" w:rsidP="00B236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Long-term debt/ total assets</w:t>
            </w:r>
          </w:p>
        </w:tc>
        <w:tc>
          <w:tcPr>
            <w:tcW w:w="2080" w:type="dxa"/>
          </w:tcPr>
          <w:p w14:paraId="20D5CA8E" w14:textId="77777777" w:rsidR="00B23619" w:rsidRPr="00B92144" w:rsidRDefault="00B23619" w:rsidP="00B236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Annual report: Financial statements</w:t>
            </w:r>
          </w:p>
        </w:tc>
      </w:tr>
      <w:tr w:rsidR="00B23619" w:rsidRPr="00B92144" w14:paraId="5184163F" w14:textId="77777777" w:rsidTr="00CB06D2">
        <w:tc>
          <w:tcPr>
            <w:cnfStyle w:val="001000000000" w:firstRow="0" w:lastRow="0" w:firstColumn="1" w:lastColumn="0" w:oddVBand="0" w:evenVBand="0" w:oddHBand="0" w:evenHBand="0" w:firstRowFirstColumn="0" w:firstRowLastColumn="0" w:lastRowFirstColumn="0" w:lastRowLastColumn="0"/>
            <w:tcW w:w="1458" w:type="dxa"/>
          </w:tcPr>
          <w:p w14:paraId="58D75BC1" w14:textId="77777777" w:rsidR="00B23619" w:rsidRPr="00B92144" w:rsidRDefault="00B23619" w:rsidP="00B23619">
            <w:pPr>
              <w:rPr>
                <w:rFonts w:asciiTheme="majorBidi" w:hAnsiTheme="majorBidi" w:cstheme="majorBidi"/>
                <w:sz w:val="20"/>
                <w:szCs w:val="20"/>
              </w:rPr>
            </w:pPr>
            <w:r w:rsidRPr="00B92144">
              <w:rPr>
                <w:rFonts w:asciiTheme="majorBidi" w:hAnsiTheme="majorBidi" w:cstheme="majorBidi"/>
                <w:sz w:val="20"/>
                <w:szCs w:val="20"/>
              </w:rPr>
              <w:t>BANKSIZE</w:t>
            </w:r>
          </w:p>
        </w:tc>
        <w:tc>
          <w:tcPr>
            <w:tcW w:w="3132" w:type="dxa"/>
          </w:tcPr>
          <w:p w14:paraId="58E7E762" w14:textId="77777777" w:rsidR="00B23619" w:rsidRPr="00B92144" w:rsidRDefault="00B23619" w:rsidP="00B236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Bank size</w:t>
            </w:r>
          </w:p>
        </w:tc>
        <w:tc>
          <w:tcPr>
            <w:tcW w:w="5444" w:type="dxa"/>
          </w:tcPr>
          <w:p w14:paraId="53A4867F" w14:textId="77777777" w:rsidR="00B23619" w:rsidRPr="00B92144" w:rsidRDefault="00B23619" w:rsidP="00B236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Natural logarithm of total assets</w:t>
            </w:r>
          </w:p>
        </w:tc>
        <w:tc>
          <w:tcPr>
            <w:tcW w:w="2080" w:type="dxa"/>
          </w:tcPr>
          <w:p w14:paraId="69C8A58E" w14:textId="77777777" w:rsidR="00B23619" w:rsidRPr="00B92144" w:rsidRDefault="00B23619" w:rsidP="00B236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Annual report: Financial statements</w:t>
            </w:r>
          </w:p>
        </w:tc>
      </w:tr>
      <w:tr w:rsidR="00B23619" w:rsidRPr="00B92144" w14:paraId="719E6424" w14:textId="77777777" w:rsidTr="00CB0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53564AAC" w14:textId="77777777" w:rsidR="00B23619" w:rsidRPr="00B92144" w:rsidRDefault="00B23619" w:rsidP="00B23619">
            <w:pPr>
              <w:rPr>
                <w:rFonts w:asciiTheme="majorBidi" w:hAnsiTheme="majorBidi" w:cstheme="majorBidi"/>
                <w:sz w:val="20"/>
                <w:szCs w:val="20"/>
              </w:rPr>
            </w:pPr>
            <w:r w:rsidRPr="00B92144">
              <w:rPr>
                <w:rFonts w:asciiTheme="majorBidi" w:hAnsiTheme="majorBidi" w:cstheme="majorBidi"/>
                <w:sz w:val="20"/>
                <w:szCs w:val="20"/>
              </w:rPr>
              <w:t>BKAGE</w:t>
            </w:r>
          </w:p>
        </w:tc>
        <w:tc>
          <w:tcPr>
            <w:tcW w:w="3132" w:type="dxa"/>
          </w:tcPr>
          <w:p w14:paraId="307B95E2" w14:textId="77777777" w:rsidR="00B23619" w:rsidRPr="00B92144" w:rsidRDefault="00B23619" w:rsidP="00B236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Bank age</w:t>
            </w:r>
          </w:p>
        </w:tc>
        <w:tc>
          <w:tcPr>
            <w:tcW w:w="5444" w:type="dxa"/>
          </w:tcPr>
          <w:p w14:paraId="1031BA13" w14:textId="77777777" w:rsidR="00B23619" w:rsidRPr="00B92144" w:rsidRDefault="00B23619" w:rsidP="00B236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Bank age</w:t>
            </w:r>
          </w:p>
        </w:tc>
        <w:tc>
          <w:tcPr>
            <w:tcW w:w="2080" w:type="dxa"/>
          </w:tcPr>
          <w:p w14:paraId="5EBC1C81" w14:textId="77777777" w:rsidR="00B23619" w:rsidRPr="00B92144" w:rsidRDefault="00B23619" w:rsidP="00B236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Bank website</w:t>
            </w:r>
          </w:p>
        </w:tc>
      </w:tr>
      <w:tr w:rsidR="00B23619" w:rsidRPr="00B92144" w14:paraId="5444CB99" w14:textId="77777777" w:rsidTr="00CB06D2">
        <w:tc>
          <w:tcPr>
            <w:cnfStyle w:val="001000000000" w:firstRow="0" w:lastRow="0" w:firstColumn="1" w:lastColumn="0" w:oddVBand="0" w:evenVBand="0" w:oddHBand="0" w:evenHBand="0" w:firstRowFirstColumn="0" w:firstRowLastColumn="0" w:lastRowFirstColumn="0" w:lastRowLastColumn="0"/>
            <w:tcW w:w="1458" w:type="dxa"/>
          </w:tcPr>
          <w:p w14:paraId="6474ACC4" w14:textId="77777777" w:rsidR="00B23619" w:rsidRPr="00B92144" w:rsidRDefault="00B23619" w:rsidP="00B23619">
            <w:pPr>
              <w:rPr>
                <w:rFonts w:asciiTheme="majorBidi" w:hAnsiTheme="majorBidi" w:cstheme="majorBidi"/>
                <w:sz w:val="20"/>
                <w:szCs w:val="20"/>
              </w:rPr>
            </w:pPr>
            <w:r w:rsidRPr="00B92144">
              <w:rPr>
                <w:rFonts w:asciiTheme="majorBidi" w:hAnsiTheme="majorBidi" w:cstheme="majorBidi"/>
                <w:sz w:val="20"/>
                <w:szCs w:val="20"/>
              </w:rPr>
              <w:t>LIST</w:t>
            </w:r>
          </w:p>
        </w:tc>
        <w:tc>
          <w:tcPr>
            <w:tcW w:w="3132" w:type="dxa"/>
          </w:tcPr>
          <w:p w14:paraId="6B14C66C" w14:textId="77777777" w:rsidR="00B23619" w:rsidRPr="00B92144" w:rsidRDefault="00B23619" w:rsidP="00B236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Listed bank</w:t>
            </w:r>
          </w:p>
        </w:tc>
        <w:tc>
          <w:tcPr>
            <w:tcW w:w="5444" w:type="dxa"/>
          </w:tcPr>
          <w:p w14:paraId="170D1AAB" w14:textId="77777777" w:rsidR="00B23619" w:rsidRPr="00B92144" w:rsidRDefault="00B23619" w:rsidP="00B236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1 if the IBs is listed in the stock exchange, 0 otherwise</w:t>
            </w:r>
          </w:p>
        </w:tc>
        <w:tc>
          <w:tcPr>
            <w:tcW w:w="2080" w:type="dxa"/>
          </w:tcPr>
          <w:p w14:paraId="6CC4C84B" w14:textId="77777777" w:rsidR="00B23619" w:rsidRPr="00B92144" w:rsidRDefault="00B23619" w:rsidP="00B236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Stock exchange</w:t>
            </w:r>
          </w:p>
        </w:tc>
      </w:tr>
      <w:tr w:rsidR="00CB06D2" w:rsidRPr="00B92144" w14:paraId="26E4181F" w14:textId="77777777" w:rsidTr="00CB06D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590" w:type="dxa"/>
            <w:gridSpan w:val="2"/>
          </w:tcPr>
          <w:p w14:paraId="202CC097" w14:textId="77777777" w:rsidR="00CB06D2" w:rsidRPr="00B92144" w:rsidRDefault="00CB06D2" w:rsidP="00B23619">
            <w:pPr>
              <w:rPr>
                <w:rFonts w:asciiTheme="majorBidi" w:hAnsiTheme="majorBidi" w:cstheme="majorBidi"/>
                <w:b w:val="0"/>
                <w:i/>
                <w:sz w:val="20"/>
                <w:szCs w:val="20"/>
              </w:rPr>
            </w:pPr>
          </w:p>
          <w:p w14:paraId="701D4527" w14:textId="2F2100E9" w:rsidR="00CB06D2" w:rsidRPr="00B92144" w:rsidRDefault="00CB06D2" w:rsidP="00B23619">
            <w:pPr>
              <w:rPr>
                <w:rFonts w:asciiTheme="majorBidi" w:hAnsiTheme="majorBidi" w:cstheme="majorBidi"/>
                <w:sz w:val="20"/>
                <w:szCs w:val="20"/>
              </w:rPr>
            </w:pPr>
            <w:r w:rsidRPr="00B92144">
              <w:rPr>
                <w:rFonts w:asciiTheme="majorBidi" w:hAnsiTheme="majorBidi" w:cstheme="majorBidi"/>
                <w:b w:val="0"/>
                <w:i/>
                <w:sz w:val="20"/>
                <w:szCs w:val="20"/>
              </w:rPr>
              <w:t>Control variables</w:t>
            </w:r>
          </w:p>
        </w:tc>
        <w:tc>
          <w:tcPr>
            <w:tcW w:w="5444" w:type="dxa"/>
          </w:tcPr>
          <w:p w14:paraId="2DF2EE51" w14:textId="77777777" w:rsidR="00CB06D2" w:rsidRPr="00B92144" w:rsidRDefault="00CB06D2" w:rsidP="00B236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2080" w:type="dxa"/>
          </w:tcPr>
          <w:p w14:paraId="5BAD6AB9" w14:textId="77777777" w:rsidR="00CB06D2" w:rsidRPr="00B92144" w:rsidRDefault="00CB06D2" w:rsidP="00B236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B23619" w:rsidRPr="00B92144" w14:paraId="7228117B" w14:textId="77777777" w:rsidTr="00CB06D2">
        <w:trPr>
          <w:trHeight w:val="215"/>
        </w:trPr>
        <w:tc>
          <w:tcPr>
            <w:cnfStyle w:val="001000000000" w:firstRow="0" w:lastRow="0" w:firstColumn="1" w:lastColumn="0" w:oddVBand="0" w:evenVBand="0" w:oddHBand="0" w:evenHBand="0" w:firstRowFirstColumn="0" w:firstRowLastColumn="0" w:lastRowFirstColumn="0" w:lastRowLastColumn="0"/>
            <w:tcW w:w="1458" w:type="dxa"/>
          </w:tcPr>
          <w:p w14:paraId="6E438B37" w14:textId="77777777" w:rsidR="00B23619" w:rsidRPr="00B92144" w:rsidRDefault="00B23619" w:rsidP="00B23619">
            <w:pPr>
              <w:rPr>
                <w:rFonts w:asciiTheme="majorBidi" w:hAnsiTheme="majorBidi" w:cstheme="majorBidi"/>
                <w:sz w:val="20"/>
                <w:szCs w:val="20"/>
              </w:rPr>
            </w:pPr>
            <w:r w:rsidRPr="00B92144">
              <w:rPr>
                <w:rFonts w:asciiTheme="majorBidi" w:hAnsiTheme="majorBidi" w:cstheme="majorBidi"/>
                <w:sz w:val="16"/>
                <w:szCs w:val="16"/>
              </w:rPr>
              <w:t>COUTRANSDEX</w:t>
            </w:r>
          </w:p>
        </w:tc>
        <w:tc>
          <w:tcPr>
            <w:tcW w:w="3132" w:type="dxa"/>
          </w:tcPr>
          <w:p w14:paraId="3040A6A1" w14:textId="77777777" w:rsidR="00B23619" w:rsidRPr="00B92144" w:rsidRDefault="00B23619" w:rsidP="00B236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Business extent of disclosure index</w:t>
            </w:r>
          </w:p>
        </w:tc>
        <w:tc>
          <w:tcPr>
            <w:tcW w:w="5444" w:type="dxa"/>
          </w:tcPr>
          <w:p w14:paraId="3B454CD3" w14:textId="77777777" w:rsidR="00B23619" w:rsidRPr="00B92144" w:rsidRDefault="00B23619" w:rsidP="00B236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The index ranges from 0 to 10, with higher values indicating more disclosure.</w:t>
            </w:r>
          </w:p>
        </w:tc>
        <w:tc>
          <w:tcPr>
            <w:tcW w:w="2080" w:type="dxa"/>
          </w:tcPr>
          <w:p w14:paraId="6CA1086D" w14:textId="77777777" w:rsidR="00B23619" w:rsidRPr="00B92144" w:rsidRDefault="00B23619" w:rsidP="00B236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World Bank</w:t>
            </w:r>
          </w:p>
          <w:p w14:paraId="78CD2C43" w14:textId="77777777" w:rsidR="00B23619" w:rsidRPr="00B92144" w:rsidRDefault="00B23619" w:rsidP="00B236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B23619" w:rsidRPr="00B92144" w14:paraId="02F1731B" w14:textId="77777777" w:rsidTr="00CB06D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458" w:type="dxa"/>
          </w:tcPr>
          <w:p w14:paraId="0633815D" w14:textId="77777777" w:rsidR="00B23619" w:rsidRPr="00B92144" w:rsidRDefault="00B23619" w:rsidP="00B23619">
            <w:pPr>
              <w:rPr>
                <w:rFonts w:asciiTheme="majorBidi" w:hAnsiTheme="majorBidi" w:cstheme="majorBidi"/>
                <w:sz w:val="20"/>
                <w:szCs w:val="20"/>
              </w:rPr>
            </w:pPr>
            <w:r w:rsidRPr="00B92144">
              <w:rPr>
                <w:rFonts w:asciiTheme="majorBidi" w:hAnsiTheme="majorBidi" w:cstheme="majorBidi"/>
                <w:sz w:val="20"/>
                <w:szCs w:val="20"/>
              </w:rPr>
              <w:t>GDP</w:t>
            </w:r>
          </w:p>
        </w:tc>
        <w:tc>
          <w:tcPr>
            <w:tcW w:w="3132" w:type="dxa"/>
          </w:tcPr>
          <w:p w14:paraId="00F692FF" w14:textId="47FAA819" w:rsidR="00B23619" w:rsidRPr="00B92144" w:rsidRDefault="00B23619" w:rsidP="00B236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Gross domestic products</w:t>
            </w:r>
          </w:p>
        </w:tc>
        <w:tc>
          <w:tcPr>
            <w:tcW w:w="5444" w:type="dxa"/>
          </w:tcPr>
          <w:p w14:paraId="0E71FBAF" w14:textId="77777777" w:rsidR="00B23619" w:rsidRPr="00B92144" w:rsidRDefault="00B23619" w:rsidP="00B236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2080" w:type="dxa"/>
          </w:tcPr>
          <w:p w14:paraId="45D12125" w14:textId="77777777" w:rsidR="00B23619" w:rsidRPr="00B92144" w:rsidRDefault="00B23619" w:rsidP="00B236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World Bank database</w:t>
            </w:r>
          </w:p>
        </w:tc>
      </w:tr>
      <w:tr w:rsidR="00B23619" w:rsidRPr="00B92144" w14:paraId="1AF52DB8" w14:textId="77777777" w:rsidTr="00CB06D2">
        <w:trPr>
          <w:trHeight w:val="215"/>
        </w:trPr>
        <w:tc>
          <w:tcPr>
            <w:cnfStyle w:val="001000000000" w:firstRow="0" w:lastRow="0" w:firstColumn="1" w:lastColumn="0" w:oddVBand="0" w:evenVBand="0" w:oddHBand="0" w:evenHBand="0" w:firstRowFirstColumn="0" w:firstRowLastColumn="0" w:lastRowFirstColumn="0" w:lastRowLastColumn="0"/>
            <w:tcW w:w="1458" w:type="dxa"/>
          </w:tcPr>
          <w:p w14:paraId="03D988C3" w14:textId="77777777" w:rsidR="00B23619" w:rsidRPr="00B92144" w:rsidRDefault="00B23619" w:rsidP="00B23619">
            <w:pPr>
              <w:rPr>
                <w:rFonts w:asciiTheme="majorBidi" w:hAnsiTheme="majorBidi" w:cstheme="majorBidi"/>
                <w:sz w:val="20"/>
                <w:szCs w:val="20"/>
              </w:rPr>
            </w:pPr>
            <w:r w:rsidRPr="00B92144">
              <w:rPr>
                <w:rFonts w:asciiTheme="majorBidi" w:hAnsiTheme="majorBidi" w:cstheme="majorBidi"/>
                <w:sz w:val="20"/>
                <w:szCs w:val="20"/>
              </w:rPr>
              <w:t>TIER1</w:t>
            </w:r>
          </w:p>
        </w:tc>
        <w:tc>
          <w:tcPr>
            <w:tcW w:w="3132" w:type="dxa"/>
          </w:tcPr>
          <w:p w14:paraId="4B604BED" w14:textId="6DB016B9" w:rsidR="00B23619" w:rsidRPr="00B92144" w:rsidRDefault="00B23619" w:rsidP="00B236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Tier 1 Capital</w:t>
            </w:r>
          </w:p>
        </w:tc>
        <w:tc>
          <w:tcPr>
            <w:tcW w:w="5444" w:type="dxa"/>
          </w:tcPr>
          <w:p w14:paraId="484D9E93" w14:textId="20916D11" w:rsidR="00B23619" w:rsidRPr="00B92144" w:rsidRDefault="001106AF" w:rsidP="00B236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Shareholders</w:t>
            </w:r>
            <w:r w:rsidR="00B23619" w:rsidRPr="00B92144">
              <w:rPr>
                <w:rFonts w:asciiTheme="majorBidi" w:hAnsiTheme="majorBidi" w:cstheme="majorBidi"/>
                <w:sz w:val="20"/>
                <w:szCs w:val="20"/>
              </w:rPr>
              <w:t>' equity and retained earnings.</w:t>
            </w:r>
          </w:p>
        </w:tc>
        <w:tc>
          <w:tcPr>
            <w:tcW w:w="2080" w:type="dxa"/>
          </w:tcPr>
          <w:p w14:paraId="64C95600" w14:textId="77777777" w:rsidR="00B23619" w:rsidRPr="00B92144" w:rsidRDefault="00B23619" w:rsidP="00B236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92144">
              <w:rPr>
                <w:rFonts w:asciiTheme="majorBidi" w:hAnsiTheme="majorBidi" w:cstheme="majorBidi"/>
                <w:sz w:val="20"/>
                <w:szCs w:val="20"/>
              </w:rPr>
              <w:t>Bankscoop</w:t>
            </w:r>
          </w:p>
        </w:tc>
      </w:tr>
      <w:tr w:rsidR="00B071D3" w:rsidRPr="00B92144" w14:paraId="2E01D94A" w14:textId="77777777" w:rsidTr="00CB06D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458" w:type="dxa"/>
          </w:tcPr>
          <w:p w14:paraId="37ACE985" w14:textId="409548EE" w:rsidR="00B071D3" w:rsidRPr="00B92144" w:rsidRDefault="00B071D3" w:rsidP="00EE3F9A">
            <w:pPr>
              <w:rPr>
                <w:rFonts w:asciiTheme="majorBidi" w:hAnsiTheme="majorBidi" w:cstheme="majorBidi"/>
                <w:color w:val="FF0000"/>
                <w:sz w:val="20"/>
                <w:szCs w:val="20"/>
              </w:rPr>
            </w:pPr>
          </w:p>
        </w:tc>
        <w:tc>
          <w:tcPr>
            <w:tcW w:w="3132" w:type="dxa"/>
          </w:tcPr>
          <w:p w14:paraId="7F875FD1" w14:textId="0B31064C" w:rsidR="00B071D3" w:rsidRPr="00B92144" w:rsidRDefault="00B071D3" w:rsidP="00B236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FF0000"/>
                <w:sz w:val="20"/>
                <w:szCs w:val="20"/>
              </w:rPr>
            </w:pPr>
          </w:p>
        </w:tc>
        <w:tc>
          <w:tcPr>
            <w:tcW w:w="5444" w:type="dxa"/>
          </w:tcPr>
          <w:p w14:paraId="0773C03A" w14:textId="7A50DCBC" w:rsidR="00B071D3" w:rsidRPr="00B92144" w:rsidRDefault="00B071D3" w:rsidP="00B236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FF0000"/>
                <w:sz w:val="20"/>
                <w:szCs w:val="20"/>
              </w:rPr>
            </w:pPr>
          </w:p>
        </w:tc>
        <w:tc>
          <w:tcPr>
            <w:tcW w:w="2080" w:type="dxa"/>
          </w:tcPr>
          <w:p w14:paraId="7EA228BD" w14:textId="18C93708" w:rsidR="00B071D3" w:rsidRPr="00B92144" w:rsidRDefault="00B071D3" w:rsidP="00B236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FF0000"/>
                <w:sz w:val="20"/>
                <w:szCs w:val="20"/>
              </w:rPr>
            </w:pPr>
          </w:p>
        </w:tc>
      </w:tr>
    </w:tbl>
    <w:p w14:paraId="4AE7BF04" w14:textId="77777777" w:rsidR="007C62A6" w:rsidRPr="00B92144" w:rsidRDefault="007C62A6" w:rsidP="0010067B">
      <w:pPr>
        <w:spacing w:line="360" w:lineRule="auto"/>
        <w:jc w:val="both"/>
        <w:rPr>
          <w:rFonts w:asciiTheme="majorBidi" w:hAnsiTheme="majorBidi" w:cstheme="majorBidi"/>
          <w:b/>
          <w:bCs/>
          <w:sz w:val="24"/>
          <w:szCs w:val="24"/>
        </w:rPr>
      </w:pPr>
    </w:p>
    <w:p w14:paraId="3797C7C2" w14:textId="77777777" w:rsidR="001B6D4B" w:rsidRPr="00B92144" w:rsidRDefault="001B6D4B" w:rsidP="0010067B">
      <w:pPr>
        <w:spacing w:line="360" w:lineRule="auto"/>
        <w:jc w:val="both"/>
        <w:rPr>
          <w:rFonts w:asciiTheme="majorBidi" w:hAnsiTheme="majorBidi" w:cstheme="majorBidi"/>
          <w:b/>
          <w:bCs/>
          <w:sz w:val="24"/>
          <w:szCs w:val="24"/>
        </w:rPr>
        <w:sectPr w:rsidR="001B6D4B" w:rsidRPr="00B92144" w:rsidSect="001B6D4B">
          <w:pgSz w:w="15840" w:h="12240" w:orient="landscape"/>
          <w:pgMar w:top="1440" w:right="1440" w:bottom="1440" w:left="1440" w:header="720" w:footer="720" w:gutter="0"/>
          <w:cols w:space="720"/>
          <w:docGrid w:linePitch="360"/>
        </w:sectPr>
      </w:pPr>
    </w:p>
    <w:p w14:paraId="54D72602" w14:textId="75D7CCF4" w:rsidR="00A62C09" w:rsidRPr="00B92144" w:rsidRDefault="007C62A6" w:rsidP="00A273B5">
      <w:pPr>
        <w:pStyle w:val="ListParagraph"/>
        <w:numPr>
          <w:ilvl w:val="0"/>
          <w:numId w:val="8"/>
        </w:numPr>
        <w:spacing w:line="360" w:lineRule="auto"/>
        <w:jc w:val="both"/>
        <w:rPr>
          <w:rFonts w:asciiTheme="majorBidi" w:hAnsiTheme="majorBidi" w:cstheme="majorBidi"/>
          <w:b/>
          <w:bCs/>
          <w:sz w:val="24"/>
          <w:szCs w:val="24"/>
        </w:rPr>
      </w:pPr>
      <w:r w:rsidRPr="00B92144">
        <w:rPr>
          <w:rFonts w:asciiTheme="majorBidi" w:hAnsiTheme="majorBidi" w:cstheme="majorBidi"/>
          <w:b/>
          <w:bCs/>
          <w:sz w:val="24"/>
          <w:szCs w:val="24"/>
        </w:rPr>
        <w:lastRenderedPageBreak/>
        <w:t>Research methodology</w:t>
      </w:r>
    </w:p>
    <w:p w14:paraId="5CD9EDF8" w14:textId="2F95299F" w:rsidR="005D07D4" w:rsidRPr="00B92144" w:rsidRDefault="00A62C09" w:rsidP="007366B6">
      <w:pPr>
        <w:jc w:val="both"/>
        <w:rPr>
          <w:rFonts w:asciiTheme="majorBidi" w:hAnsiTheme="majorBidi" w:cstheme="majorBidi"/>
          <w:sz w:val="24"/>
          <w:szCs w:val="24"/>
        </w:rPr>
      </w:pPr>
      <w:r w:rsidRPr="00B92144">
        <w:rPr>
          <w:rFonts w:asciiTheme="majorBidi" w:hAnsiTheme="majorBidi" w:cstheme="majorBidi"/>
          <w:sz w:val="24"/>
          <w:szCs w:val="24"/>
        </w:rPr>
        <w:t xml:space="preserve">To empirically investigate the relationship between </w:t>
      </w:r>
      <w:r w:rsidR="007366B6" w:rsidRPr="00B92144">
        <w:rPr>
          <w:rFonts w:asciiTheme="majorBidi" w:hAnsiTheme="majorBidi" w:cstheme="majorBidi"/>
          <w:sz w:val="24"/>
          <w:szCs w:val="24"/>
        </w:rPr>
        <w:t>RRD</w:t>
      </w:r>
      <w:r w:rsidR="00C0093D" w:rsidRPr="00B92144">
        <w:rPr>
          <w:rFonts w:asciiTheme="majorBidi" w:hAnsiTheme="majorBidi" w:cstheme="majorBidi"/>
          <w:sz w:val="24"/>
          <w:szCs w:val="24"/>
        </w:rPr>
        <w:t xml:space="preserve">, </w:t>
      </w:r>
      <w:r w:rsidRPr="00B92144">
        <w:rPr>
          <w:rFonts w:asciiTheme="majorBidi" w:hAnsiTheme="majorBidi" w:cstheme="majorBidi"/>
          <w:sz w:val="24"/>
          <w:szCs w:val="24"/>
        </w:rPr>
        <w:t>corporate attributes</w:t>
      </w:r>
      <w:r w:rsidR="009B1A03" w:rsidRPr="00B92144">
        <w:rPr>
          <w:rFonts w:asciiTheme="majorBidi" w:hAnsiTheme="majorBidi" w:cstheme="majorBidi"/>
          <w:sz w:val="24"/>
          <w:szCs w:val="24"/>
        </w:rPr>
        <w:t xml:space="preserve"> and governance mec</w:t>
      </w:r>
      <w:r w:rsidR="008D4C47" w:rsidRPr="00B92144">
        <w:rPr>
          <w:rFonts w:asciiTheme="majorBidi" w:hAnsiTheme="majorBidi" w:cstheme="majorBidi"/>
          <w:sz w:val="24"/>
          <w:szCs w:val="24"/>
        </w:rPr>
        <w:t>h</w:t>
      </w:r>
      <w:r w:rsidR="009B1A03" w:rsidRPr="00B92144">
        <w:rPr>
          <w:rFonts w:asciiTheme="majorBidi" w:hAnsiTheme="majorBidi" w:cstheme="majorBidi"/>
          <w:sz w:val="24"/>
          <w:szCs w:val="24"/>
        </w:rPr>
        <w:t>anisms</w:t>
      </w:r>
      <w:r w:rsidRPr="00B92144">
        <w:rPr>
          <w:rFonts w:asciiTheme="majorBidi" w:hAnsiTheme="majorBidi" w:cstheme="majorBidi"/>
          <w:sz w:val="24"/>
          <w:szCs w:val="24"/>
        </w:rPr>
        <w:t>, we use the following OLS regression:</w:t>
      </w:r>
    </w:p>
    <w:p w14:paraId="2F8B3BBB" w14:textId="17AF27F8" w:rsidR="001B6D4B" w:rsidRPr="00B92144" w:rsidRDefault="00EB3533" w:rsidP="007F5D98">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R</w:t>
      </w:r>
      <w:r w:rsidR="00523FD9" w:rsidRPr="00B92144">
        <w:rPr>
          <w:rFonts w:asciiTheme="majorBidi" w:hAnsiTheme="majorBidi" w:cstheme="majorBidi"/>
          <w:sz w:val="24"/>
          <w:szCs w:val="24"/>
        </w:rPr>
        <w:t>RDi = α</w:t>
      </w:r>
      <w:r w:rsidR="00523FD9" w:rsidRPr="00B92144">
        <w:rPr>
          <w:rFonts w:asciiTheme="majorBidi" w:hAnsiTheme="majorBidi" w:cstheme="majorBidi"/>
          <w:sz w:val="24"/>
          <w:szCs w:val="24"/>
          <w:vertAlign w:val="subscript"/>
        </w:rPr>
        <w:t>i</w:t>
      </w:r>
      <w:r w:rsidR="00523FD9" w:rsidRPr="00B92144">
        <w:rPr>
          <w:rFonts w:asciiTheme="majorBidi" w:hAnsiTheme="majorBidi" w:cstheme="majorBidi"/>
          <w:sz w:val="24"/>
          <w:szCs w:val="24"/>
        </w:rPr>
        <w:t xml:space="preserve"> + β</w:t>
      </w:r>
      <w:r w:rsidR="00523FD9" w:rsidRPr="00B92144">
        <w:rPr>
          <w:rFonts w:asciiTheme="majorBidi" w:hAnsiTheme="majorBidi" w:cstheme="majorBidi"/>
          <w:sz w:val="24"/>
          <w:szCs w:val="24"/>
          <w:vertAlign w:val="subscript"/>
        </w:rPr>
        <w:t>1</w:t>
      </w:r>
      <w:r w:rsidR="00523FD9" w:rsidRPr="00B92144">
        <w:rPr>
          <w:rFonts w:asciiTheme="majorBidi" w:hAnsiTheme="majorBidi" w:cstheme="majorBidi"/>
          <w:sz w:val="24"/>
          <w:szCs w:val="24"/>
        </w:rPr>
        <w:t xml:space="preserve"> BLOCK + β</w:t>
      </w:r>
      <w:r w:rsidR="00523FD9" w:rsidRPr="00B92144">
        <w:rPr>
          <w:rFonts w:asciiTheme="majorBidi" w:hAnsiTheme="majorBidi" w:cstheme="majorBidi"/>
          <w:sz w:val="24"/>
          <w:szCs w:val="24"/>
          <w:vertAlign w:val="subscript"/>
        </w:rPr>
        <w:t>2</w:t>
      </w:r>
      <w:r w:rsidR="00523FD9" w:rsidRPr="00B92144">
        <w:rPr>
          <w:rFonts w:asciiTheme="majorBidi" w:hAnsiTheme="majorBidi" w:cstheme="majorBidi"/>
          <w:sz w:val="24"/>
          <w:szCs w:val="24"/>
        </w:rPr>
        <w:t xml:space="preserve"> FORGN + β</w:t>
      </w:r>
      <w:r w:rsidR="00523FD9" w:rsidRPr="00B92144">
        <w:rPr>
          <w:rFonts w:asciiTheme="majorBidi" w:hAnsiTheme="majorBidi" w:cstheme="majorBidi"/>
          <w:sz w:val="24"/>
          <w:szCs w:val="24"/>
          <w:vertAlign w:val="subscript"/>
        </w:rPr>
        <w:t>3</w:t>
      </w:r>
      <w:r w:rsidR="00523FD9" w:rsidRPr="00B92144">
        <w:rPr>
          <w:rFonts w:asciiTheme="majorBidi" w:hAnsiTheme="majorBidi" w:cstheme="majorBidi"/>
          <w:sz w:val="24"/>
          <w:szCs w:val="24"/>
        </w:rPr>
        <w:t xml:space="preserve"> BDSIZE + β</w:t>
      </w:r>
      <w:r w:rsidR="00523FD9" w:rsidRPr="00B92144">
        <w:rPr>
          <w:rFonts w:asciiTheme="majorBidi" w:hAnsiTheme="majorBidi" w:cstheme="majorBidi"/>
          <w:sz w:val="24"/>
          <w:szCs w:val="24"/>
          <w:vertAlign w:val="subscript"/>
        </w:rPr>
        <w:t>4</w:t>
      </w:r>
      <w:r w:rsidR="00523FD9" w:rsidRPr="00B92144">
        <w:rPr>
          <w:rFonts w:asciiTheme="majorBidi" w:hAnsiTheme="majorBidi" w:cstheme="majorBidi"/>
          <w:sz w:val="24"/>
          <w:szCs w:val="24"/>
        </w:rPr>
        <w:t xml:space="preserve"> BDIND + β</w:t>
      </w:r>
      <w:r w:rsidR="00523FD9" w:rsidRPr="00B92144">
        <w:rPr>
          <w:rFonts w:asciiTheme="majorBidi" w:hAnsiTheme="majorBidi" w:cstheme="majorBidi"/>
          <w:sz w:val="24"/>
          <w:szCs w:val="24"/>
          <w:vertAlign w:val="subscript"/>
        </w:rPr>
        <w:t>5</w:t>
      </w:r>
      <w:r w:rsidR="00523FD9" w:rsidRPr="00B92144">
        <w:rPr>
          <w:rFonts w:asciiTheme="majorBidi" w:hAnsiTheme="majorBidi" w:cstheme="majorBidi"/>
          <w:sz w:val="24"/>
          <w:szCs w:val="24"/>
        </w:rPr>
        <w:t xml:space="preserve"> BDFOREIGN + β</w:t>
      </w:r>
      <w:r w:rsidR="00523FD9" w:rsidRPr="00B92144">
        <w:rPr>
          <w:rFonts w:asciiTheme="majorBidi" w:hAnsiTheme="majorBidi" w:cstheme="majorBidi"/>
          <w:sz w:val="24"/>
          <w:szCs w:val="24"/>
          <w:vertAlign w:val="subscript"/>
        </w:rPr>
        <w:t>6</w:t>
      </w:r>
      <w:r w:rsidR="00523FD9" w:rsidRPr="00B92144">
        <w:rPr>
          <w:rFonts w:asciiTheme="majorBidi" w:hAnsiTheme="majorBidi" w:cstheme="majorBidi"/>
          <w:sz w:val="24"/>
          <w:szCs w:val="24"/>
        </w:rPr>
        <w:t xml:space="preserve"> ROA + β</w:t>
      </w:r>
      <w:r w:rsidR="00833FE8" w:rsidRPr="00B92144">
        <w:rPr>
          <w:rFonts w:asciiTheme="majorBidi" w:hAnsiTheme="majorBidi" w:cstheme="majorBidi"/>
          <w:sz w:val="24"/>
          <w:szCs w:val="24"/>
          <w:vertAlign w:val="subscript"/>
        </w:rPr>
        <w:t>7</w:t>
      </w:r>
      <w:r w:rsidR="00523FD9" w:rsidRPr="00B92144">
        <w:rPr>
          <w:rFonts w:asciiTheme="majorBidi" w:hAnsiTheme="majorBidi" w:cstheme="majorBidi"/>
          <w:sz w:val="24"/>
          <w:szCs w:val="24"/>
        </w:rPr>
        <w:t xml:space="preserve"> LEVERAGE+ β</w:t>
      </w:r>
      <w:r w:rsidR="00833FE8" w:rsidRPr="00B92144">
        <w:rPr>
          <w:rFonts w:asciiTheme="majorBidi" w:hAnsiTheme="majorBidi" w:cstheme="majorBidi"/>
          <w:sz w:val="24"/>
          <w:szCs w:val="24"/>
          <w:vertAlign w:val="subscript"/>
        </w:rPr>
        <w:t>8</w:t>
      </w:r>
      <w:r w:rsidR="00523FD9" w:rsidRPr="00B92144">
        <w:rPr>
          <w:rFonts w:asciiTheme="majorBidi" w:hAnsiTheme="majorBidi" w:cstheme="majorBidi"/>
          <w:sz w:val="24"/>
          <w:szCs w:val="24"/>
        </w:rPr>
        <w:t xml:space="preserve"> BANKSIZE + β</w:t>
      </w:r>
      <w:r w:rsidR="00833FE8" w:rsidRPr="00B92144">
        <w:rPr>
          <w:rFonts w:asciiTheme="majorBidi" w:hAnsiTheme="majorBidi" w:cstheme="majorBidi"/>
          <w:sz w:val="24"/>
          <w:szCs w:val="24"/>
          <w:vertAlign w:val="subscript"/>
        </w:rPr>
        <w:t>9</w:t>
      </w:r>
      <w:r w:rsidR="00523FD9" w:rsidRPr="00B92144">
        <w:rPr>
          <w:rFonts w:asciiTheme="majorBidi" w:hAnsiTheme="majorBidi" w:cstheme="majorBidi"/>
          <w:sz w:val="24"/>
          <w:szCs w:val="24"/>
        </w:rPr>
        <w:t xml:space="preserve"> BKAGE + β</w:t>
      </w:r>
      <w:r w:rsidR="00833FE8" w:rsidRPr="00B92144">
        <w:rPr>
          <w:rFonts w:asciiTheme="majorBidi" w:hAnsiTheme="majorBidi" w:cstheme="majorBidi"/>
          <w:sz w:val="24"/>
          <w:szCs w:val="24"/>
          <w:vertAlign w:val="subscript"/>
        </w:rPr>
        <w:t>10</w:t>
      </w:r>
      <w:r w:rsidR="00523FD9" w:rsidRPr="00B92144">
        <w:rPr>
          <w:rFonts w:asciiTheme="majorBidi" w:hAnsiTheme="majorBidi" w:cstheme="majorBidi"/>
          <w:sz w:val="24"/>
          <w:szCs w:val="24"/>
        </w:rPr>
        <w:t xml:space="preserve"> LIST + β</w:t>
      </w:r>
      <w:r w:rsidR="00523FD9" w:rsidRPr="00B92144">
        <w:rPr>
          <w:rFonts w:asciiTheme="majorBidi" w:hAnsiTheme="majorBidi" w:cstheme="majorBidi"/>
          <w:sz w:val="24"/>
          <w:szCs w:val="24"/>
          <w:vertAlign w:val="subscript"/>
        </w:rPr>
        <w:t>1</w:t>
      </w:r>
      <w:r w:rsidR="00833FE8" w:rsidRPr="00B92144">
        <w:rPr>
          <w:rFonts w:asciiTheme="majorBidi" w:hAnsiTheme="majorBidi" w:cstheme="majorBidi"/>
          <w:sz w:val="24"/>
          <w:szCs w:val="24"/>
          <w:vertAlign w:val="subscript"/>
        </w:rPr>
        <w:t>1</w:t>
      </w:r>
      <w:r w:rsidR="00523FD9" w:rsidRPr="00B92144">
        <w:rPr>
          <w:rFonts w:asciiTheme="majorBidi" w:hAnsiTheme="majorBidi" w:cstheme="majorBidi"/>
          <w:sz w:val="24"/>
          <w:szCs w:val="24"/>
        </w:rPr>
        <w:t xml:space="preserve"> COUTRANSDEX + β</w:t>
      </w:r>
      <w:r w:rsidR="00523FD9" w:rsidRPr="00B92144">
        <w:rPr>
          <w:rFonts w:asciiTheme="majorBidi" w:hAnsiTheme="majorBidi" w:cstheme="majorBidi"/>
          <w:sz w:val="24"/>
          <w:szCs w:val="24"/>
          <w:vertAlign w:val="subscript"/>
        </w:rPr>
        <w:t>1</w:t>
      </w:r>
      <w:r w:rsidR="00833FE8" w:rsidRPr="00B92144">
        <w:rPr>
          <w:rFonts w:asciiTheme="majorBidi" w:hAnsiTheme="majorBidi" w:cstheme="majorBidi"/>
          <w:sz w:val="24"/>
          <w:szCs w:val="24"/>
          <w:vertAlign w:val="subscript"/>
        </w:rPr>
        <w:t>2</w:t>
      </w:r>
      <w:r w:rsidR="00523FD9" w:rsidRPr="00B92144">
        <w:rPr>
          <w:rFonts w:asciiTheme="majorBidi" w:hAnsiTheme="majorBidi" w:cstheme="majorBidi"/>
          <w:sz w:val="24"/>
          <w:szCs w:val="24"/>
        </w:rPr>
        <w:t xml:space="preserve"> GDP + β</w:t>
      </w:r>
      <w:r w:rsidR="00523FD9" w:rsidRPr="00B92144">
        <w:rPr>
          <w:rFonts w:asciiTheme="majorBidi" w:hAnsiTheme="majorBidi" w:cstheme="majorBidi"/>
          <w:sz w:val="24"/>
          <w:szCs w:val="24"/>
          <w:vertAlign w:val="subscript"/>
        </w:rPr>
        <w:t>1</w:t>
      </w:r>
      <w:r w:rsidR="00833FE8" w:rsidRPr="00B92144">
        <w:rPr>
          <w:rFonts w:asciiTheme="majorBidi" w:hAnsiTheme="majorBidi" w:cstheme="majorBidi"/>
          <w:sz w:val="24"/>
          <w:szCs w:val="24"/>
          <w:vertAlign w:val="subscript"/>
        </w:rPr>
        <w:t>3</w:t>
      </w:r>
      <w:r w:rsidR="00523FD9" w:rsidRPr="00B92144">
        <w:rPr>
          <w:rFonts w:asciiTheme="majorBidi" w:hAnsiTheme="majorBidi" w:cstheme="majorBidi"/>
          <w:sz w:val="24"/>
          <w:szCs w:val="24"/>
        </w:rPr>
        <w:t xml:space="preserve"> TIER1 +  εi </w:t>
      </w:r>
      <w:r w:rsidR="00A169B0" w:rsidRPr="00B92144">
        <w:rPr>
          <w:rFonts w:asciiTheme="majorBidi" w:eastAsiaTheme="minorEastAsia" w:hAnsiTheme="majorBidi" w:cstheme="majorBidi"/>
          <w:sz w:val="24"/>
          <w:szCs w:val="24"/>
        </w:rPr>
        <w:t>(1)</w:t>
      </w:r>
    </w:p>
    <w:p w14:paraId="0B7F3959" w14:textId="186A7651" w:rsidR="000F3B1D" w:rsidRPr="00B92144" w:rsidRDefault="000F3B1D" w:rsidP="007F5D98">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where </w:t>
      </w:r>
      <w:r w:rsidR="00EB3533" w:rsidRPr="00B92144">
        <w:rPr>
          <w:rFonts w:asciiTheme="majorBidi" w:hAnsiTheme="majorBidi" w:cstheme="majorBidi"/>
          <w:sz w:val="24"/>
          <w:szCs w:val="24"/>
        </w:rPr>
        <w:t>R</w:t>
      </w:r>
      <w:r w:rsidR="00A512F3" w:rsidRPr="00B92144">
        <w:rPr>
          <w:rFonts w:asciiTheme="majorBidi" w:hAnsiTheme="majorBidi" w:cstheme="majorBidi"/>
          <w:sz w:val="24"/>
          <w:szCs w:val="24"/>
        </w:rPr>
        <w:t>RD</w:t>
      </w:r>
      <w:r w:rsidRPr="00B92144">
        <w:rPr>
          <w:rFonts w:asciiTheme="majorBidi" w:hAnsiTheme="majorBidi" w:cstheme="majorBidi"/>
          <w:sz w:val="24"/>
          <w:szCs w:val="24"/>
          <w:vertAlign w:val="subscript"/>
        </w:rPr>
        <w:t>i</w:t>
      </w:r>
      <w:r w:rsidRPr="00B92144">
        <w:rPr>
          <w:rFonts w:asciiTheme="majorBidi" w:hAnsiTheme="majorBidi" w:cstheme="majorBidi"/>
          <w:sz w:val="24"/>
          <w:szCs w:val="24"/>
        </w:rPr>
        <w:t xml:space="preserve">: is </w:t>
      </w:r>
      <w:r w:rsidR="00A52F45" w:rsidRPr="00B92144">
        <w:rPr>
          <w:rFonts w:asciiTheme="majorBidi" w:hAnsiTheme="majorBidi" w:cstheme="majorBidi"/>
          <w:sz w:val="24"/>
          <w:szCs w:val="24"/>
        </w:rPr>
        <w:t>RRD</w:t>
      </w:r>
      <w:r w:rsidRPr="00B92144">
        <w:rPr>
          <w:rFonts w:asciiTheme="majorBidi" w:hAnsiTheme="majorBidi" w:cstheme="majorBidi"/>
          <w:sz w:val="24"/>
          <w:szCs w:val="24"/>
        </w:rPr>
        <w:t xml:space="preserve"> index for bank i, Block: is the number of B</w:t>
      </w:r>
      <w:r w:rsidR="00A52F45" w:rsidRPr="00B92144">
        <w:rPr>
          <w:rFonts w:asciiTheme="majorBidi" w:hAnsiTheme="majorBidi" w:cstheme="majorBidi"/>
          <w:sz w:val="24"/>
          <w:szCs w:val="24"/>
        </w:rPr>
        <w:t>lockholders for bank i; FORGN: p</w:t>
      </w:r>
      <w:r w:rsidRPr="00B92144">
        <w:rPr>
          <w:rFonts w:asciiTheme="majorBidi" w:hAnsiTheme="majorBidi" w:cstheme="majorBidi"/>
          <w:sz w:val="24"/>
          <w:szCs w:val="24"/>
        </w:rPr>
        <w:t xml:space="preserve">ercent of shares owned by </w:t>
      </w:r>
      <w:r w:rsidR="00A52F45" w:rsidRPr="00B92144">
        <w:rPr>
          <w:rFonts w:asciiTheme="majorBidi" w:hAnsiTheme="majorBidi" w:cstheme="majorBidi"/>
          <w:sz w:val="24"/>
          <w:szCs w:val="24"/>
        </w:rPr>
        <w:t>foreign shareholders for bank i;</w:t>
      </w:r>
      <w:r w:rsidRPr="00B92144">
        <w:rPr>
          <w:rFonts w:asciiTheme="majorBidi" w:hAnsiTheme="majorBidi" w:cstheme="majorBidi"/>
          <w:sz w:val="24"/>
          <w:szCs w:val="24"/>
        </w:rPr>
        <w:t xml:space="preserve">  BDSIZE: </w:t>
      </w:r>
      <w:r w:rsidR="00A52F45" w:rsidRPr="00B92144">
        <w:rPr>
          <w:rFonts w:asciiTheme="majorBidi" w:hAnsiTheme="majorBidi" w:cstheme="majorBidi"/>
          <w:sz w:val="24"/>
          <w:szCs w:val="24"/>
        </w:rPr>
        <w:t>t</w:t>
      </w:r>
      <w:r w:rsidRPr="00B92144">
        <w:rPr>
          <w:rFonts w:asciiTheme="majorBidi" w:hAnsiTheme="majorBidi" w:cstheme="majorBidi"/>
          <w:sz w:val="24"/>
          <w:szCs w:val="24"/>
        </w:rPr>
        <w:t xml:space="preserve">he number of board members for bank </w:t>
      </w:r>
      <w:r w:rsidR="00A52F45" w:rsidRPr="00B92144">
        <w:rPr>
          <w:rFonts w:asciiTheme="majorBidi" w:hAnsiTheme="majorBidi" w:cstheme="majorBidi"/>
          <w:sz w:val="24"/>
          <w:szCs w:val="24"/>
        </w:rPr>
        <w:t>i;</w:t>
      </w:r>
      <w:r w:rsidRPr="00B92144">
        <w:rPr>
          <w:rFonts w:asciiTheme="majorBidi" w:hAnsiTheme="majorBidi" w:cstheme="majorBidi"/>
          <w:sz w:val="24"/>
          <w:szCs w:val="24"/>
        </w:rPr>
        <w:t xml:space="preserve"> BDIND: ratio of the number of non-executive directors to the total number of the directors for bank </w:t>
      </w:r>
      <w:r w:rsidR="00A52F45" w:rsidRPr="00B92144">
        <w:rPr>
          <w:rFonts w:asciiTheme="majorBidi" w:hAnsiTheme="majorBidi" w:cstheme="majorBidi"/>
          <w:sz w:val="24"/>
          <w:szCs w:val="24"/>
        </w:rPr>
        <w:t>i;</w:t>
      </w:r>
      <w:r w:rsidRPr="00B92144">
        <w:rPr>
          <w:rFonts w:asciiTheme="majorBidi" w:hAnsiTheme="majorBidi" w:cstheme="majorBidi"/>
          <w:sz w:val="24"/>
          <w:szCs w:val="24"/>
        </w:rPr>
        <w:t xml:space="preserve"> EVERAGE: ratio of long-ter</w:t>
      </w:r>
      <w:r w:rsidR="00A52F45" w:rsidRPr="00B92144">
        <w:rPr>
          <w:rFonts w:asciiTheme="majorBidi" w:hAnsiTheme="majorBidi" w:cstheme="majorBidi"/>
          <w:sz w:val="24"/>
          <w:szCs w:val="24"/>
        </w:rPr>
        <w:t>m debt/ total assets for bank i;</w:t>
      </w:r>
      <w:r w:rsidRPr="00B92144">
        <w:rPr>
          <w:rFonts w:asciiTheme="majorBidi" w:hAnsiTheme="majorBidi" w:cstheme="majorBidi"/>
          <w:sz w:val="24"/>
          <w:szCs w:val="24"/>
        </w:rPr>
        <w:t xml:space="preserve"> BANKSIZE: </w:t>
      </w:r>
      <w:r w:rsidR="00A52F45" w:rsidRPr="00B92144">
        <w:rPr>
          <w:rFonts w:asciiTheme="majorBidi" w:hAnsiTheme="majorBidi" w:cstheme="majorBidi"/>
          <w:sz w:val="24"/>
          <w:szCs w:val="24"/>
        </w:rPr>
        <w:t>n</w:t>
      </w:r>
      <w:r w:rsidRPr="00B92144">
        <w:rPr>
          <w:rFonts w:asciiTheme="majorBidi" w:hAnsiTheme="majorBidi" w:cstheme="majorBidi"/>
          <w:sz w:val="24"/>
          <w:szCs w:val="24"/>
        </w:rPr>
        <w:t xml:space="preserve">atural logarithm of total assets for bank </w:t>
      </w:r>
      <w:r w:rsidR="00A52F45" w:rsidRPr="00B92144">
        <w:rPr>
          <w:rFonts w:asciiTheme="majorBidi" w:hAnsiTheme="majorBidi" w:cstheme="majorBidi"/>
          <w:sz w:val="24"/>
          <w:szCs w:val="24"/>
        </w:rPr>
        <w:t>i;</w:t>
      </w:r>
      <w:r w:rsidRPr="00B92144">
        <w:rPr>
          <w:rFonts w:asciiTheme="majorBidi" w:hAnsiTheme="majorBidi" w:cstheme="majorBidi"/>
          <w:sz w:val="24"/>
          <w:szCs w:val="24"/>
        </w:rPr>
        <w:t xml:space="preserve"> BANKAGE: is the age of bank i,</w:t>
      </w:r>
      <w:r w:rsidR="00A52F45" w:rsidRPr="00B92144">
        <w:rPr>
          <w:rFonts w:asciiTheme="majorBidi" w:hAnsiTheme="majorBidi" w:cstheme="majorBidi"/>
          <w:sz w:val="24"/>
          <w:szCs w:val="24"/>
        </w:rPr>
        <w:t xml:space="preserve"> ROA: return on assets for bank i; LIST: is 1 if the bank is listed in the domestic stock exchange and 0 otherwise; </w:t>
      </w:r>
      <w:r w:rsidRPr="00B92144">
        <w:rPr>
          <w:rFonts w:asciiTheme="majorBidi" w:hAnsiTheme="majorBidi" w:cstheme="majorBidi"/>
          <w:sz w:val="24"/>
          <w:szCs w:val="24"/>
        </w:rPr>
        <w:t xml:space="preserve"> </w:t>
      </w:r>
      <w:r w:rsidR="0074199C" w:rsidRPr="00B92144">
        <w:rPr>
          <w:rFonts w:asciiTheme="majorBidi" w:hAnsiTheme="majorBidi" w:cstheme="majorBidi"/>
          <w:sz w:val="24"/>
          <w:szCs w:val="24"/>
        </w:rPr>
        <w:t>COUTRANSDEX: Business extent of disclosure index for the concerned country; GDP: is the gross domestic products for the concerned country; TIER1: is Tier 1 capital</w:t>
      </w:r>
      <w:r w:rsidR="007F5D98" w:rsidRPr="00B92144">
        <w:rPr>
          <w:rFonts w:asciiTheme="majorBidi" w:hAnsiTheme="majorBidi" w:cstheme="majorBidi"/>
          <w:sz w:val="24"/>
          <w:szCs w:val="24"/>
        </w:rPr>
        <w:t xml:space="preserve"> for bank i.</w:t>
      </w:r>
    </w:p>
    <w:p w14:paraId="2AC7B897" w14:textId="40D5395D" w:rsidR="00D753EB" w:rsidRPr="00B92144" w:rsidRDefault="00D753EB" w:rsidP="00D753EB">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We use the first-order Taylor-series linearisation method to control for heterosedasticity and to produce robust standard errors. In </w:t>
      </w:r>
      <w:r w:rsidR="00A273B5" w:rsidRPr="00B92144">
        <w:rPr>
          <w:rFonts w:asciiTheme="majorBidi" w:hAnsiTheme="majorBidi" w:cstheme="majorBidi"/>
          <w:sz w:val="24"/>
          <w:szCs w:val="24"/>
        </w:rPr>
        <w:t>addition,</w:t>
      </w:r>
      <w:r w:rsidRPr="00B92144">
        <w:rPr>
          <w:rFonts w:asciiTheme="majorBidi" w:hAnsiTheme="majorBidi" w:cstheme="majorBidi"/>
          <w:sz w:val="24"/>
          <w:szCs w:val="24"/>
        </w:rPr>
        <w:t xml:space="preserve"> we use both lagged and contemporaneous independent variables in Eq. (2). Finally</w:t>
      </w:r>
      <w:r w:rsidR="0096573E" w:rsidRPr="00B92144">
        <w:rPr>
          <w:rFonts w:asciiTheme="majorBidi" w:hAnsiTheme="majorBidi" w:cstheme="majorBidi"/>
          <w:sz w:val="24"/>
          <w:szCs w:val="24"/>
        </w:rPr>
        <w:t>,</w:t>
      </w:r>
      <w:r w:rsidRPr="00B92144">
        <w:rPr>
          <w:rFonts w:asciiTheme="majorBidi" w:hAnsiTheme="majorBidi" w:cstheme="majorBidi"/>
          <w:sz w:val="24"/>
          <w:szCs w:val="24"/>
        </w:rPr>
        <w:t xml:space="preserve"> we use the Ramsey RESET test for omitted variables and model mis-specification, we also use the variance inflation factors (VIF) to examine whether the independent variables are perfectly collinear.</w:t>
      </w:r>
    </w:p>
    <w:p w14:paraId="4B01479B" w14:textId="030D1950" w:rsidR="00D753EB" w:rsidRPr="00B92144" w:rsidRDefault="00D753EB" w:rsidP="007366B6">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To explore the interrelationship between </w:t>
      </w:r>
      <w:r w:rsidR="007366B6" w:rsidRPr="00B92144">
        <w:rPr>
          <w:rFonts w:asciiTheme="majorBidi" w:hAnsiTheme="majorBidi" w:cstheme="majorBidi"/>
          <w:sz w:val="24"/>
          <w:szCs w:val="24"/>
        </w:rPr>
        <w:t>RRD</w:t>
      </w:r>
      <w:r w:rsidRPr="00B92144">
        <w:rPr>
          <w:rFonts w:asciiTheme="majorBidi" w:hAnsiTheme="majorBidi" w:cstheme="majorBidi"/>
          <w:sz w:val="24"/>
          <w:szCs w:val="24"/>
        </w:rPr>
        <w:t xml:space="preserve"> and FP, we formulate the following system of simultaneous equations that address the potential endogeneity issues in the estimation.</w:t>
      </w:r>
    </w:p>
    <w:p w14:paraId="0B24DB7B" w14:textId="36A51130" w:rsidR="00D753EB" w:rsidRPr="00B92144" w:rsidRDefault="00EB3533" w:rsidP="00D753EB">
      <w:pPr>
        <w:spacing w:line="360" w:lineRule="auto"/>
        <w:jc w:val="center"/>
        <w:rPr>
          <w:rFonts w:asciiTheme="majorBidi" w:hAnsiTheme="majorBidi" w:cstheme="majorBidi"/>
          <w:sz w:val="24"/>
          <w:szCs w:val="24"/>
        </w:rPr>
      </w:pPr>
      <w:r w:rsidRPr="00B92144">
        <w:rPr>
          <w:rFonts w:asciiTheme="majorBidi" w:hAnsiTheme="majorBidi" w:cstheme="majorBidi"/>
          <w:sz w:val="24"/>
          <w:szCs w:val="24"/>
        </w:rPr>
        <w:t>R</w:t>
      </w:r>
      <w:r w:rsidR="00A512F3" w:rsidRPr="00B92144">
        <w:rPr>
          <w:rFonts w:asciiTheme="majorBidi" w:hAnsiTheme="majorBidi" w:cstheme="majorBidi"/>
          <w:sz w:val="24"/>
          <w:szCs w:val="24"/>
        </w:rPr>
        <w:t>RD</w:t>
      </w:r>
      <w:r w:rsidR="00D753EB" w:rsidRPr="00B92144">
        <w:rPr>
          <w:rFonts w:asciiTheme="majorBidi" w:hAnsiTheme="majorBidi" w:cstheme="majorBidi"/>
          <w:sz w:val="24"/>
          <w:szCs w:val="24"/>
        </w:rPr>
        <w:t xml:space="preserve"> = </w:t>
      </w:r>
      <w:r w:rsidR="00D753EB" w:rsidRPr="00B92144">
        <w:rPr>
          <w:rFonts w:asciiTheme="majorBidi" w:hAnsiTheme="majorBidi" w:cstheme="majorBidi"/>
          <w:i/>
          <w:sz w:val="24"/>
          <w:szCs w:val="24"/>
        </w:rPr>
        <w:t>f</w:t>
      </w:r>
      <w:r w:rsidR="00D753EB" w:rsidRPr="00B92144">
        <w:rPr>
          <w:rFonts w:asciiTheme="majorBidi" w:hAnsiTheme="majorBidi" w:cstheme="majorBidi"/>
          <w:sz w:val="24"/>
          <w:szCs w:val="24"/>
          <w:vertAlign w:val="subscript"/>
        </w:rPr>
        <w:t>1</w:t>
      </w:r>
      <w:r w:rsidR="00D753EB" w:rsidRPr="00B92144">
        <w:rPr>
          <w:rFonts w:asciiTheme="majorBidi" w:hAnsiTheme="majorBidi" w:cstheme="majorBidi"/>
          <w:sz w:val="24"/>
          <w:szCs w:val="24"/>
        </w:rPr>
        <w:t xml:space="preserve"> (FP, Z</w:t>
      </w:r>
      <w:r w:rsidR="00D753EB" w:rsidRPr="00B92144">
        <w:rPr>
          <w:rFonts w:asciiTheme="majorBidi" w:hAnsiTheme="majorBidi" w:cstheme="majorBidi"/>
          <w:sz w:val="24"/>
          <w:szCs w:val="24"/>
          <w:vertAlign w:val="subscript"/>
        </w:rPr>
        <w:t>1</w:t>
      </w:r>
      <w:r w:rsidR="00D753EB" w:rsidRPr="00B92144">
        <w:rPr>
          <w:rFonts w:asciiTheme="majorBidi" w:hAnsiTheme="majorBidi" w:cstheme="majorBidi"/>
          <w:sz w:val="24"/>
          <w:szCs w:val="24"/>
        </w:rPr>
        <w:t>, ε</w:t>
      </w:r>
      <w:r w:rsidR="00D753EB" w:rsidRPr="00B92144">
        <w:rPr>
          <w:rFonts w:asciiTheme="majorBidi" w:hAnsiTheme="majorBidi" w:cstheme="majorBidi"/>
          <w:sz w:val="24"/>
          <w:szCs w:val="24"/>
          <w:vertAlign w:val="subscript"/>
        </w:rPr>
        <w:t>1</w:t>
      </w:r>
      <w:r w:rsidR="00D753EB" w:rsidRPr="00B92144">
        <w:rPr>
          <w:rFonts w:asciiTheme="majorBidi" w:hAnsiTheme="majorBidi" w:cstheme="majorBidi"/>
          <w:sz w:val="24"/>
          <w:szCs w:val="24"/>
        </w:rPr>
        <w:t>)                              (</w:t>
      </w:r>
      <w:r w:rsidR="00415FDD" w:rsidRPr="00B92144">
        <w:rPr>
          <w:rFonts w:asciiTheme="majorBidi" w:hAnsiTheme="majorBidi" w:cstheme="majorBidi"/>
          <w:sz w:val="24"/>
          <w:szCs w:val="24"/>
        </w:rPr>
        <w:t>2</w:t>
      </w:r>
      <w:r w:rsidR="00D753EB" w:rsidRPr="00B92144">
        <w:rPr>
          <w:rFonts w:asciiTheme="majorBidi" w:hAnsiTheme="majorBidi" w:cstheme="majorBidi"/>
          <w:sz w:val="24"/>
          <w:szCs w:val="24"/>
        </w:rPr>
        <w:t>a)</w:t>
      </w:r>
    </w:p>
    <w:p w14:paraId="2004ACD1" w14:textId="5B7EDA37" w:rsidR="00D753EB" w:rsidRPr="00B92144" w:rsidRDefault="00D753EB" w:rsidP="00D753EB">
      <w:pPr>
        <w:spacing w:line="360" w:lineRule="auto"/>
        <w:jc w:val="center"/>
        <w:rPr>
          <w:rFonts w:asciiTheme="majorBidi" w:hAnsiTheme="majorBidi" w:cstheme="majorBidi"/>
          <w:sz w:val="24"/>
          <w:szCs w:val="24"/>
        </w:rPr>
      </w:pPr>
      <w:r w:rsidRPr="00B92144">
        <w:rPr>
          <w:rFonts w:asciiTheme="majorBidi" w:hAnsiTheme="majorBidi" w:cstheme="majorBidi"/>
          <w:sz w:val="24"/>
          <w:szCs w:val="24"/>
        </w:rPr>
        <w:t xml:space="preserve">FP = </w:t>
      </w:r>
      <w:r w:rsidRPr="00B92144">
        <w:rPr>
          <w:rFonts w:asciiTheme="majorBidi" w:hAnsiTheme="majorBidi" w:cstheme="majorBidi"/>
          <w:i/>
          <w:sz w:val="24"/>
          <w:szCs w:val="24"/>
        </w:rPr>
        <w:t>f</w:t>
      </w:r>
      <w:r w:rsidRPr="00B92144">
        <w:rPr>
          <w:rFonts w:asciiTheme="majorBidi" w:hAnsiTheme="majorBidi" w:cstheme="majorBidi"/>
          <w:sz w:val="24"/>
          <w:szCs w:val="24"/>
          <w:vertAlign w:val="subscript"/>
        </w:rPr>
        <w:t>1</w:t>
      </w:r>
      <w:r w:rsidRPr="00B92144">
        <w:rPr>
          <w:rFonts w:asciiTheme="majorBidi" w:hAnsiTheme="majorBidi" w:cstheme="majorBidi"/>
          <w:sz w:val="24"/>
          <w:szCs w:val="24"/>
        </w:rPr>
        <w:t xml:space="preserve"> (EF, Z</w:t>
      </w:r>
      <w:r w:rsidRPr="00B92144">
        <w:rPr>
          <w:rFonts w:asciiTheme="majorBidi" w:hAnsiTheme="majorBidi" w:cstheme="majorBidi"/>
          <w:sz w:val="24"/>
          <w:szCs w:val="24"/>
          <w:vertAlign w:val="subscript"/>
        </w:rPr>
        <w:t>2</w:t>
      </w:r>
      <w:r w:rsidRPr="00B92144">
        <w:rPr>
          <w:rFonts w:asciiTheme="majorBidi" w:hAnsiTheme="majorBidi" w:cstheme="majorBidi"/>
          <w:sz w:val="24"/>
          <w:szCs w:val="24"/>
        </w:rPr>
        <w:t>, ε</w:t>
      </w:r>
      <w:r w:rsidRPr="00B92144">
        <w:rPr>
          <w:rFonts w:asciiTheme="majorBidi" w:hAnsiTheme="majorBidi" w:cstheme="majorBidi"/>
          <w:sz w:val="24"/>
          <w:szCs w:val="24"/>
          <w:vertAlign w:val="subscript"/>
        </w:rPr>
        <w:t>2</w:t>
      </w:r>
      <w:r w:rsidRPr="00B92144">
        <w:rPr>
          <w:rFonts w:asciiTheme="majorBidi" w:hAnsiTheme="majorBidi" w:cstheme="majorBidi"/>
          <w:sz w:val="24"/>
          <w:szCs w:val="24"/>
        </w:rPr>
        <w:t>)                              (</w:t>
      </w:r>
      <w:r w:rsidR="00415FDD" w:rsidRPr="00B92144">
        <w:rPr>
          <w:rFonts w:asciiTheme="majorBidi" w:hAnsiTheme="majorBidi" w:cstheme="majorBidi"/>
          <w:sz w:val="24"/>
          <w:szCs w:val="24"/>
        </w:rPr>
        <w:t>2</w:t>
      </w:r>
      <w:r w:rsidRPr="00B92144">
        <w:rPr>
          <w:rFonts w:asciiTheme="majorBidi" w:hAnsiTheme="majorBidi" w:cstheme="majorBidi"/>
          <w:sz w:val="24"/>
          <w:szCs w:val="24"/>
        </w:rPr>
        <w:t>b)</w:t>
      </w:r>
    </w:p>
    <w:p w14:paraId="30A7D9CC" w14:textId="77777777" w:rsidR="00F725B0" w:rsidRPr="00B92144" w:rsidRDefault="00F725B0" w:rsidP="00EC5A12">
      <w:pPr>
        <w:spacing w:line="360" w:lineRule="auto"/>
        <w:jc w:val="both"/>
        <w:rPr>
          <w:rFonts w:asciiTheme="majorBidi" w:hAnsiTheme="majorBidi" w:cstheme="majorBidi"/>
          <w:sz w:val="24"/>
          <w:szCs w:val="24"/>
        </w:rPr>
      </w:pPr>
    </w:p>
    <w:p w14:paraId="1672A858" w14:textId="6BE17AF8" w:rsidR="00092F95" w:rsidRPr="00B92144" w:rsidRDefault="00D753EB" w:rsidP="007366B6">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where </w:t>
      </w:r>
      <w:r w:rsidRPr="00B92144">
        <w:rPr>
          <w:rFonts w:asciiTheme="majorBidi" w:hAnsiTheme="majorBidi" w:cstheme="majorBidi"/>
          <w:i/>
          <w:sz w:val="24"/>
          <w:szCs w:val="24"/>
        </w:rPr>
        <w:t>Z</w:t>
      </w:r>
      <w:r w:rsidRPr="00B92144">
        <w:rPr>
          <w:rFonts w:asciiTheme="majorBidi" w:hAnsiTheme="majorBidi" w:cstheme="majorBidi"/>
          <w:i/>
          <w:sz w:val="24"/>
          <w:szCs w:val="24"/>
          <w:vertAlign w:val="subscript"/>
        </w:rPr>
        <w:t>i</w:t>
      </w:r>
      <w:r w:rsidRPr="00B92144">
        <w:rPr>
          <w:rFonts w:asciiTheme="majorBidi" w:hAnsiTheme="majorBidi" w:cstheme="majorBidi"/>
          <w:i/>
          <w:sz w:val="24"/>
          <w:szCs w:val="24"/>
        </w:rPr>
        <w:t xml:space="preserve"> </w:t>
      </w:r>
      <w:r w:rsidRPr="00B92144">
        <w:rPr>
          <w:rFonts w:asciiTheme="majorBidi" w:hAnsiTheme="majorBidi" w:cstheme="majorBidi"/>
          <w:sz w:val="24"/>
          <w:szCs w:val="24"/>
        </w:rPr>
        <w:t>are the vector of control variables and instruments influencing the dependent variables; and ε</w:t>
      </w:r>
      <w:r w:rsidRPr="00B92144">
        <w:rPr>
          <w:rFonts w:asciiTheme="majorBidi" w:hAnsiTheme="majorBidi" w:cstheme="majorBidi"/>
          <w:sz w:val="24"/>
          <w:szCs w:val="24"/>
          <w:vertAlign w:val="subscript"/>
        </w:rPr>
        <w:t>i</w:t>
      </w:r>
      <w:r w:rsidRPr="00B92144">
        <w:rPr>
          <w:rFonts w:asciiTheme="majorBidi" w:hAnsiTheme="majorBidi" w:cstheme="majorBidi"/>
          <w:sz w:val="24"/>
          <w:szCs w:val="24"/>
        </w:rPr>
        <w:t xml:space="preserve"> are the white noise error terms associated with the unobservable effects resulting from firm </w:t>
      </w:r>
      <w:r w:rsidRPr="00B92144">
        <w:rPr>
          <w:rFonts w:asciiTheme="majorBidi" w:hAnsiTheme="majorBidi" w:cstheme="majorBidi"/>
          <w:sz w:val="24"/>
          <w:szCs w:val="24"/>
        </w:rPr>
        <w:lastRenderedPageBreak/>
        <w:t xml:space="preserve">heterogeneity i.e. unobservable features of managerial behavior that explain heterogeneity in </w:t>
      </w:r>
      <w:r w:rsidR="007366B6" w:rsidRPr="00B92144">
        <w:rPr>
          <w:rFonts w:asciiTheme="majorBidi" w:hAnsiTheme="majorBidi" w:cstheme="majorBidi"/>
          <w:sz w:val="24"/>
          <w:szCs w:val="24"/>
        </w:rPr>
        <w:t>RRD</w:t>
      </w:r>
      <w:r w:rsidRPr="00B92144">
        <w:rPr>
          <w:rFonts w:asciiTheme="majorBidi" w:hAnsiTheme="majorBidi" w:cstheme="majorBidi"/>
          <w:sz w:val="24"/>
          <w:szCs w:val="24"/>
        </w:rPr>
        <w:t xml:space="preserve"> and FP.</w:t>
      </w:r>
    </w:p>
    <w:p w14:paraId="6EF1ED67" w14:textId="3AF99B99" w:rsidR="00D753EB" w:rsidRPr="00B92144" w:rsidRDefault="00D753EB" w:rsidP="007366B6">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Two concerns may arise regarding endogeneity when studying the relationship between </w:t>
      </w:r>
      <w:r w:rsidR="007366B6" w:rsidRPr="00B92144">
        <w:rPr>
          <w:rFonts w:asciiTheme="majorBidi" w:hAnsiTheme="majorBidi" w:cstheme="majorBidi"/>
          <w:sz w:val="24"/>
          <w:szCs w:val="24"/>
        </w:rPr>
        <w:t>RRD</w:t>
      </w:r>
      <w:r w:rsidRPr="00B92144">
        <w:rPr>
          <w:rFonts w:asciiTheme="majorBidi" w:hAnsiTheme="majorBidi" w:cstheme="majorBidi"/>
          <w:sz w:val="24"/>
          <w:szCs w:val="24"/>
        </w:rPr>
        <w:t xml:space="preserve"> and its determinants. First, our results may simply reflect some fundamental omitted variable that influences endogenous variable (</w:t>
      </w:r>
      <w:r w:rsidRPr="00B92144">
        <w:rPr>
          <w:rFonts w:asciiTheme="majorBidi" w:hAnsiTheme="majorBidi" w:cstheme="majorBidi"/>
          <w:color w:val="365F91" w:themeColor="accent1" w:themeShade="BF"/>
          <w:sz w:val="24"/>
          <w:szCs w:val="24"/>
        </w:rPr>
        <w:t xml:space="preserve">Nikolaev </w:t>
      </w:r>
      <w:r w:rsidR="00E05652" w:rsidRPr="00B92144">
        <w:rPr>
          <w:rFonts w:asciiTheme="majorBidi" w:hAnsiTheme="majorBidi" w:cstheme="majorBidi"/>
          <w:color w:val="365F91" w:themeColor="accent1" w:themeShade="BF"/>
          <w:sz w:val="24"/>
          <w:szCs w:val="24"/>
        </w:rPr>
        <w:t>&amp;</w:t>
      </w:r>
      <w:r w:rsidRPr="00B92144">
        <w:rPr>
          <w:rFonts w:asciiTheme="majorBidi" w:hAnsiTheme="majorBidi" w:cstheme="majorBidi"/>
          <w:color w:val="365F91" w:themeColor="accent1" w:themeShade="BF"/>
          <w:sz w:val="24"/>
          <w:szCs w:val="24"/>
        </w:rPr>
        <w:t xml:space="preserve"> Van Lent, 2005</w:t>
      </w:r>
      <w:r w:rsidRPr="00B92144">
        <w:rPr>
          <w:rFonts w:asciiTheme="majorBidi" w:hAnsiTheme="majorBidi" w:cstheme="majorBidi"/>
          <w:sz w:val="24"/>
          <w:szCs w:val="24"/>
        </w:rPr>
        <w:t xml:space="preserve">). The second concern is the potential reverse causality between the </w:t>
      </w:r>
      <w:r w:rsidR="007366B6" w:rsidRPr="00B92144">
        <w:rPr>
          <w:rFonts w:asciiTheme="majorBidi" w:hAnsiTheme="majorBidi" w:cstheme="majorBidi"/>
          <w:sz w:val="24"/>
          <w:szCs w:val="24"/>
        </w:rPr>
        <w:t>RRD</w:t>
      </w:r>
      <w:r w:rsidRPr="00B92144">
        <w:rPr>
          <w:rFonts w:asciiTheme="majorBidi" w:hAnsiTheme="majorBidi" w:cstheme="majorBidi"/>
          <w:sz w:val="24"/>
          <w:szCs w:val="24"/>
        </w:rPr>
        <w:t xml:space="preserve"> and some endogenous variables like financial performance FP. To resolve this issue, we estimate the instrumental variable two-stage least squares (2SLS) and the three-stage least squares (3SLS)</w:t>
      </w:r>
      <w:r w:rsidRPr="00B92144">
        <w:rPr>
          <w:rStyle w:val="FootnoteReference"/>
          <w:rFonts w:asciiTheme="majorBidi" w:hAnsiTheme="majorBidi" w:cstheme="majorBidi"/>
          <w:sz w:val="24"/>
          <w:szCs w:val="24"/>
        </w:rPr>
        <w:footnoteReference w:id="1"/>
      </w:r>
      <w:r w:rsidRPr="00B92144">
        <w:rPr>
          <w:rFonts w:asciiTheme="majorBidi" w:hAnsiTheme="majorBidi" w:cstheme="majorBidi"/>
          <w:sz w:val="24"/>
          <w:szCs w:val="24"/>
        </w:rPr>
        <w:t xml:space="preserve"> using a system of two simultaneous equations to study this bi-directional connection using the pooled sample over 200</w:t>
      </w:r>
      <w:r w:rsidR="00EC5A12" w:rsidRPr="00B92144">
        <w:rPr>
          <w:rFonts w:asciiTheme="majorBidi" w:hAnsiTheme="majorBidi" w:cstheme="majorBidi"/>
          <w:sz w:val="24"/>
          <w:szCs w:val="24"/>
        </w:rPr>
        <w:t>9</w:t>
      </w:r>
      <w:r w:rsidRPr="00B92144">
        <w:rPr>
          <w:rFonts w:asciiTheme="majorBidi" w:hAnsiTheme="majorBidi" w:cstheme="majorBidi"/>
          <w:sz w:val="24"/>
          <w:szCs w:val="24"/>
        </w:rPr>
        <w:t>–201</w:t>
      </w:r>
      <w:r w:rsidR="00EC5A12" w:rsidRPr="00B92144">
        <w:rPr>
          <w:rFonts w:asciiTheme="majorBidi" w:hAnsiTheme="majorBidi" w:cstheme="majorBidi"/>
          <w:sz w:val="24"/>
          <w:szCs w:val="24"/>
        </w:rPr>
        <w:t>4</w:t>
      </w:r>
      <w:r w:rsidRPr="00B92144">
        <w:rPr>
          <w:rFonts w:asciiTheme="majorBidi" w:hAnsiTheme="majorBidi" w:cstheme="majorBidi"/>
          <w:sz w:val="24"/>
          <w:szCs w:val="24"/>
        </w:rPr>
        <w:t xml:space="preserve"> as in Eqs. (</w:t>
      </w:r>
      <w:r w:rsidR="00415FDD" w:rsidRPr="00B92144">
        <w:rPr>
          <w:rFonts w:asciiTheme="majorBidi" w:hAnsiTheme="majorBidi" w:cstheme="majorBidi"/>
          <w:sz w:val="24"/>
          <w:szCs w:val="24"/>
        </w:rPr>
        <w:t>2</w:t>
      </w:r>
      <w:r w:rsidRPr="00B92144">
        <w:rPr>
          <w:rFonts w:asciiTheme="majorBidi" w:hAnsiTheme="majorBidi" w:cstheme="majorBidi"/>
          <w:sz w:val="24"/>
          <w:szCs w:val="24"/>
        </w:rPr>
        <w:t>a) and (</w:t>
      </w:r>
      <w:r w:rsidR="00415FDD" w:rsidRPr="00B92144">
        <w:rPr>
          <w:rFonts w:asciiTheme="majorBidi" w:hAnsiTheme="majorBidi" w:cstheme="majorBidi"/>
          <w:sz w:val="24"/>
          <w:szCs w:val="24"/>
        </w:rPr>
        <w:t>2</w:t>
      </w:r>
      <w:r w:rsidRPr="00B92144">
        <w:rPr>
          <w:rFonts w:asciiTheme="majorBidi" w:hAnsiTheme="majorBidi" w:cstheme="majorBidi"/>
          <w:sz w:val="24"/>
          <w:szCs w:val="24"/>
        </w:rPr>
        <w:t xml:space="preserve">b). </w:t>
      </w:r>
    </w:p>
    <w:p w14:paraId="788BE362" w14:textId="2730841E" w:rsidR="00F725B0" w:rsidRPr="00B92144" w:rsidRDefault="00D753EB" w:rsidP="0094234A">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The choice of instrumental variables is important to a consistent estimation. Our choice for our instruments is </w:t>
      </w:r>
      <w:r w:rsidR="00C722E4" w:rsidRPr="00B92144">
        <w:rPr>
          <w:rFonts w:asciiTheme="majorBidi" w:hAnsiTheme="majorBidi" w:cstheme="majorBidi"/>
          <w:sz w:val="24"/>
          <w:szCs w:val="24"/>
        </w:rPr>
        <w:t>motivate</w:t>
      </w:r>
      <w:r w:rsidR="009F3B1F" w:rsidRPr="00B92144">
        <w:rPr>
          <w:rFonts w:asciiTheme="majorBidi" w:hAnsiTheme="majorBidi" w:cstheme="majorBidi"/>
          <w:sz w:val="24"/>
          <w:szCs w:val="24"/>
        </w:rPr>
        <w:t>d</w:t>
      </w:r>
      <w:r w:rsidRPr="00B92144">
        <w:rPr>
          <w:rFonts w:asciiTheme="majorBidi" w:hAnsiTheme="majorBidi" w:cstheme="majorBidi"/>
          <w:sz w:val="24"/>
          <w:szCs w:val="24"/>
        </w:rPr>
        <w:t xml:space="preserve"> by the </w:t>
      </w:r>
      <w:r w:rsidR="00092F95" w:rsidRPr="00B92144">
        <w:rPr>
          <w:rFonts w:asciiTheme="majorBidi" w:hAnsiTheme="majorBidi" w:cstheme="majorBidi"/>
          <w:sz w:val="24"/>
          <w:szCs w:val="24"/>
        </w:rPr>
        <w:t xml:space="preserve">recent </w:t>
      </w:r>
      <w:r w:rsidRPr="00B92144">
        <w:rPr>
          <w:rFonts w:asciiTheme="majorBidi" w:hAnsiTheme="majorBidi" w:cstheme="majorBidi"/>
          <w:sz w:val="24"/>
          <w:szCs w:val="24"/>
        </w:rPr>
        <w:t xml:space="preserve">literature on corporate disclosure and especially on corporate social responsibility disclosure. A valid instrument should reasonably predict the endogenous variable and not be correlated with error terms. </w:t>
      </w:r>
      <w:r w:rsidR="00000415" w:rsidRPr="00B92144">
        <w:rPr>
          <w:rFonts w:asciiTheme="majorBidi" w:hAnsiTheme="majorBidi" w:cstheme="majorBidi"/>
          <w:sz w:val="24"/>
          <w:szCs w:val="24"/>
        </w:rPr>
        <w:t>Previous</w:t>
      </w:r>
      <w:r w:rsidRPr="00B92144">
        <w:rPr>
          <w:rFonts w:asciiTheme="majorBidi" w:hAnsiTheme="majorBidi" w:cstheme="majorBidi"/>
          <w:sz w:val="24"/>
          <w:szCs w:val="24"/>
        </w:rPr>
        <w:t xml:space="preserve"> </w:t>
      </w:r>
      <w:r w:rsidR="00000415" w:rsidRPr="00B92144">
        <w:rPr>
          <w:rFonts w:asciiTheme="majorBidi" w:hAnsiTheme="majorBidi" w:cstheme="majorBidi"/>
          <w:sz w:val="24"/>
          <w:szCs w:val="24"/>
        </w:rPr>
        <w:t>studies</w:t>
      </w:r>
      <w:r w:rsidRPr="00B92144">
        <w:rPr>
          <w:rFonts w:asciiTheme="majorBidi" w:hAnsiTheme="majorBidi" w:cstheme="majorBidi"/>
          <w:sz w:val="24"/>
          <w:szCs w:val="24"/>
        </w:rPr>
        <w:t xml:space="preserve"> have used stakeholders’ characteristics (power </w:t>
      </w:r>
      <w:r w:rsidR="00E05652" w:rsidRPr="00B92144">
        <w:rPr>
          <w:rFonts w:asciiTheme="majorBidi" w:hAnsiTheme="majorBidi" w:cstheme="majorBidi"/>
          <w:sz w:val="24"/>
          <w:szCs w:val="24"/>
        </w:rPr>
        <w:t>and</w:t>
      </w:r>
      <w:r w:rsidRPr="00B92144">
        <w:rPr>
          <w:rFonts w:asciiTheme="majorBidi" w:hAnsiTheme="majorBidi" w:cstheme="majorBidi"/>
          <w:sz w:val="24"/>
          <w:szCs w:val="24"/>
        </w:rPr>
        <w:t xml:space="preserve"> legitimacy), corporate governance features (board structure and independence) and company visibility as valid instruments (i.e. </w:t>
      </w:r>
      <w:r w:rsidRPr="00B92144">
        <w:rPr>
          <w:rFonts w:asciiTheme="majorBidi" w:hAnsiTheme="majorBidi" w:cstheme="majorBidi"/>
          <w:color w:val="365F91" w:themeColor="accent1" w:themeShade="BF"/>
          <w:sz w:val="24"/>
          <w:szCs w:val="24"/>
        </w:rPr>
        <w:t xml:space="preserve">Brammer </w:t>
      </w:r>
      <w:r w:rsidR="00E05652" w:rsidRPr="00B92144">
        <w:rPr>
          <w:rFonts w:asciiTheme="majorBidi" w:hAnsiTheme="majorBidi" w:cstheme="majorBidi"/>
          <w:color w:val="365F91" w:themeColor="accent1" w:themeShade="BF"/>
          <w:sz w:val="24"/>
          <w:szCs w:val="24"/>
        </w:rPr>
        <w:t>&amp;</w:t>
      </w:r>
      <w:r w:rsidRPr="00B92144">
        <w:rPr>
          <w:rFonts w:asciiTheme="majorBidi" w:hAnsiTheme="majorBidi" w:cstheme="majorBidi"/>
          <w:color w:val="365F91" w:themeColor="accent1" w:themeShade="BF"/>
          <w:sz w:val="24"/>
          <w:szCs w:val="24"/>
        </w:rPr>
        <w:t xml:space="preserve"> Millington</w:t>
      </w:r>
      <w:r w:rsidR="00A169B0" w:rsidRPr="00B92144">
        <w:rPr>
          <w:rFonts w:asciiTheme="majorBidi" w:hAnsiTheme="majorBidi" w:cstheme="majorBidi"/>
          <w:color w:val="365F91" w:themeColor="accent1" w:themeShade="BF"/>
          <w:sz w:val="24"/>
          <w:szCs w:val="24"/>
        </w:rPr>
        <w:t xml:space="preserve">, </w:t>
      </w:r>
      <w:r w:rsidRPr="00B92144">
        <w:rPr>
          <w:rFonts w:asciiTheme="majorBidi" w:hAnsiTheme="majorBidi" w:cstheme="majorBidi"/>
          <w:color w:val="365F91" w:themeColor="accent1" w:themeShade="BF"/>
          <w:sz w:val="24"/>
          <w:szCs w:val="24"/>
        </w:rPr>
        <w:t xml:space="preserve">2006; Eesley </w:t>
      </w:r>
      <w:r w:rsidR="00E05652" w:rsidRPr="00B92144">
        <w:rPr>
          <w:rFonts w:asciiTheme="majorBidi" w:hAnsiTheme="majorBidi" w:cstheme="majorBidi"/>
          <w:color w:val="365F91" w:themeColor="accent1" w:themeShade="BF"/>
          <w:sz w:val="24"/>
          <w:szCs w:val="24"/>
        </w:rPr>
        <w:t>&amp;</w:t>
      </w:r>
      <w:r w:rsidRPr="00B92144">
        <w:rPr>
          <w:rFonts w:asciiTheme="majorBidi" w:hAnsiTheme="majorBidi" w:cstheme="majorBidi"/>
          <w:color w:val="365F91" w:themeColor="accent1" w:themeShade="BF"/>
          <w:sz w:val="24"/>
          <w:szCs w:val="24"/>
        </w:rPr>
        <w:t xml:space="preserve"> Lenox</w:t>
      </w:r>
      <w:r w:rsidR="00A169B0" w:rsidRPr="00B92144">
        <w:rPr>
          <w:rFonts w:asciiTheme="majorBidi" w:hAnsiTheme="majorBidi" w:cstheme="majorBidi"/>
          <w:color w:val="365F91" w:themeColor="accent1" w:themeShade="BF"/>
          <w:sz w:val="24"/>
          <w:szCs w:val="24"/>
        </w:rPr>
        <w:t xml:space="preserve">, </w:t>
      </w:r>
      <w:r w:rsidRPr="00B92144">
        <w:rPr>
          <w:rFonts w:asciiTheme="majorBidi" w:hAnsiTheme="majorBidi" w:cstheme="majorBidi"/>
          <w:color w:val="365F91" w:themeColor="accent1" w:themeShade="BF"/>
          <w:sz w:val="24"/>
          <w:szCs w:val="24"/>
        </w:rPr>
        <w:t>2006; Mitchell</w:t>
      </w:r>
      <w:r w:rsidR="00665E45" w:rsidRPr="00B92144">
        <w:rPr>
          <w:rFonts w:asciiTheme="majorBidi" w:hAnsiTheme="majorBidi" w:cstheme="majorBidi"/>
          <w:color w:val="365F91" w:themeColor="accent1" w:themeShade="BF"/>
          <w:sz w:val="24"/>
          <w:szCs w:val="24"/>
        </w:rPr>
        <w:t>,</w:t>
      </w:r>
      <w:r w:rsidRPr="00B92144">
        <w:rPr>
          <w:rFonts w:asciiTheme="majorBidi" w:hAnsiTheme="majorBidi" w:cstheme="majorBidi"/>
          <w:color w:val="365F91" w:themeColor="accent1" w:themeShade="BF"/>
          <w:sz w:val="24"/>
          <w:szCs w:val="24"/>
        </w:rPr>
        <w:t xml:space="preserve"> </w:t>
      </w:r>
      <w:r w:rsidR="00665E45" w:rsidRPr="00B92144">
        <w:rPr>
          <w:rFonts w:asciiTheme="majorBidi" w:hAnsiTheme="majorBidi" w:cstheme="majorBidi"/>
          <w:color w:val="365F91" w:themeColor="accent1" w:themeShade="BF"/>
          <w:sz w:val="24"/>
          <w:szCs w:val="24"/>
        </w:rPr>
        <w:t>Agle, &amp; Wood</w:t>
      </w:r>
      <w:r w:rsidR="00A169B0" w:rsidRPr="00B92144">
        <w:rPr>
          <w:rFonts w:asciiTheme="majorBidi" w:hAnsiTheme="majorBidi" w:cstheme="majorBidi"/>
          <w:color w:val="365F91" w:themeColor="accent1" w:themeShade="BF"/>
          <w:sz w:val="24"/>
          <w:szCs w:val="24"/>
        </w:rPr>
        <w:t>,</w:t>
      </w:r>
      <w:r w:rsidR="00665E45" w:rsidRPr="00B92144">
        <w:rPr>
          <w:rFonts w:asciiTheme="majorBidi" w:hAnsiTheme="majorBidi" w:cstheme="majorBidi"/>
          <w:color w:val="365F91" w:themeColor="accent1" w:themeShade="BF"/>
          <w:sz w:val="24"/>
          <w:szCs w:val="24"/>
        </w:rPr>
        <w:t xml:space="preserve"> </w:t>
      </w:r>
      <w:r w:rsidRPr="00B92144">
        <w:rPr>
          <w:rFonts w:asciiTheme="majorBidi" w:hAnsiTheme="majorBidi" w:cstheme="majorBidi"/>
          <w:color w:val="365F91" w:themeColor="accent1" w:themeShade="BF"/>
          <w:sz w:val="24"/>
          <w:szCs w:val="24"/>
        </w:rPr>
        <w:t>1997; Rehbein</w:t>
      </w:r>
      <w:r w:rsidR="00665E45" w:rsidRPr="00B92144">
        <w:rPr>
          <w:rFonts w:asciiTheme="majorBidi" w:hAnsiTheme="majorBidi" w:cstheme="majorBidi"/>
          <w:color w:val="365F91" w:themeColor="accent1" w:themeShade="BF"/>
          <w:sz w:val="24"/>
          <w:szCs w:val="24"/>
        </w:rPr>
        <w:t>,</w:t>
      </w:r>
      <w:r w:rsidRPr="00B92144">
        <w:rPr>
          <w:rFonts w:asciiTheme="majorBidi" w:hAnsiTheme="majorBidi" w:cstheme="majorBidi"/>
          <w:color w:val="365F91" w:themeColor="accent1" w:themeShade="BF"/>
          <w:sz w:val="24"/>
          <w:szCs w:val="24"/>
        </w:rPr>
        <w:t xml:space="preserve"> </w:t>
      </w:r>
      <w:r w:rsidR="00665E45" w:rsidRPr="00B92144">
        <w:rPr>
          <w:rFonts w:asciiTheme="majorBidi" w:hAnsiTheme="majorBidi" w:cstheme="majorBidi"/>
          <w:color w:val="365F91" w:themeColor="accent1" w:themeShade="BF"/>
          <w:sz w:val="24"/>
          <w:szCs w:val="24"/>
        </w:rPr>
        <w:t>Waddock, &amp; Graves</w:t>
      </w:r>
      <w:r w:rsidR="00A169B0" w:rsidRPr="00B92144">
        <w:rPr>
          <w:rFonts w:asciiTheme="majorBidi" w:hAnsiTheme="majorBidi" w:cstheme="majorBidi"/>
          <w:color w:val="365F91" w:themeColor="accent1" w:themeShade="BF"/>
          <w:sz w:val="24"/>
          <w:szCs w:val="24"/>
        </w:rPr>
        <w:t xml:space="preserve">, </w:t>
      </w:r>
      <w:r w:rsidRPr="00B92144">
        <w:rPr>
          <w:rFonts w:asciiTheme="majorBidi" w:hAnsiTheme="majorBidi" w:cstheme="majorBidi"/>
          <w:color w:val="365F91" w:themeColor="accent1" w:themeShade="BF"/>
          <w:sz w:val="24"/>
          <w:szCs w:val="24"/>
        </w:rPr>
        <w:t>2004 and Garcia-Castro</w:t>
      </w:r>
      <w:r w:rsidR="00665E45" w:rsidRPr="00B92144">
        <w:rPr>
          <w:rFonts w:asciiTheme="majorBidi" w:hAnsiTheme="majorBidi" w:cstheme="majorBidi"/>
          <w:color w:val="365F91" w:themeColor="accent1" w:themeShade="BF"/>
          <w:sz w:val="24"/>
          <w:szCs w:val="24"/>
        </w:rPr>
        <w:t>,</w:t>
      </w:r>
      <w:r w:rsidRPr="00B92144">
        <w:rPr>
          <w:rFonts w:asciiTheme="majorBidi" w:hAnsiTheme="majorBidi" w:cstheme="majorBidi"/>
          <w:color w:val="365F91" w:themeColor="accent1" w:themeShade="BF"/>
          <w:sz w:val="24"/>
          <w:szCs w:val="24"/>
        </w:rPr>
        <w:t xml:space="preserve"> </w:t>
      </w:r>
      <w:r w:rsidR="00665E45" w:rsidRPr="00B92144">
        <w:rPr>
          <w:rFonts w:asciiTheme="majorBidi" w:hAnsiTheme="majorBidi" w:cstheme="majorBidi"/>
          <w:color w:val="365F91" w:themeColor="accent1" w:themeShade="BF"/>
          <w:sz w:val="24"/>
          <w:szCs w:val="24"/>
        </w:rPr>
        <w:t>Ariño, &amp; Canela</w:t>
      </w:r>
      <w:r w:rsidR="0094234A" w:rsidRPr="00B92144">
        <w:rPr>
          <w:rFonts w:asciiTheme="majorBidi" w:hAnsiTheme="majorBidi" w:cstheme="majorBidi"/>
          <w:color w:val="365F91" w:themeColor="accent1" w:themeShade="BF"/>
          <w:sz w:val="24"/>
          <w:szCs w:val="24"/>
        </w:rPr>
        <w:t>,</w:t>
      </w:r>
      <w:r w:rsidR="00665E45" w:rsidRPr="00B92144">
        <w:rPr>
          <w:rFonts w:asciiTheme="majorBidi" w:hAnsiTheme="majorBidi" w:cstheme="majorBidi"/>
          <w:color w:val="365F91" w:themeColor="accent1" w:themeShade="BF"/>
          <w:sz w:val="24"/>
          <w:szCs w:val="24"/>
        </w:rPr>
        <w:t xml:space="preserve"> </w:t>
      </w:r>
      <w:r w:rsidRPr="00B92144">
        <w:rPr>
          <w:rFonts w:asciiTheme="majorBidi" w:hAnsiTheme="majorBidi" w:cstheme="majorBidi"/>
          <w:color w:val="365F91" w:themeColor="accent1" w:themeShade="BF"/>
          <w:sz w:val="24"/>
          <w:szCs w:val="24"/>
        </w:rPr>
        <w:t>2010</w:t>
      </w:r>
      <w:r w:rsidRPr="00B92144">
        <w:rPr>
          <w:rFonts w:asciiTheme="majorBidi" w:hAnsiTheme="majorBidi" w:cstheme="majorBidi"/>
          <w:sz w:val="24"/>
          <w:szCs w:val="24"/>
        </w:rPr>
        <w:t xml:space="preserve">). </w:t>
      </w:r>
      <w:r w:rsidR="00092F95" w:rsidRPr="00B92144">
        <w:rPr>
          <w:rFonts w:asciiTheme="majorBidi" w:hAnsiTheme="majorBidi" w:cstheme="majorBidi"/>
          <w:sz w:val="24"/>
          <w:szCs w:val="24"/>
        </w:rPr>
        <w:t xml:space="preserve">Since </w:t>
      </w:r>
      <w:r w:rsidRPr="00B92144">
        <w:rPr>
          <w:rFonts w:asciiTheme="majorBidi" w:hAnsiTheme="majorBidi" w:cstheme="majorBidi"/>
          <w:sz w:val="24"/>
          <w:szCs w:val="24"/>
        </w:rPr>
        <w:t xml:space="preserve">we will use the stakeholders’ characteristics and corporate governance characteristics in our main model (determinants of </w:t>
      </w:r>
      <w:r w:rsidR="007366B6" w:rsidRPr="00B92144">
        <w:rPr>
          <w:rFonts w:asciiTheme="majorBidi" w:hAnsiTheme="majorBidi" w:cstheme="majorBidi"/>
          <w:sz w:val="24"/>
          <w:szCs w:val="24"/>
        </w:rPr>
        <w:t>RRD</w:t>
      </w:r>
      <w:r w:rsidRPr="00B92144">
        <w:rPr>
          <w:rFonts w:asciiTheme="majorBidi" w:hAnsiTheme="majorBidi" w:cstheme="majorBidi"/>
          <w:sz w:val="24"/>
          <w:szCs w:val="24"/>
        </w:rPr>
        <w:t xml:space="preserve">), we cannot reemploy them as an instrumental variable for the </w:t>
      </w:r>
      <w:r w:rsidR="009F3B1F" w:rsidRPr="00B92144">
        <w:rPr>
          <w:rFonts w:asciiTheme="majorBidi" w:hAnsiTheme="majorBidi" w:cstheme="majorBidi"/>
          <w:sz w:val="24"/>
          <w:szCs w:val="24"/>
        </w:rPr>
        <w:t>R</w:t>
      </w:r>
      <w:r w:rsidR="00000415" w:rsidRPr="00B92144">
        <w:rPr>
          <w:rFonts w:asciiTheme="majorBidi" w:hAnsiTheme="majorBidi" w:cstheme="majorBidi"/>
          <w:sz w:val="24"/>
          <w:szCs w:val="24"/>
        </w:rPr>
        <w:t>R</w:t>
      </w:r>
      <w:r w:rsidR="007366B6" w:rsidRPr="00B92144">
        <w:rPr>
          <w:rFonts w:asciiTheme="majorBidi" w:hAnsiTheme="majorBidi" w:cstheme="majorBidi"/>
          <w:sz w:val="24"/>
          <w:szCs w:val="24"/>
        </w:rPr>
        <w:t>D</w:t>
      </w:r>
      <w:r w:rsidRPr="00B92144">
        <w:rPr>
          <w:rFonts w:asciiTheme="majorBidi" w:hAnsiTheme="majorBidi" w:cstheme="majorBidi"/>
          <w:sz w:val="24"/>
          <w:szCs w:val="24"/>
        </w:rPr>
        <w:t xml:space="preserve">. </w:t>
      </w:r>
      <w:r w:rsidR="00E05652" w:rsidRPr="00B92144">
        <w:rPr>
          <w:rFonts w:asciiTheme="majorBidi" w:hAnsiTheme="majorBidi" w:cstheme="majorBidi"/>
          <w:sz w:val="24"/>
          <w:szCs w:val="24"/>
        </w:rPr>
        <w:t>Therefore,</w:t>
      </w:r>
      <w:r w:rsidRPr="00B92144">
        <w:rPr>
          <w:rFonts w:asciiTheme="majorBidi" w:hAnsiTheme="majorBidi" w:cstheme="majorBidi"/>
          <w:sz w:val="24"/>
          <w:szCs w:val="24"/>
        </w:rPr>
        <w:t xml:space="preserve"> we employ following </w:t>
      </w:r>
      <w:r w:rsidR="0094234A" w:rsidRPr="00B92144">
        <w:rPr>
          <w:rFonts w:asciiTheme="majorBidi" w:hAnsiTheme="majorBidi" w:cstheme="majorBidi"/>
          <w:color w:val="365F91" w:themeColor="accent1" w:themeShade="BF"/>
          <w:sz w:val="24"/>
          <w:szCs w:val="24"/>
        </w:rPr>
        <w:t>Garcia-Castro, Ariño, &amp; Canela</w:t>
      </w:r>
      <w:r w:rsidRPr="00B92144">
        <w:rPr>
          <w:rFonts w:asciiTheme="majorBidi" w:hAnsiTheme="majorBidi" w:cstheme="majorBidi"/>
          <w:sz w:val="24"/>
          <w:szCs w:val="24"/>
        </w:rPr>
        <w:t xml:space="preserve"> </w:t>
      </w:r>
      <w:r w:rsidRPr="00B92144">
        <w:rPr>
          <w:rFonts w:asciiTheme="majorBidi" w:hAnsiTheme="majorBidi" w:cstheme="majorBidi"/>
          <w:color w:val="365F91" w:themeColor="accent1" w:themeShade="BF"/>
          <w:sz w:val="24"/>
          <w:szCs w:val="24"/>
        </w:rPr>
        <w:t xml:space="preserve">(2010) </w:t>
      </w:r>
      <w:r w:rsidRPr="00B92144">
        <w:rPr>
          <w:rFonts w:asciiTheme="majorBidi" w:hAnsiTheme="majorBidi" w:cstheme="majorBidi"/>
          <w:sz w:val="24"/>
          <w:szCs w:val="24"/>
        </w:rPr>
        <w:t xml:space="preserve">and </w:t>
      </w:r>
      <w:r w:rsidR="0094234A" w:rsidRPr="00B92144">
        <w:rPr>
          <w:rFonts w:asciiTheme="majorBidi" w:hAnsiTheme="majorBidi" w:cstheme="majorBidi"/>
          <w:color w:val="365F91" w:themeColor="accent1" w:themeShade="BF"/>
          <w:sz w:val="24"/>
          <w:szCs w:val="24"/>
        </w:rPr>
        <w:t>Mallin, Farag, &amp; Ow-Yong</w:t>
      </w:r>
      <w:r w:rsidRPr="00B92144">
        <w:rPr>
          <w:rFonts w:asciiTheme="majorBidi" w:hAnsiTheme="majorBidi" w:cstheme="majorBidi"/>
          <w:color w:val="365F91" w:themeColor="accent1" w:themeShade="BF"/>
          <w:sz w:val="24"/>
          <w:szCs w:val="24"/>
        </w:rPr>
        <w:t>. (2014)</w:t>
      </w:r>
      <w:r w:rsidRPr="00B92144">
        <w:rPr>
          <w:rFonts w:asciiTheme="majorBidi" w:hAnsiTheme="majorBidi" w:cstheme="majorBidi"/>
          <w:sz w:val="24"/>
          <w:szCs w:val="24"/>
        </w:rPr>
        <w:t xml:space="preserve">, bank visibility as our instrument for </w:t>
      </w:r>
      <w:r w:rsidR="009F3B1F" w:rsidRPr="00B92144">
        <w:rPr>
          <w:rFonts w:asciiTheme="majorBidi" w:hAnsiTheme="majorBidi" w:cstheme="majorBidi"/>
          <w:sz w:val="24"/>
          <w:szCs w:val="24"/>
        </w:rPr>
        <w:t>R</w:t>
      </w:r>
      <w:r w:rsidR="00000415" w:rsidRPr="00B92144">
        <w:rPr>
          <w:rFonts w:asciiTheme="majorBidi" w:hAnsiTheme="majorBidi" w:cstheme="majorBidi"/>
          <w:sz w:val="24"/>
          <w:szCs w:val="24"/>
        </w:rPr>
        <w:t>R</w:t>
      </w:r>
      <w:r w:rsidR="007366B6" w:rsidRPr="00B92144">
        <w:rPr>
          <w:rFonts w:asciiTheme="majorBidi" w:hAnsiTheme="majorBidi" w:cstheme="majorBidi"/>
          <w:sz w:val="24"/>
          <w:szCs w:val="24"/>
        </w:rPr>
        <w:t>D</w:t>
      </w:r>
      <w:r w:rsidRPr="00B92144">
        <w:rPr>
          <w:rFonts w:asciiTheme="majorBidi" w:hAnsiTheme="majorBidi" w:cstheme="majorBidi"/>
          <w:sz w:val="24"/>
          <w:szCs w:val="24"/>
        </w:rPr>
        <w:t xml:space="preserve">. Though, we redefine bank visibility as a dummy variable that takes the value of 1 if the bank is listed in the stock market of the respective country and 0 otherwise. </w:t>
      </w:r>
    </w:p>
    <w:p w14:paraId="269295A2" w14:textId="2A1B2F39" w:rsidR="00092F95" w:rsidRPr="00B92144" w:rsidRDefault="00D753EB" w:rsidP="00637120">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We assume that </w:t>
      </w:r>
      <w:r w:rsidR="00000415" w:rsidRPr="00B92144">
        <w:rPr>
          <w:rFonts w:asciiTheme="majorBidi" w:hAnsiTheme="majorBidi" w:cstheme="majorBidi"/>
          <w:sz w:val="24"/>
          <w:szCs w:val="24"/>
        </w:rPr>
        <w:t>listed banks</w:t>
      </w:r>
      <w:r w:rsidRPr="00B92144">
        <w:rPr>
          <w:rFonts w:asciiTheme="majorBidi" w:hAnsiTheme="majorBidi" w:cstheme="majorBidi"/>
          <w:sz w:val="24"/>
          <w:szCs w:val="24"/>
        </w:rPr>
        <w:t xml:space="preserve"> in stock markets are more visible to investors and media and are likely to adopt consistent policies with stakeholders such as engaging in </w:t>
      </w:r>
      <w:r w:rsidR="009F3B1F" w:rsidRPr="00B92144">
        <w:rPr>
          <w:rFonts w:asciiTheme="majorBidi" w:hAnsiTheme="majorBidi" w:cstheme="majorBidi"/>
          <w:sz w:val="24"/>
          <w:szCs w:val="24"/>
        </w:rPr>
        <w:t>R</w:t>
      </w:r>
      <w:r w:rsidR="00000415" w:rsidRPr="00B92144">
        <w:rPr>
          <w:rFonts w:asciiTheme="majorBidi" w:hAnsiTheme="majorBidi" w:cstheme="majorBidi"/>
          <w:sz w:val="24"/>
          <w:szCs w:val="24"/>
        </w:rPr>
        <w:t>R</w:t>
      </w:r>
      <w:r w:rsidR="007366B6" w:rsidRPr="00B92144">
        <w:rPr>
          <w:rFonts w:asciiTheme="majorBidi" w:hAnsiTheme="majorBidi" w:cstheme="majorBidi"/>
          <w:sz w:val="24"/>
          <w:szCs w:val="24"/>
        </w:rPr>
        <w:t>D</w:t>
      </w:r>
      <w:r w:rsidRPr="00B92144">
        <w:rPr>
          <w:rFonts w:asciiTheme="majorBidi" w:hAnsiTheme="majorBidi" w:cstheme="majorBidi"/>
          <w:sz w:val="24"/>
          <w:szCs w:val="24"/>
        </w:rPr>
        <w:t xml:space="preserve">. Hence, we expect that our instrumental variable is likely to be correlated with </w:t>
      </w:r>
      <w:r w:rsidR="009F3B1F" w:rsidRPr="00B92144">
        <w:rPr>
          <w:rFonts w:asciiTheme="majorBidi" w:hAnsiTheme="majorBidi" w:cstheme="majorBidi"/>
          <w:sz w:val="24"/>
          <w:szCs w:val="24"/>
        </w:rPr>
        <w:t>R</w:t>
      </w:r>
      <w:r w:rsidR="00000415" w:rsidRPr="00B92144">
        <w:rPr>
          <w:rFonts w:asciiTheme="majorBidi" w:hAnsiTheme="majorBidi" w:cstheme="majorBidi"/>
          <w:sz w:val="24"/>
          <w:szCs w:val="24"/>
        </w:rPr>
        <w:t>R</w:t>
      </w:r>
      <w:r w:rsidR="007366B6" w:rsidRPr="00B92144">
        <w:rPr>
          <w:rFonts w:asciiTheme="majorBidi" w:hAnsiTheme="majorBidi" w:cstheme="majorBidi"/>
          <w:sz w:val="24"/>
          <w:szCs w:val="24"/>
        </w:rPr>
        <w:t>D</w:t>
      </w:r>
      <w:r w:rsidR="00000415"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and not with financial performance. We </w:t>
      </w:r>
      <w:r w:rsidRPr="00B92144">
        <w:rPr>
          <w:rFonts w:asciiTheme="majorBidi" w:hAnsiTheme="majorBidi" w:cstheme="majorBidi"/>
          <w:sz w:val="24"/>
          <w:szCs w:val="24"/>
        </w:rPr>
        <w:lastRenderedPageBreak/>
        <w:t>believe also that the selected instrumental variable satisfies the necessary conditions for valid instruments assuming that the disturbance is not autocorrelated</w:t>
      </w:r>
      <w:r w:rsidRPr="00B92144">
        <w:rPr>
          <w:rStyle w:val="FootnoteReference"/>
          <w:rFonts w:asciiTheme="majorBidi" w:hAnsiTheme="majorBidi" w:cstheme="majorBidi"/>
          <w:sz w:val="24"/>
          <w:szCs w:val="24"/>
        </w:rPr>
        <w:footnoteReference w:id="2"/>
      </w:r>
      <w:r w:rsidRPr="00B92144">
        <w:rPr>
          <w:rFonts w:asciiTheme="majorBidi" w:hAnsiTheme="majorBidi" w:cstheme="majorBidi"/>
          <w:sz w:val="24"/>
          <w:szCs w:val="24"/>
        </w:rPr>
        <w:t xml:space="preserve">. Furthermore, we use the </w:t>
      </w:r>
      <w:r w:rsidRPr="00B92144">
        <w:rPr>
          <w:rFonts w:asciiTheme="majorBidi" w:hAnsiTheme="majorBidi" w:cstheme="majorBidi"/>
          <w:color w:val="365F91" w:themeColor="accent1" w:themeShade="BF"/>
          <w:sz w:val="24"/>
          <w:szCs w:val="24"/>
        </w:rPr>
        <w:t xml:space="preserve">Breusch </w:t>
      </w:r>
      <w:r w:rsidR="00E05652" w:rsidRPr="00B92144">
        <w:rPr>
          <w:rFonts w:asciiTheme="majorBidi" w:hAnsiTheme="majorBidi" w:cstheme="majorBidi"/>
          <w:color w:val="365F91" w:themeColor="accent1" w:themeShade="BF"/>
          <w:sz w:val="24"/>
          <w:szCs w:val="24"/>
        </w:rPr>
        <w:t>&amp;</w:t>
      </w:r>
      <w:r w:rsidRPr="00B92144">
        <w:rPr>
          <w:rFonts w:asciiTheme="majorBidi" w:hAnsiTheme="majorBidi" w:cstheme="majorBidi"/>
          <w:color w:val="365F91" w:themeColor="accent1" w:themeShade="BF"/>
          <w:sz w:val="24"/>
          <w:szCs w:val="24"/>
        </w:rPr>
        <w:t xml:space="preserve"> Pagan (1980) </w:t>
      </w:r>
      <w:r w:rsidRPr="00B92144">
        <w:rPr>
          <w:rFonts w:asciiTheme="majorBidi" w:hAnsiTheme="majorBidi" w:cstheme="majorBidi"/>
          <w:sz w:val="24"/>
          <w:szCs w:val="24"/>
        </w:rPr>
        <w:t xml:space="preserve">test of independence to investigate whether cross-equation disturbances are indeed correlated and if the equations need to be estimated simultaneously. </w:t>
      </w:r>
      <w:r w:rsidRPr="00B92144">
        <w:rPr>
          <w:rFonts w:asciiTheme="majorBidi" w:hAnsiTheme="majorBidi" w:cstheme="majorBidi"/>
          <w:color w:val="365F91" w:themeColor="accent1" w:themeShade="BF"/>
          <w:sz w:val="24"/>
          <w:szCs w:val="24"/>
        </w:rPr>
        <w:t>Beiner</w:t>
      </w:r>
      <w:r w:rsidR="00637120" w:rsidRPr="00B92144">
        <w:rPr>
          <w:rFonts w:asciiTheme="majorBidi" w:hAnsiTheme="majorBidi" w:cstheme="majorBidi"/>
          <w:color w:val="365F91" w:themeColor="accent1" w:themeShade="BF"/>
          <w:sz w:val="24"/>
          <w:szCs w:val="24"/>
        </w:rPr>
        <w:t>,</w:t>
      </w:r>
      <w:r w:rsidRPr="00B92144">
        <w:rPr>
          <w:rFonts w:asciiTheme="majorBidi" w:hAnsiTheme="majorBidi" w:cstheme="majorBidi"/>
          <w:color w:val="365F91" w:themeColor="accent1" w:themeShade="BF"/>
          <w:sz w:val="24"/>
          <w:szCs w:val="24"/>
        </w:rPr>
        <w:t xml:space="preserve"> </w:t>
      </w:r>
      <w:r w:rsidR="00637120" w:rsidRPr="00B92144">
        <w:rPr>
          <w:rFonts w:asciiTheme="majorBidi" w:hAnsiTheme="majorBidi" w:cstheme="majorBidi"/>
          <w:color w:val="365F91" w:themeColor="accent1" w:themeShade="BF"/>
          <w:sz w:val="24"/>
          <w:szCs w:val="24"/>
        </w:rPr>
        <w:t>Drobetz, Schmid, &amp; Zimmermann</w:t>
      </w:r>
      <w:r w:rsidRPr="00B92144">
        <w:rPr>
          <w:rFonts w:asciiTheme="majorBidi" w:hAnsiTheme="majorBidi" w:cstheme="majorBidi"/>
          <w:color w:val="365F91" w:themeColor="accent1" w:themeShade="BF"/>
          <w:sz w:val="24"/>
          <w:szCs w:val="24"/>
        </w:rPr>
        <w:t xml:space="preserve">. (2006) </w:t>
      </w:r>
      <w:r w:rsidRPr="00B92144">
        <w:rPr>
          <w:rFonts w:asciiTheme="majorBidi" w:hAnsiTheme="majorBidi" w:cstheme="majorBidi"/>
          <w:sz w:val="24"/>
          <w:szCs w:val="24"/>
        </w:rPr>
        <w:t xml:space="preserve">claim that the advantages of 3SLS rest on instrument validity and the correct specification of the model. </w:t>
      </w:r>
    </w:p>
    <w:p w14:paraId="4DCA3526" w14:textId="77703448" w:rsidR="00324414" w:rsidRPr="00B92144" w:rsidRDefault="00D753EB" w:rsidP="00092F95">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To test the instrument validity, we employ the </w:t>
      </w:r>
      <w:r w:rsidRPr="00B92144">
        <w:rPr>
          <w:rFonts w:asciiTheme="majorBidi" w:hAnsiTheme="majorBidi" w:cstheme="majorBidi"/>
          <w:color w:val="1F497D" w:themeColor="text2"/>
          <w:sz w:val="24"/>
          <w:szCs w:val="24"/>
        </w:rPr>
        <w:t xml:space="preserve">Sargan (1964) </w:t>
      </w:r>
      <w:r w:rsidRPr="00B92144">
        <w:rPr>
          <w:rFonts w:asciiTheme="majorBidi" w:hAnsiTheme="majorBidi" w:cstheme="majorBidi"/>
          <w:sz w:val="24"/>
          <w:szCs w:val="24"/>
        </w:rPr>
        <w:t xml:space="preserve">mis-specification test with the null hypothesis of “No mis-specification”. If the null hypothesis is rejected then the model is likely to be incorrectly specified and/or some of the instruments are invalid. In addition, to test for the correct specification of the system of simultaneous equations, we apply the Hausman specification test (Hausman, 1978) to compare between 2SLS and 3SLS estimates. The null hypothesis of the Hausman test </w:t>
      </w:r>
      <w:r w:rsidR="009F3B1F" w:rsidRPr="00B92144">
        <w:rPr>
          <w:rFonts w:asciiTheme="majorBidi" w:hAnsiTheme="majorBidi" w:cstheme="majorBidi"/>
          <w:sz w:val="24"/>
          <w:szCs w:val="24"/>
        </w:rPr>
        <w:t>and</w:t>
      </w:r>
      <w:r w:rsidRPr="00B92144">
        <w:rPr>
          <w:rFonts w:asciiTheme="majorBidi" w:hAnsiTheme="majorBidi" w:cstheme="majorBidi"/>
          <w:sz w:val="24"/>
          <w:szCs w:val="24"/>
        </w:rPr>
        <w:t xml:space="preserve"> “the 3SLS results are consistent and efficient while the 2SLSresults are also consistent but inefficient”.</w:t>
      </w:r>
    </w:p>
    <w:p w14:paraId="6165D662" w14:textId="423F01A1" w:rsidR="004B37A5" w:rsidRPr="00B92144" w:rsidRDefault="004B37A5" w:rsidP="00A273B5">
      <w:pPr>
        <w:pStyle w:val="ListParagraph"/>
        <w:numPr>
          <w:ilvl w:val="0"/>
          <w:numId w:val="8"/>
        </w:numPr>
        <w:spacing w:line="360" w:lineRule="auto"/>
        <w:jc w:val="both"/>
        <w:rPr>
          <w:rFonts w:asciiTheme="majorBidi" w:hAnsiTheme="majorBidi" w:cstheme="majorBidi"/>
          <w:b/>
          <w:bCs/>
          <w:sz w:val="24"/>
          <w:szCs w:val="24"/>
        </w:rPr>
      </w:pPr>
      <w:r w:rsidRPr="00B92144">
        <w:rPr>
          <w:rFonts w:asciiTheme="majorBidi" w:hAnsiTheme="majorBidi" w:cstheme="majorBidi"/>
          <w:b/>
          <w:bCs/>
          <w:sz w:val="24"/>
          <w:szCs w:val="24"/>
        </w:rPr>
        <w:t>Results and discussion</w:t>
      </w:r>
    </w:p>
    <w:p w14:paraId="1ADE56CE" w14:textId="0A7191A1" w:rsidR="00C05DEF" w:rsidRPr="00B92144" w:rsidRDefault="001D4951" w:rsidP="00CD6A0E">
      <w:pPr>
        <w:spacing w:line="360" w:lineRule="auto"/>
        <w:jc w:val="both"/>
        <w:rPr>
          <w:rFonts w:asciiTheme="majorBidi" w:hAnsiTheme="majorBidi" w:cstheme="majorBidi"/>
          <w:color w:val="C00000"/>
          <w:sz w:val="24"/>
          <w:szCs w:val="24"/>
        </w:rPr>
      </w:pPr>
      <w:r w:rsidRPr="00B92144">
        <w:rPr>
          <w:rFonts w:asciiTheme="majorBidi" w:hAnsiTheme="majorBidi" w:cstheme="majorBidi"/>
          <w:sz w:val="24"/>
          <w:szCs w:val="24"/>
        </w:rPr>
        <w:t xml:space="preserve">In this section, we </w:t>
      </w:r>
      <w:r w:rsidR="004850CA" w:rsidRPr="00B92144">
        <w:rPr>
          <w:rFonts w:asciiTheme="majorBidi" w:hAnsiTheme="majorBidi" w:cstheme="majorBidi"/>
          <w:sz w:val="24"/>
          <w:szCs w:val="24"/>
        </w:rPr>
        <w:t>analyze</w:t>
      </w:r>
      <w:r w:rsidRPr="00B92144">
        <w:rPr>
          <w:rFonts w:asciiTheme="majorBidi" w:hAnsiTheme="majorBidi" w:cstheme="majorBidi"/>
          <w:sz w:val="24"/>
          <w:szCs w:val="24"/>
        </w:rPr>
        <w:t xml:space="preserve"> the results of the </w:t>
      </w:r>
      <w:r w:rsidR="00E938E3" w:rsidRPr="00B92144">
        <w:rPr>
          <w:rFonts w:asciiTheme="majorBidi" w:hAnsiTheme="majorBidi" w:cstheme="majorBidi"/>
          <w:sz w:val="24"/>
          <w:szCs w:val="24"/>
        </w:rPr>
        <w:t>R</w:t>
      </w:r>
      <w:r w:rsidRPr="00B92144">
        <w:rPr>
          <w:rFonts w:asciiTheme="majorBidi" w:hAnsiTheme="majorBidi" w:cstheme="majorBidi"/>
          <w:sz w:val="24"/>
          <w:szCs w:val="24"/>
        </w:rPr>
        <w:t>R</w:t>
      </w:r>
      <w:r w:rsidR="007366B6" w:rsidRPr="00B92144">
        <w:rPr>
          <w:rFonts w:asciiTheme="majorBidi" w:hAnsiTheme="majorBidi" w:cstheme="majorBidi"/>
          <w:sz w:val="24"/>
          <w:szCs w:val="24"/>
        </w:rPr>
        <w:t>D</w:t>
      </w:r>
      <w:r w:rsidRPr="00B92144">
        <w:rPr>
          <w:rFonts w:asciiTheme="majorBidi" w:hAnsiTheme="majorBidi" w:cstheme="majorBidi"/>
          <w:sz w:val="24"/>
          <w:szCs w:val="24"/>
        </w:rPr>
        <w:t xml:space="preserve"> index of the 169 banks </w:t>
      </w:r>
      <w:r w:rsidR="00365270" w:rsidRPr="00B92144">
        <w:rPr>
          <w:rFonts w:asciiTheme="majorBidi" w:hAnsiTheme="majorBidi" w:cstheme="majorBidi"/>
          <w:sz w:val="24"/>
          <w:szCs w:val="24"/>
        </w:rPr>
        <w:t>(72</w:t>
      </w:r>
      <w:r w:rsidRPr="00B92144">
        <w:rPr>
          <w:rFonts w:asciiTheme="majorBidi" w:hAnsiTheme="majorBidi" w:cstheme="majorBidi"/>
          <w:sz w:val="24"/>
          <w:szCs w:val="24"/>
        </w:rPr>
        <w:t xml:space="preserve"> </w:t>
      </w:r>
      <w:r w:rsidR="00365270" w:rsidRPr="00B92144">
        <w:rPr>
          <w:rFonts w:asciiTheme="majorBidi" w:hAnsiTheme="majorBidi" w:cstheme="majorBidi"/>
          <w:sz w:val="24"/>
          <w:szCs w:val="24"/>
        </w:rPr>
        <w:t>Islamic</w:t>
      </w:r>
      <w:r w:rsidRPr="00B92144">
        <w:rPr>
          <w:rFonts w:asciiTheme="majorBidi" w:hAnsiTheme="majorBidi" w:cstheme="majorBidi"/>
          <w:sz w:val="24"/>
          <w:szCs w:val="24"/>
        </w:rPr>
        <w:t xml:space="preserve"> </w:t>
      </w:r>
      <w:r w:rsidR="00365270" w:rsidRPr="00B92144">
        <w:rPr>
          <w:rFonts w:asciiTheme="majorBidi" w:hAnsiTheme="majorBidi" w:cstheme="majorBidi"/>
          <w:sz w:val="24"/>
          <w:szCs w:val="24"/>
        </w:rPr>
        <w:t>banks</w:t>
      </w:r>
      <w:r w:rsidRPr="00B92144">
        <w:rPr>
          <w:rFonts w:asciiTheme="majorBidi" w:hAnsiTheme="majorBidi" w:cstheme="majorBidi"/>
          <w:sz w:val="24"/>
          <w:szCs w:val="24"/>
        </w:rPr>
        <w:t xml:space="preserve"> and</w:t>
      </w:r>
      <w:r w:rsidR="00365270" w:rsidRPr="00B92144">
        <w:rPr>
          <w:rFonts w:asciiTheme="majorBidi" w:hAnsiTheme="majorBidi" w:cstheme="majorBidi"/>
          <w:sz w:val="24"/>
          <w:szCs w:val="24"/>
        </w:rPr>
        <w:t xml:space="preserve"> 97 conventional banks) o</w:t>
      </w:r>
      <w:r w:rsidRPr="00B92144">
        <w:rPr>
          <w:rFonts w:asciiTheme="majorBidi" w:hAnsiTheme="majorBidi" w:cstheme="majorBidi"/>
          <w:sz w:val="24"/>
          <w:szCs w:val="24"/>
        </w:rPr>
        <w:t>ver the period 20</w:t>
      </w:r>
      <w:r w:rsidR="00365270" w:rsidRPr="00B92144">
        <w:rPr>
          <w:rFonts w:asciiTheme="majorBidi" w:hAnsiTheme="majorBidi" w:cstheme="majorBidi"/>
          <w:sz w:val="24"/>
          <w:szCs w:val="24"/>
        </w:rPr>
        <w:t>0</w:t>
      </w:r>
      <w:r w:rsidR="00EE0AD8" w:rsidRPr="00B92144">
        <w:rPr>
          <w:rFonts w:asciiTheme="majorBidi" w:hAnsiTheme="majorBidi" w:cstheme="majorBidi"/>
          <w:sz w:val="24"/>
          <w:szCs w:val="24"/>
        </w:rPr>
        <w:t>9</w:t>
      </w:r>
      <w:r w:rsidRPr="00B92144">
        <w:rPr>
          <w:rFonts w:asciiTheme="majorBidi" w:hAnsiTheme="majorBidi" w:cstheme="majorBidi"/>
          <w:sz w:val="24"/>
          <w:szCs w:val="24"/>
        </w:rPr>
        <w:t>–201</w:t>
      </w:r>
      <w:r w:rsidR="00365270" w:rsidRPr="00B92144">
        <w:rPr>
          <w:rFonts w:asciiTheme="majorBidi" w:hAnsiTheme="majorBidi" w:cstheme="majorBidi"/>
          <w:sz w:val="24"/>
          <w:szCs w:val="24"/>
        </w:rPr>
        <w:t>4</w:t>
      </w:r>
      <w:r w:rsidRPr="00B92144">
        <w:rPr>
          <w:rFonts w:asciiTheme="majorBidi" w:hAnsiTheme="majorBidi" w:cstheme="majorBidi"/>
          <w:sz w:val="24"/>
          <w:szCs w:val="24"/>
        </w:rPr>
        <w:t xml:space="preserve">.Table 2 presents the descriptive statistics of the </w:t>
      </w:r>
      <w:r w:rsidR="00E938E3" w:rsidRPr="00B92144">
        <w:rPr>
          <w:rFonts w:asciiTheme="majorBidi" w:hAnsiTheme="majorBidi" w:cstheme="majorBidi"/>
          <w:sz w:val="24"/>
          <w:szCs w:val="24"/>
        </w:rPr>
        <w:t>R</w:t>
      </w:r>
      <w:r w:rsidR="00365270" w:rsidRPr="00B92144">
        <w:rPr>
          <w:rFonts w:asciiTheme="majorBidi" w:hAnsiTheme="majorBidi" w:cstheme="majorBidi"/>
          <w:sz w:val="24"/>
          <w:szCs w:val="24"/>
        </w:rPr>
        <w:t>R</w:t>
      </w:r>
      <w:r w:rsidR="007366B6" w:rsidRPr="00B92144">
        <w:rPr>
          <w:rFonts w:asciiTheme="majorBidi" w:hAnsiTheme="majorBidi" w:cstheme="majorBidi"/>
          <w:sz w:val="24"/>
          <w:szCs w:val="24"/>
        </w:rPr>
        <w:t>D</w:t>
      </w:r>
      <w:r w:rsidR="00365270" w:rsidRPr="00B92144">
        <w:rPr>
          <w:rFonts w:asciiTheme="majorBidi" w:hAnsiTheme="majorBidi" w:cstheme="majorBidi"/>
          <w:sz w:val="24"/>
          <w:szCs w:val="24"/>
        </w:rPr>
        <w:t xml:space="preserve"> </w:t>
      </w:r>
      <w:r w:rsidRPr="00B92144">
        <w:rPr>
          <w:rFonts w:asciiTheme="majorBidi" w:hAnsiTheme="majorBidi" w:cstheme="majorBidi"/>
          <w:sz w:val="24"/>
          <w:szCs w:val="24"/>
        </w:rPr>
        <w:t>Index scores across count</w:t>
      </w:r>
      <w:r w:rsidR="00365270" w:rsidRPr="00B92144">
        <w:rPr>
          <w:rFonts w:asciiTheme="majorBidi" w:hAnsiTheme="majorBidi" w:cstheme="majorBidi"/>
          <w:sz w:val="24"/>
          <w:szCs w:val="24"/>
        </w:rPr>
        <w:t>r</w:t>
      </w:r>
      <w:r w:rsidRPr="00B92144">
        <w:rPr>
          <w:rFonts w:asciiTheme="majorBidi" w:hAnsiTheme="majorBidi" w:cstheme="majorBidi"/>
          <w:sz w:val="24"/>
          <w:szCs w:val="24"/>
        </w:rPr>
        <w:t>ies. The results show that</w:t>
      </w:r>
      <w:r w:rsidR="004850CA" w:rsidRPr="00B92144">
        <w:rPr>
          <w:rFonts w:asciiTheme="majorBidi" w:hAnsiTheme="majorBidi" w:cstheme="majorBidi"/>
          <w:sz w:val="24"/>
          <w:szCs w:val="24"/>
        </w:rPr>
        <w:t>, over the years 2009 to 2014,</w:t>
      </w:r>
      <w:r w:rsidRPr="00B92144">
        <w:rPr>
          <w:rFonts w:asciiTheme="majorBidi" w:hAnsiTheme="majorBidi" w:cstheme="majorBidi"/>
          <w:sz w:val="24"/>
          <w:szCs w:val="24"/>
        </w:rPr>
        <w:t xml:space="preserve"> the average </w:t>
      </w:r>
      <w:r w:rsidR="00A952DF" w:rsidRPr="00B92144">
        <w:rPr>
          <w:rFonts w:asciiTheme="majorBidi" w:hAnsiTheme="majorBidi" w:cstheme="majorBidi"/>
          <w:sz w:val="24"/>
          <w:szCs w:val="24"/>
        </w:rPr>
        <w:t>a</w:t>
      </w:r>
      <w:r w:rsidR="004850CA" w:rsidRPr="00B92144">
        <w:rPr>
          <w:rFonts w:asciiTheme="majorBidi" w:hAnsiTheme="majorBidi" w:cstheme="majorBidi"/>
          <w:sz w:val="24"/>
          <w:szCs w:val="24"/>
        </w:rPr>
        <w:t xml:space="preserve">ggregate </w:t>
      </w:r>
      <w:r w:rsidR="007366B6" w:rsidRPr="00B92144">
        <w:rPr>
          <w:rFonts w:asciiTheme="majorBidi" w:hAnsiTheme="majorBidi" w:cstheme="majorBidi"/>
          <w:sz w:val="24"/>
          <w:szCs w:val="24"/>
        </w:rPr>
        <w:t>R</w:t>
      </w:r>
      <w:r w:rsidR="00A512F3" w:rsidRPr="00B92144">
        <w:rPr>
          <w:rFonts w:asciiTheme="majorBidi" w:hAnsiTheme="majorBidi" w:cstheme="majorBidi"/>
          <w:sz w:val="24"/>
          <w:szCs w:val="24"/>
        </w:rPr>
        <w:t>RD</w:t>
      </w:r>
      <w:r w:rsidR="004850CA" w:rsidRPr="00B92144">
        <w:rPr>
          <w:rFonts w:asciiTheme="majorBidi" w:hAnsiTheme="majorBidi" w:cstheme="majorBidi"/>
          <w:sz w:val="24"/>
          <w:szCs w:val="24"/>
        </w:rPr>
        <w:t xml:space="preserve"> Index is higher for </w:t>
      </w:r>
      <w:r w:rsidR="00A952DF" w:rsidRPr="00B92144">
        <w:rPr>
          <w:rFonts w:asciiTheme="majorBidi" w:hAnsiTheme="majorBidi" w:cstheme="majorBidi"/>
          <w:sz w:val="24"/>
          <w:szCs w:val="24"/>
        </w:rPr>
        <w:t>conventional</w:t>
      </w:r>
      <w:r w:rsidR="004850CA" w:rsidRPr="00B92144">
        <w:rPr>
          <w:rFonts w:asciiTheme="majorBidi" w:hAnsiTheme="majorBidi" w:cstheme="majorBidi"/>
          <w:sz w:val="24"/>
          <w:szCs w:val="24"/>
        </w:rPr>
        <w:t xml:space="preserve"> banks than </w:t>
      </w:r>
      <w:r w:rsidR="00A952DF" w:rsidRPr="00B92144">
        <w:rPr>
          <w:rFonts w:asciiTheme="majorBidi" w:hAnsiTheme="majorBidi" w:cstheme="majorBidi"/>
          <w:sz w:val="24"/>
          <w:szCs w:val="24"/>
        </w:rPr>
        <w:t>Islamic</w:t>
      </w:r>
      <w:r w:rsidR="004850CA" w:rsidRPr="00B92144">
        <w:rPr>
          <w:rFonts w:asciiTheme="majorBidi" w:hAnsiTheme="majorBidi" w:cstheme="majorBidi"/>
          <w:sz w:val="24"/>
          <w:szCs w:val="24"/>
        </w:rPr>
        <w:t xml:space="preserve"> banks</w:t>
      </w:r>
      <w:r w:rsidRPr="00B92144">
        <w:rPr>
          <w:rFonts w:asciiTheme="majorBidi" w:hAnsiTheme="majorBidi" w:cstheme="majorBidi"/>
          <w:sz w:val="24"/>
          <w:szCs w:val="24"/>
        </w:rPr>
        <w:t>.</w:t>
      </w:r>
      <w:r w:rsidR="004850CA" w:rsidRPr="00B92144">
        <w:rPr>
          <w:rFonts w:asciiTheme="majorBidi" w:hAnsiTheme="majorBidi" w:cstheme="majorBidi"/>
          <w:sz w:val="24"/>
          <w:szCs w:val="24"/>
        </w:rPr>
        <w:t xml:space="preserve"> The index scores show that the extent of disclosure across countries varies considerably. Regarding Islamic banks, Turkey has the highest </w:t>
      </w:r>
      <w:r w:rsidR="007366B6" w:rsidRPr="00B92144">
        <w:rPr>
          <w:rFonts w:asciiTheme="majorBidi" w:hAnsiTheme="majorBidi" w:cstheme="majorBidi"/>
          <w:sz w:val="24"/>
          <w:szCs w:val="24"/>
        </w:rPr>
        <w:t>R</w:t>
      </w:r>
      <w:r w:rsidR="00A512F3" w:rsidRPr="00B92144">
        <w:rPr>
          <w:rFonts w:asciiTheme="majorBidi" w:hAnsiTheme="majorBidi" w:cstheme="majorBidi"/>
          <w:sz w:val="24"/>
          <w:szCs w:val="24"/>
        </w:rPr>
        <w:t>RD</w:t>
      </w:r>
      <w:r w:rsidR="004850CA" w:rsidRPr="00B92144">
        <w:rPr>
          <w:rFonts w:asciiTheme="majorBidi" w:hAnsiTheme="majorBidi" w:cstheme="majorBidi"/>
          <w:sz w:val="24"/>
          <w:szCs w:val="24"/>
        </w:rPr>
        <w:t xml:space="preserve"> index score of 663, followed by Malaysia at 617 and Pakistan 449. The lowest scores are </w:t>
      </w:r>
      <w:r w:rsidR="00954294" w:rsidRPr="00B92144">
        <w:rPr>
          <w:rFonts w:asciiTheme="majorBidi" w:hAnsiTheme="majorBidi" w:cstheme="majorBidi"/>
          <w:sz w:val="24"/>
          <w:szCs w:val="24"/>
        </w:rPr>
        <w:t>observed</w:t>
      </w:r>
      <w:r w:rsidR="004850CA" w:rsidRPr="00B92144">
        <w:rPr>
          <w:rFonts w:asciiTheme="majorBidi" w:hAnsiTheme="majorBidi" w:cstheme="majorBidi"/>
          <w:sz w:val="24"/>
          <w:szCs w:val="24"/>
        </w:rPr>
        <w:t xml:space="preserve"> by Tunisia and Egypt, 20 and 168 in 2011 respectively. </w:t>
      </w:r>
      <w:r w:rsidR="007E0835" w:rsidRPr="00B92144">
        <w:rPr>
          <w:rFonts w:asciiTheme="majorBidi" w:hAnsiTheme="majorBidi" w:cstheme="majorBidi"/>
          <w:sz w:val="24"/>
          <w:szCs w:val="24"/>
        </w:rPr>
        <w:t xml:space="preserve">Regarding </w:t>
      </w:r>
      <w:r w:rsidR="00CD6A0E" w:rsidRPr="00B92144">
        <w:rPr>
          <w:rFonts w:asciiTheme="majorBidi" w:hAnsiTheme="majorBidi" w:cstheme="majorBidi"/>
          <w:sz w:val="24"/>
          <w:szCs w:val="24"/>
        </w:rPr>
        <w:t>conventional</w:t>
      </w:r>
      <w:r w:rsidR="007E0835" w:rsidRPr="00B92144">
        <w:rPr>
          <w:rFonts w:asciiTheme="majorBidi" w:hAnsiTheme="majorBidi" w:cstheme="majorBidi"/>
          <w:sz w:val="24"/>
          <w:szCs w:val="24"/>
        </w:rPr>
        <w:t xml:space="preserve"> banks, UAE has the highest </w:t>
      </w:r>
      <w:r w:rsidR="007366B6" w:rsidRPr="00B92144">
        <w:rPr>
          <w:rFonts w:asciiTheme="majorBidi" w:hAnsiTheme="majorBidi" w:cstheme="majorBidi"/>
          <w:sz w:val="24"/>
          <w:szCs w:val="24"/>
        </w:rPr>
        <w:t>R</w:t>
      </w:r>
      <w:r w:rsidR="00A512F3" w:rsidRPr="00B92144">
        <w:rPr>
          <w:rFonts w:asciiTheme="majorBidi" w:hAnsiTheme="majorBidi" w:cstheme="majorBidi"/>
          <w:sz w:val="24"/>
          <w:szCs w:val="24"/>
        </w:rPr>
        <w:t>RD</w:t>
      </w:r>
      <w:r w:rsidR="007E0835" w:rsidRPr="00B92144">
        <w:rPr>
          <w:rFonts w:asciiTheme="majorBidi" w:hAnsiTheme="majorBidi" w:cstheme="majorBidi"/>
          <w:sz w:val="24"/>
          <w:szCs w:val="24"/>
        </w:rPr>
        <w:t xml:space="preserve"> index score of 613, followed by Malaysia at 539 and Turkey 527. The lowest scores are </w:t>
      </w:r>
      <w:r w:rsidR="00954294" w:rsidRPr="00B92144">
        <w:rPr>
          <w:rFonts w:asciiTheme="majorBidi" w:hAnsiTheme="majorBidi" w:cstheme="majorBidi"/>
          <w:sz w:val="24"/>
          <w:szCs w:val="24"/>
        </w:rPr>
        <w:t>observed</w:t>
      </w:r>
      <w:r w:rsidR="007E0835" w:rsidRPr="00B92144">
        <w:rPr>
          <w:rFonts w:asciiTheme="majorBidi" w:hAnsiTheme="majorBidi" w:cstheme="majorBidi"/>
          <w:sz w:val="24"/>
          <w:szCs w:val="24"/>
        </w:rPr>
        <w:t xml:space="preserve"> also </w:t>
      </w:r>
      <w:r w:rsidR="00954294" w:rsidRPr="00B92144">
        <w:rPr>
          <w:rFonts w:asciiTheme="majorBidi" w:hAnsiTheme="majorBidi" w:cstheme="majorBidi"/>
          <w:sz w:val="24"/>
          <w:szCs w:val="24"/>
        </w:rPr>
        <w:t xml:space="preserve">in </w:t>
      </w:r>
      <w:r w:rsidR="007E0835" w:rsidRPr="00B92144">
        <w:rPr>
          <w:rFonts w:asciiTheme="majorBidi" w:hAnsiTheme="majorBidi" w:cstheme="majorBidi"/>
          <w:sz w:val="24"/>
          <w:szCs w:val="24"/>
        </w:rPr>
        <w:t>Tunisia</w:t>
      </w:r>
      <w:r w:rsidR="00954294" w:rsidRPr="00B92144">
        <w:rPr>
          <w:rFonts w:asciiTheme="majorBidi" w:hAnsiTheme="majorBidi" w:cstheme="majorBidi"/>
          <w:sz w:val="24"/>
          <w:szCs w:val="24"/>
        </w:rPr>
        <w:t>n</w:t>
      </w:r>
      <w:r w:rsidR="007E0835" w:rsidRPr="00B92144">
        <w:rPr>
          <w:rFonts w:asciiTheme="majorBidi" w:hAnsiTheme="majorBidi" w:cstheme="majorBidi"/>
          <w:sz w:val="24"/>
          <w:szCs w:val="24"/>
        </w:rPr>
        <w:t xml:space="preserve"> and Egypt</w:t>
      </w:r>
      <w:r w:rsidR="00954294" w:rsidRPr="00B92144">
        <w:rPr>
          <w:rFonts w:asciiTheme="majorBidi" w:hAnsiTheme="majorBidi" w:cstheme="majorBidi"/>
          <w:sz w:val="24"/>
          <w:szCs w:val="24"/>
        </w:rPr>
        <w:t>ian</w:t>
      </w:r>
      <w:r w:rsidR="00CD6A0E" w:rsidRPr="00B92144">
        <w:rPr>
          <w:rFonts w:asciiTheme="majorBidi" w:hAnsiTheme="majorBidi" w:cstheme="majorBidi"/>
          <w:sz w:val="24"/>
          <w:szCs w:val="24"/>
        </w:rPr>
        <w:t>’</w:t>
      </w:r>
      <w:r w:rsidR="00954294" w:rsidRPr="00B92144">
        <w:rPr>
          <w:rFonts w:asciiTheme="majorBidi" w:hAnsiTheme="majorBidi" w:cstheme="majorBidi"/>
          <w:sz w:val="24"/>
          <w:szCs w:val="24"/>
        </w:rPr>
        <w:t xml:space="preserve"> </w:t>
      </w:r>
      <w:r w:rsidR="00CD6A0E" w:rsidRPr="00B92144">
        <w:rPr>
          <w:rFonts w:asciiTheme="majorBidi" w:hAnsiTheme="majorBidi" w:cstheme="majorBidi"/>
          <w:sz w:val="24"/>
          <w:szCs w:val="24"/>
        </w:rPr>
        <w:t>conventional</w:t>
      </w:r>
      <w:r w:rsidR="00954294" w:rsidRPr="00B92144">
        <w:rPr>
          <w:rFonts w:asciiTheme="majorBidi" w:hAnsiTheme="majorBidi" w:cstheme="majorBidi"/>
          <w:sz w:val="24"/>
          <w:szCs w:val="24"/>
        </w:rPr>
        <w:t xml:space="preserve"> banks</w:t>
      </w:r>
      <w:r w:rsidR="007E0835" w:rsidRPr="00B92144">
        <w:rPr>
          <w:rFonts w:asciiTheme="majorBidi" w:hAnsiTheme="majorBidi" w:cstheme="majorBidi"/>
          <w:sz w:val="24"/>
          <w:szCs w:val="24"/>
        </w:rPr>
        <w:t>, 69 and 204 respectively.</w:t>
      </w:r>
      <w:r w:rsidR="00954294" w:rsidRPr="00B92144">
        <w:rPr>
          <w:rFonts w:asciiTheme="majorBidi" w:hAnsiTheme="majorBidi" w:cstheme="majorBidi"/>
        </w:rPr>
        <w:t xml:space="preserve"> </w:t>
      </w:r>
      <w:r w:rsidR="00954294" w:rsidRPr="00B92144">
        <w:rPr>
          <w:rFonts w:asciiTheme="majorBidi" w:hAnsiTheme="majorBidi" w:cstheme="majorBidi"/>
          <w:sz w:val="24"/>
          <w:szCs w:val="24"/>
        </w:rPr>
        <w:t xml:space="preserve">Table 2 shows that the level of RRD in Islamic and conventional banks evolve in parallel. In other words, countries experienced a high level of RRD in the annual reports of </w:t>
      </w:r>
      <w:r w:rsidR="00CD6A0E" w:rsidRPr="00B92144">
        <w:rPr>
          <w:rFonts w:asciiTheme="majorBidi" w:hAnsiTheme="majorBidi" w:cstheme="majorBidi"/>
          <w:sz w:val="24"/>
          <w:szCs w:val="24"/>
        </w:rPr>
        <w:t>conventional</w:t>
      </w:r>
      <w:r w:rsidR="00954294" w:rsidRPr="00B92144">
        <w:rPr>
          <w:rFonts w:asciiTheme="majorBidi" w:hAnsiTheme="majorBidi" w:cstheme="majorBidi"/>
          <w:sz w:val="24"/>
          <w:szCs w:val="24"/>
        </w:rPr>
        <w:t xml:space="preserve"> banks (or in Islamic banks) also are showing a high level of RRD in the annual reports of Islamic banks (or in non-Islamic banks) and vice versa. Our primary </w:t>
      </w:r>
      <w:r w:rsidR="00954294" w:rsidRPr="00B92144">
        <w:rPr>
          <w:rFonts w:asciiTheme="majorBidi" w:hAnsiTheme="majorBidi" w:cstheme="majorBidi"/>
          <w:sz w:val="24"/>
          <w:szCs w:val="24"/>
        </w:rPr>
        <w:lastRenderedPageBreak/>
        <w:t>finding provide insight that the country level dimensions play an important role on the level of RRD in the domestic banking sector.</w:t>
      </w:r>
    </w:p>
    <w:p w14:paraId="5EB4D136" w14:textId="5E246ED5" w:rsidR="004850CA" w:rsidRPr="00B92144" w:rsidRDefault="00020775" w:rsidP="00CD6A0E">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Table 3 presents the weighted average</w:t>
      </w:r>
      <w:r w:rsidR="00BD462C" w:rsidRPr="00B92144">
        <w:rPr>
          <w:rFonts w:asciiTheme="majorBidi" w:hAnsiTheme="majorBidi" w:cstheme="majorBidi"/>
          <w:sz w:val="24"/>
          <w:szCs w:val="24"/>
        </w:rPr>
        <w:t xml:space="preserve"> </w:t>
      </w:r>
      <w:r w:rsidR="007366B6" w:rsidRPr="00B92144">
        <w:rPr>
          <w:rFonts w:asciiTheme="majorBidi" w:hAnsiTheme="majorBidi" w:cstheme="majorBidi"/>
          <w:sz w:val="24"/>
          <w:szCs w:val="24"/>
        </w:rPr>
        <w:t>R</w:t>
      </w:r>
      <w:r w:rsidR="00A512F3" w:rsidRPr="00B92144">
        <w:rPr>
          <w:rFonts w:asciiTheme="majorBidi" w:hAnsiTheme="majorBidi" w:cstheme="majorBidi"/>
          <w:sz w:val="24"/>
          <w:szCs w:val="24"/>
        </w:rPr>
        <w:t>RD</w:t>
      </w:r>
      <w:r w:rsidRPr="00B92144">
        <w:rPr>
          <w:rFonts w:asciiTheme="majorBidi" w:hAnsiTheme="majorBidi" w:cstheme="majorBidi"/>
          <w:sz w:val="24"/>
          <w:szCs w:val="24"/>
        </w:rPr>
        <w:t xml:space="preserve"> index scores </w:t>
      </w:r>
      <w:r w:rsidR="00BD462C" w:rsidRPr="00B92144">
        <w:rPr>
          <w:rFonts w:asciiTheme="majorBidi" w:hAnsiTheme="majorBidi" w:cstheme="majorBidi"/>
          <w:sz w:val="24"/>
          <w:szCs w:val="24"/>
        </w:rPr>
        <w:t>during 2009-2014</w:t>
      </w:r>
      <w:r w:rsidRPr="00B92144">
        <w:rPr>
          <w:rFonts w:asciiTheme="majorBidi" w:hAnsiTheme="majorBidi" w:cstheme="majorBidi"/>
          <w:sz w:val="24"/>
          <w:szCs w:val="24"/>
        </w:rPr>
        <w:t xml:space="preserve">. As reflected in the analysis of the country’s </w:t>
      </w:r>
      <w:r w:rsidR="007366B6" w:rsidRPr="00B92144">
        <w:rPr>
          <w:rFonts w:asciiTheme="majorBidi" w:hAnsiTheme="majorBidi" w:cstheme="majorBidi"/>
          <w:sz w:val="24"/>
          <w:szCs w:val="24"/>
        </w:rPr>
        <w:t>R</w:t>
      </w:r>
      <w:r w:rsidR="00A512F3" w:rsidRPr="00B92144">
        <w:rPr>
          <w:rFonts w:asciiTheme="majorBidi" w:hAnsiTheme="majorBidi" w:cstheme="majorBidi"/>
          <w:sz w:val="24"/>
          <w:szCs w:val="24"/>
        </w:rPr>
        <w:t>RD</w:t>
      </w:r>
      <w:r w:rsidRPr="00B92144">
        <w:rPr>
          <w:rFonts w:asciiTheme="majorBidi" w:hAnsiTheme="majorBidi" w:cstheme="majorBidi"/>
          <w:sz w:val="24"/>
          <w:szCs w:val="24"/>
        </w:rPr>
        <w:t>, we find that</w:t>
      </w:r>
      <w:r w:rsidR="008F6A26" w:rsidRPr="00B92144">
        <w:rPr>
          <w:rFonts w:asciiTheme="majorBidi" w:hAnsiTheme="majorBidi" w:cstheme="majorBidi"/>
          <w:sz w:val="24"/>
          <w:szCs w:val="24"/>
        </w:rPr>
        <w:t xml:space="preserve">, for both Islamic and </w:t>
      </w:r>
      <w:r w:rsidR="00CD6A0E" w:rsidRPr="00B92144">
        <w:rPr>
          <w:rFonts w:asciiTheme="majorBidi" w:hAnsiTheme="majorBidi" w:cstheme="majorBidi"/>
          <w:sz w:val="24"/>
          <w:szCs w:val="24"/>
        </w:rPr>
        <w:t>conventional</w:t>
      </w:r>
      <w:r w:rsidR="008F6A26" w:rsidRPr="00B92144">
        <w:rPr>
          <w:rFonts w:asciiTheme="majorBidi" w:hAnsiTheme="majorBidi" w:cstheme="majorBidi"/>
          <w:sz w:val="24"/>
          <w:szCs w:val="24"/>
        </w:rPr>
        <w:t xml:space="preserve"> banks,</w:t>
      </w:r>
      <w:r w:rsidRPr="00B92144">
        <w:rPr>
          <w:rFonts w:asciiTheme="majorBidi" w:hAnsiTheme="majorBidi" w:cstheme="majorBidi"/>
          <w:sz w:val="24"/>
          <w:szCs w:val="24"/>
        </w:rPr>
        <w:t xml:space="preserve"> the </w:t>
      </w:r>
      <w:r w:rsidR="008F6A26" w:rsidRPr="00B92144">
        <w:rPr>
          <w:rFonts w:asciiTheme="majorBidi" w:hAnsiTheme="majorBidi" w:cstheme="majorBidi"/>
          <w:sz w:val="24"/>
          <w:szCs w:val="24"/>
        </w:rPr>
        <w:t>financial risk</w:t>
      </w:r>
      <w:r w:rsidRPr="00B92144">
        <w:rPr>
          <w:rFonts w:asciiTheme="majorBidi" w:hAnsiTheme="majorBidi" w:cstheme="majorBidi"/>
          <w:sz w:val="24"/>
          <w:szCs w:val="24"/>
        </w:rPr>
        <w:t xml:space="preserve"> dimension generally scores highly across all countries whilst the</w:t>
      </w:r>
      <w:r w:rsidR="00BD462C" w:rsidRPr="00B92144">
        <w:rPr>
          <w:rFonts w:asciiTheme="majorBidi" w:hAnsiTheme="majorBidi" w:cstheme="majorBidi"/>
          <w:sz w:val="24"/>
          <w:szCs w:val="24"/>
        </w:rPr>
        <w:t xml:space="preserve"> </w:t>
      </w:r>
      <w:r w:rsidR="00CD6A0E" w:rsidRPr="00B92144">
        <w:rPr>
          <w:rFonts w:asciiTheme="majorBidi" w:hAnsiTheme="majorBidi" w:cstheme="majorBidi"/>
          <w:sz w:val="24"/>
          <w:szCs w:val="24"/>
        </w:rPr>
        <w:t>s</w:t>
      </w:r>
      <w:r w:rsidR="008F6A26" w:rsidRPr="00B92144">
        <w:rPr>
          <w:rFonts w:asciiTheme="majorBidi" w:hAnsiTheme="majorBidi" w:cstheme="majorBidi"/>
          <w:sz w:val="24"/>
          <w:szCs w:val="24"/>
        </w:rPr>
        <w:t xml:space="preserve">egment </w:t>
      </w:r>
      <w:r w:rsidR="00CD6A0E" w:rsidRPr="00B92144">
        <w:rPr>
          <w:rFonts w:asciiTheme="majorBidi" w:hAnsiTheme="majorBidi" w:cstheme="majorBidi"/>
          <w:sz w:val="24"/>
          <w:szCs w:val="24"/>
        </w:rPr>
        <w:t>i</w:t>
      </w:r>
      <w:r w:rsidR="008F6A26" w:rsidRPr="00B92144">
        <w:rPr>
          <w:rFonts w:asciiTheme="majorBidi" w:hAnsiTheme="majorBidi" w:cstheme="majorBidi"/>
          <w:sz w:val="24"/>
          <w:szCs w:val="24"/>
        </w:rPr>
        <w:t xml:space="preserve">nformation </w:t>
      </w:r>
      <w:r w:rsidRPr="00B92144">
        <w:rPr>
          <w:rFonts w:asciiTheme="majorBidi" w:hAnsiTheme="majorBidi" w:cstheme="majorBidi"/>
          <w:sz w:val="24"/>
          <w:szCs w:val="24"/>
        </w:rPr>
        <w:t xml:space="preserve">scores the lowest. The highest disclosure score relates to </w:t>
      </w:r>
      <w:r w:rsidR="00351BA9" w:rsidRPr="00B92144">
        <w:rPr>
          <w:rFonts w:asciiTheme="majorBidi" w:hAnsiTheme="majorBidi" w:cstheme="majorBidi"/>
          <w:sz w:val="24"/>
          <w:szCs w:val="24"/>
        </w:rPr>
        <w:t xml:space="preserve">the financial risk dimension </w:t>
      </w:r>
      <w:r w:rsidRPr="00B92144">
        <w:rPr>
          <w:rFonts w:asciiTheme="majorBidi" w:hAnsiTheme="majorBidi" w:cstheme="majorBidi"/>
          <w:sz w:val="24"/>
          <w:szCs w:val="24"/>
        </w:rPr>
        <w:t>(D</w:t>
      </w:r>
      <w:r w:rsidR="00351BA9" w:rsidRPr="00B92144">
        <w:rPr>
          <w:rFonts w:asciiTheme="majorBidi" w:hAnsiTheme="majorBidi" w:cstheme="majorBidi"/>
          <w:sz w:val="24"/>
          <w:szCs w:val="24"/>
        </w:rPr>
        <w:t>2</w:t>
      </w:r>
      <w:r w:rsidRPr="00B92144">
        <w:rPr>
          <w:rFonts w:asciiTheme="majorBidi" w:hAnsiTheme="majorBidi" w:cstheme="majorBidi"/>
          <w:sz w:val="24"/>
          <w:szCs w:val="24"/>
        </w:rPr>
        <w:t xml:space="preserve">) which is </w:t>
      </w:r>
      <w:r w:rsidR="00351BA9" w:rsidRPr="00B92144">
        <w:rPr>
          <w:rFonts w:asciiTheme="majorBidi" w:hAnsiTheme="majorBidi" w:cstheme="majorBidi"/>
          <w:sz w:val="24"/>
          <w:szCs w:val="24"/>
        </w:rPr>
        <w:t>183 for Islamic banks and 167 for conventional banks</w:t>
      </w:r>
      <w:r w:rsidRPr="00B92144">
        <w:rPr>
          <w:rFonts w:asciiTheme="majorBidi" w:hAnsiTheme="majorBidi" w:cstheme="majorBidi"/>
          <w:sz w:val="24"/>
          <w:szCs w:val="24"/>
        </w:rPr>
        <w:t xml:space="preserve"> followed by the scores of </w:t>
      </w:r>
      <w:r w:rsidR="00351BA9" w:rsidRPr="00B92144">
        <w:rPr>
          <w:rFonts w:asciiTheme="majorBidi" w:hAnsiTheme="majorBidi" w:cstheme="majorBidi"/>
          <w:sz w:val="24"/>
          <w:szCs w:val="24"/>
        </w:rPr>
        <w:t xml:space="preserve">Financial instruments </w:t>
      </w:r>
      <w:r w:rsidRPr="00B92144">
        <w:rPr>
          <w:rFonts w:asciiTheme="majorBidi" w:hAnsiTheme="majorBidi" w:cstheme="majorBidi"/>
          <w:sz w:val="24"/>
          <w:szCs w:val="24"/>
        </w:rPr>
        <w:t>(D</w:t>
      </w:r>
      <w:r w:rsidR="00351BA9" w:rsidRPr="00B92144">
        <w:rPr>
          <w:rFonts w:asciiTheme="majorBidi" w:hAnsiTheme="majorBidi" w:cstheme="majorBidi"/>
          <w:sz w:val="24"/>
          <w:szCs w:val="24"/>
        </w:rPr>
        <w:t>4</w:t>
      </w:r>
      <w:r w:rsidRPr="00B92144">
        <w:rPr>
          <w:rFonts w:asciiTheme="majorBidi" w:hAnsiTheme="majorBidi" w:cstheme="majorBidi"/>
          <w:sz w:val="24"/>
          <w:szCs w:val="24"/>
        </w:rPr>
        <w:t>)</w:t>
      </w:r>
      <w:r w:rsidR="00351BA9" w:rsidRPr="00B92144">
        <w:rPr>
          <w:rFonts w:asciiTheme="majorBidi" w:hAnsiTheme="majorBidi" w:cstheme="majorBidi"/>
          <w:sz w:val="24"/>
          <w:szCs w:val="24"/>
        </w:rPr>
        <w:t xml:space="preserve"> for Islamic banks and accounting and presentation policies (D7)</w:t>
      </w:r>
      <w:r w:rsidRPr="00B92144">
        <w:rPr>
          <w:rFonts w:asciiTheme="majorBidi" w:hAnsiTheme="majorBidi" w:cstheme="majorBidi"/>
          <w:sz w:val="24"/>
          <w:szCs w:val="24"/>
        </w:rPr>
        <w:t>. On the other hand, the lowest disclosure score relates to</w:t>
      </w:r>
      <w:r w:rsidR="00CD6A0E" w:rsidRPr="00B92144">
        <w:rPr>
          <w:rFonts w:asciiTheme="majorBidi" w:hAnsiTheme="majorBidi" w:cstheme="majorBidi"/>
          <w:sz w:val="24"/>
          <w:szCs w:val="24"/>
        </w:rPr>
        <w:t xml:space="preserve"> s</w:t>
      </w:r>
      <w:r w:rsidR="004A1226" w:rsidRPr="00B92144">
        <w:rPr>
          <w:rFonts w:asciiTheme="majorBidi" w:hAnsiTheme="majorBidi" w:cstheme="majorBidi"/>
          <w:sz w:val="24"/>
          <w:szCs w:val="24"/>
        </w:rPr>
        <w:t xml:space="preserve">egment </w:t>
      </w:r>
      <w:r w:rsidR="00CD6A0E" w:rsidRPr="00B92144">
        <w:rPr>
          <w:rFonts w:asciiTheme="majorBidi" w:hAnsiTheme="majorBidi" w:cstheme="majorBidi"/>
          <w:sz w:val="24"/>
          <w:szCs w:val="24"/>
        </w:rPr>
        <w:t>i</w:t>
      </w:r>
      <w:r w:rsidR="004A1226" w:rsidRPr="00B92144">
        <w:rPr>
          <w:rFonts w:asciiTheme="majorBidi" w:hAnsiTheme="majorBidi" w:cstheme="majorBidi"/>
          <w:sz w:val="24"/>
          <w:szCs w:val="24"/>
        </w:rPr>
        <w:t>nformation</w:t>
      </w:r>
      <w:r w:rsidRPr="00B92144">
        <w:rPr>
          <w:rFonts w:asciiTheme="majorBidi" w:hAnsiTheme="majorBidi" w:cstheme="majorBidi"/>
          <w:sz w:val="24"/>
          <w:szCs w:val="24"/>
        </w:rPr>
        <w:t xml:space="preserve"> (D</w:t>
      </w:r>
      <w:r w:rsidR="004A1226" w:rsidRPr="00B92144">
        <w:rPr>
          <w:rFonts w:asciiTheme="majorBidi" w:hAnsiTheme="majorBidi" w:cstheme="majorBidi"/>
          <w:sz w:val="24"/>
          <w:szCs w:val="24"/>
        </w:rPr>
        <w:t>6</w:t>
      </w:r>
      <w:r w:rsidRPr="00B92144">
        <w:rPr>
          <w:rFonts w:asciiTheme="majorBidi" w:hAnsiTheme="majorBidi" w:cstheme="majorBidi"/>
          <w:sz w:val="24"/>
          <w:szCs w:val="24"/>
        </w:rPr>
        <w:t>) which has a weighted</w:t>
      </w:r>
      <w:r w:rsidR="004A1226"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average score of </w:t>
      </w:r>
      <w:r w:rsidR="004A1226" w:rsidRPr="00B92144">
        <w:rPr>
          <w:rFonts w:asciiTheme="majorBidi" w:hAnsiTheme="majorBidi" w:cstheme="majorBidi"/>
          <w:sz w:val="24"/>
          <w:szCs w:val="24"/>
        </w:rPr>
        <w:t xml:space="preserve">0.86 for Islamic banks and 9.08 for </w:t>
      </w:r>
      <w:r w:rsidR="00CD6A0E" w:rsidRPr="00B92144">
        <w:rPr>
          <w:rFonts w:asciiTheme="majorBidi" w:hAnsiTheme="majorBidi" w:cstheme="majorBidi"/>
          <w:sz w:val="24"/>
          <w:szCs w:val="24"/>
        </w:rPr>
        <w:t>conventional</w:t>
      </w:r>
      <w:r w:rsidR="004A1226" w:rsidRPr="00B92144">
        <w:rPr>
          <w:rFonts w:asciiTheme="majorBidi" w:hAnsiTheme="majorBidi" w:cstheme="majorBidi"/>
          <w:sz w:val="24"/>
          <w:szCs w:val="24"/>
        </w:rPr>
        <w:t xml:space="preserve"> banks.</w:t>
      </w:r>
      <w:r w:rsidRPr="00B92144">
        <w:rPr>
          <w:rFonts w:asciiTheme="majorBidi" w:hAnsiTheme="majorBidi" w:cstheme="majorBidi"/>
          <w:sz w:val="24"/>
          <w:szCs w:val="24"/>
        </w:rPr>
        <w:t xml:space="preserve"> This finding is consistent with the perception that banks pay relatively little attention to </w:t>
      </w:r>
      <w:r w:rsidR="004A1226" w:rsidRPr="00B92144">
        <w:rPr>
          <w:rFonts w:asciiTheme="majorBidi" w:hAnsiTheme="majorBidi" w:cstheme="majorBidi"/>
          <w:sz w:val="24"/>
          <w:szCs w:val="24"/>
        </w:rPr>
        <w:t>segments information</w:t>
      </w:r>
      <w:r w:rsidRPr="00B92144">
        <w:rPr>
          <w:rFonts w:asciiTheme="majorBidi" w:hAnsiTheme="majorBidi" w:cstheme="majorBidi"/>
          <w:sz w:val="24"/>
          <w:szCs w:val="24"/>
        </w:rPr>
        <w:t xml:space="preserve"> whereas the </w:t>
      </w:r>
      <w:r w:rsidR="004A1226" w:rsidRPr="00B92144">
        <w:rPr>
          <w:rFonts w:asciiTheme="majorBidi" w:hAnsiTheme="majorBidi" w:cstheme="majorBidi"/>
          <w:sz w:val="24"/>
          <w:szCs w:val="24"/>
        </w:rPr>
        <w:t xml:space="preserve">financial risk, financial instruments and accounting and presentation policies </w:t>
      </w:r>
      <w:r w:rsidRPr="00B92144">
        <w:rPr>
          <w:rFonts w:asciiTheme="majorBidi" w:hAnsiTheme="majorBidi" w:cstheme="majorBidi"/>
          <w:sz w:val="24"/>
          <w:szCs w:val="24"/>
        </w:rPr>
        <w:t>are areas that successful banks which want</w:t>
      </w:r>
      <w:r w:rsidR="004A1226"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to comply with best practice </w:t>
      </w:r>
      <w:r w:rsidR="004A1226" w:rsidRPr="00B92144">
        <w:rPr>
          <w:rFonts w:asciiTheme="majorBidi" w:hAnsiTheme="majorBidi" w:cstheme="majorBidi"/>
          <w:sz w:val="24"/>
          <w:szCs w:val="24"/>
        </w:rPr>
        <w:t>risk management</w:t>
      </w:r>
      <w:r w:rsidRPr="00B92144">
        <w:rPr>
          <w:rFonts w:asciiTheme="majorBidi" w:hAnsiTheme="majorBidi" w:cstheme="majorBidi"/>
          <w:sz w:val="24"/>
          <w:szCs w:val="24"/>
        </w:rPr>
        <w:t xml:space="preserve"> would place significant emphasis on. </w:t>
      </w:r>
    </w:p>
    <w:p w14:paraId="59CADD2E" w14:textId="19FE85D6" w:rsidR="00DC7CF5" w:rsidRPr="00B92144" w:rsidRDefault="00265E1C" w:rsidP="00475B41">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Table </w:t>
      </w:r>
      <w:r w:rsidR="00822564" w:rsidRPr="00B92144">
        <w:rPr>
          <w:rFonts w:asciiTheme="majorBidi" w:hAnsiTheme="majorBidi" w:cstheme="majorBidi"/>
          <w:sz w:val="24"/>
          <w:szCs w:val="24"/>
        </w:rPr>
        <w:t>4</w:t>
      </w:r>
      <w:r w:rsidRPr="00B92144">
        <w:rPr>
          <w:rFonts w:asciiTheme="majorBidi" w:hAnsiTheme="majorBidi" w:cstheme="majorBidi"/>
          <w:sz w:val="24"/>
          <w:szCs w:val="24"/>
        </w:rPr>
        <w:t xml:space="preserve"> presents the descriptive statistics of the covariates during 2009-2014. The sample size is 72 Islamic banks and 97 conventional banks across 1</w:t>
      </w:r>
      <w:r w:rsidR="00FB4B88" w:rsidRPr="00B92144">
        <w:rPr>
          <w:rFonts w:asciiTheme="majorBidi" w:hAnsiTheme="majorBidi" w:cstheme="majorBidi"/>
          <w:sz w:val="24"/>
          <w:szCs w:val="24"/>
        </w:rPr>
        <w:t>1</w:t>
      </w:r>
      <w:r w:rsidRPr="00B92144">
        <w:rPr>
          <w:rFonts w:asciiTheme="majorBidi" w:hAnsiTheme="majorBidi" w:cstheme="majorBidi"/>
          <w:sz w:val="24"/>
          <w:szCs w:val="24"/>
        </w:rPr>
        <w:t xml:space="preserve"> countries and the average </w:t>
      </w:r>
      <w:r w:rsidR="00A512F3" w:rsidRPr="00B92144">
        <w:rPr>
          <w:rFonts w:asciiTheme="majorBidi" w:hAnsiTheme="majorBidi" w:cstheme="majorBidi"/>
          <w:sz w:val="24"/>
          <w:szCs w:val="24"/>
        </w:rPr>
        <w:t>R</w:t>
      </w:r>
      <w:r w:rsidR="00475B41" w:rsidRPr="00B92144">
        <w:rPr>
          <w:rFonts w:asciiTheme="majorBidi" w:hAnsiTheme="majorBidi" w:cstheme="majorBidi"/>
          <w:sz w:val="24"/>
          <w:szCs w:val="24"/>
        </w:rPr>
        <w:t>R</w:t>
      </w:r>
      <w:r w:rsidR="00A512F3" w:rsidRPr="00B92144">
        <w:rPr>
          <w:rFonts w:asciiTheme="majorBidi" w:hAnsiTheme="majorBidi" w:cstheme="majorBidi"/>
          <w:sz w:val="24"/>
          <w:szCs w:val="24"/>
        </w:rPr>
        <w:t>D</w:t>
      </w:r>
      <w:r w:rsidRPr="00B92144">
        <w:rPr>
          <w:rFonts w:asciiTheme="majorBidi" w:hAnsiTheme="majorBidi" w:cstheme="majorBidi"/>
          <w:sz w:val="24"/>
          <w:szCs w:val="24"/>
        </w:rPr>
        <w:t xml:space="preserve"> index ranges from </w:t>
      </w:r>
      <w:r w:rsidR="006A59F9" w:rsidRPr="00B92144">
        <w:rPr>
          <w:rFonts w:asciiTheme="majorBidi" w:hAnsiTheme="majorBidi" w:cstheme="majorBidi"/>
          <w:sz w:val="24"/>
          <w:szCs w:val="24"/>
        </w:rPr>
        <w:t>10</w:t>
      </w:r>
      <w:r w:rsidRPr="00B92144">
        <w:rPr>
          <w:rFonts w:asciiTheme="majorBidi" w:hAnsiTheme="majorBidi" w:cstheme="majorBidi"/>
          <w:sz w:val="24"/>
          <w:szCs w:val="24"/>
        </w:rPr>
        <w:t xml:space="preserve"> </w:t>
      </w:r>
      <w:r w:rsidR="006A59F9" w:rsidRPr="00B92144">
        <w:rPr>
          <w:rFonts w:asciiTheme="majorBidi" w:hAnsiTheme="majorBidi" w:cstheme="majorBidi"/>
          <w:sz w:val="24"/>
          <w:szCs w:val="24"/>
        </w:rPr>
        <w:t xml:space="preserve">(for Islamic banks 10 and 20 for </w:t>
      </w:r>
      <w:r w:rsidR="00475B41" w:rsidRPr="00B92144">
        <w:rPr>
          <w:rFonts w:asciiTheme="majorBidi" w:hAnsiTheme="majorBidi" w:cstheme="majorBidi"/>
          <w:sz w:val="24"/>
          <w:szCs w:val="24"/>
        </w:rPr>
        <w:t>conventional</w:t>
      </w:r>
      <w:r w:rsidR="006A59F9" w:rsidRPr="00B92144">
        <w:rPr>
          <w:rFonts w:asciiTheme="majorBidi" w:hAnsiTheme="majorBidi" w:cstheme="majorBidi"/>
          <w:sz w:val="24"/>
          <w:szCs w:val="24"/>
        </w:rPr>
        <w:t xml:space="preserve"> banks) </w:t>
      </w:r>
      <w:r w:rsidRPr="00B92144">
        <w:rPr>
          <w:rFonts w:asciiTheme="majorBidi" w:hAnsiTheme="majorBidi" w:cstheme="majorBidi"/>
          <w:sz w:val="24"/>
          <w:szCs w:val="24"/>
        </w:rPr>
        <w:t>to</w:t>
      </w:r>
      <w:r w:rsidR="006A59F9" w:rsidRPr="00B92144">
        <w:rPr>
          <w:rFonts w:asciiTheme="majorBidi" w:hAnsiTheme="majorBidi" w:cstheme="majorBidi"/>
          <w:sz w:val="24"/>
          <w:szCs w:val="24"/>
        </w:rPr>
        <w:t xml:space="preserve"> 1684 (for Islamic banks 1684 and 1296 for </w:t>
      </w:r>
      <w:r w:rsidR="00475B41" w:rsidRPr="00B92144">
        <w:rPr>
          <w:rFonts w:asciiTheme="majorBidi" w:hAnsiTheme="majorBidi" w:cstheme="majorBidi"/>
          <w:sz w:val="24"/>
          <w:szCs w:val="24"/>
        </w:rPr>
        <w:t>conventional</w:t>
      </w:r>
      <w:r w:rsidR="006A59F9" w:rsidRPr="00B92144">
        <w:rPr>
          <w:rFonts w:asciiTheme="majorBidi" w:hAnsiTheme="majorBidi" w:cstheme="majorBidi"/>
          <w:sz w:val="24"/>
          <w:szCs w:val="24"/>
        </w:rPr>
        <w:t xml:space="preserve"> banks) </w:t>
      </w:r>
      <w:r w:rsidRPr="00B92144">
        <w:rPr>
          <w:rFonts w:asciiTheme="majorBidi" w:hAnsiTheme="majorBidi" w:cstheme="majorBidi"/>
          <w:sz w:val="24"/>
          <w:szCs w:val="24"/>
        </w:rPr>
        <w:t xml:space="preserve">with an average of </w:t>
      </w:r>
      <w:r w:rsidR="006A59F9" w:rsidRPr="00B92144">
        <w:rPr>
          <w:rFonts w:asciiTheme="majorBidi" w:hAnsiTheme="majorBidi" w:cstheme="majorBidi"/>
          <w:sz w:val="24"/>
          <w:szCs w:val="24"/>
        </w:rPr>
        <w:t xml:space="preserve">432 (for Islamic banks 420 and 440 for </w:t>
      </w:r>
      <w:r w:rsidR="00475B41" w:rsidRPr="00B92144">
        <w:rPr>
          <w:rFonts w:asciiTheme="majorBidi" w:hAnsiTheme="majorBidi" w:cstheme="majorBidi"/>
          <w:sz w:val="24"/>
          <w:szCs w:val="24"/>
        </w:rPr>
        <w:t>conventional</w:t>
      </w:r>
      <w:r w:rsidR="006A59F9" w:rsidRPr="00B92144">
        <w:rPr>
          <w:rFonts w:asciiTheme="majorBidi" w:hAnsiTheme="majorBidi" w:cstheme="majorBidi"/>
          <w:sz w:val="24"/>
          <w:szCs w:val="24"/>
        </w:rPr>
        <w:t xml:space="preserve"> banks). </w:t>
      </w:r>
      <w:r w:rsidRPr="00B92144">
        <w:rPr>
          <w:rFonts w:asciiTheme="majorBidi" w:hAnsiTheme="majorBidi" w:cstheme="majorBidi"/>
          <w:sz w:val="24"/>
          <w:szCs w:val="24"/>
        </w:rPr>
        <w:t xml:space="preserve"> The average return on assets (ROA) ranges from −</w:t>
      </w:r>
      <w:r w:rsidR="006A59F9" w:rsidRPr="00B92144">
        <w:rPr>
          <w:rFonts w:asciiTheme="majorBidi" w:hAnsiTheme="majorBidi" w:cstheme="majorBidi"/>
          <w:sz w:val="24"/>
          <w:szCs w:val="24"/>
        </w:rPr>
        <w:t>15</w:t>
      </w:r>
      <w:r w:rsidRPr="00B92144">
        <w:rPr>
          <w:rFonts w:asciiTheme="majorBidi" w:hAnsiTheme="majorBidi" w:cstheme="majorBidi"/>
          <w:sz w:val="24"/>
          <w:szCs w:val="24"/>
        </w:rPr>
        <w:t xml:space="preserve">% to </w:t>
      </w:r>
      <w:r w:rsidR="006A59F9" w:rsidRPr="00B92144">
        <w:rPr>
          <w:rFonts w:asciiTheme="majorBidi" w:hAnsiTheme="majorBidi" w:cstheme="majorBidi"/>
          <w:sz w:val="24"/>
          <w:szCs w:val="24"/>
        </w:rPr>
        <w:t>52</w:t>
      </w:r>
      <w:r w:rsidRPr="00B92144">
        <w:rPr>
          <w:rFonts w:asciiTheme="majorBidi" w:hAnsiTheme="majorBidi" w:cstheme="majorBidi"/>
          <w:sz w:val="24"/>
          <w:szCs w:val="24"/>
        </w:rPr>
        <w:t xml:space="preserve">% with an average </w:t>
      </w:r>
      <w:r w:rsidR="006A59F9" w:rsidRPr="00B92144">
        <w:rPr>
          <w:rFonts w:asciiTheme="majorBidi" w:hAnsiTheme="majorBidi" w:cstheme="majorBidi"/>
          <w:sz w:val="24"/>
          <w:szCs w:val="24"/>
        </w:rPr>
        <w:t>2</w:t>
      </w:r>
      <w:r w:rsidRPr="00B92144">
        <w:rPr>
          <w:rFonts w:asciiTheme="majorBidi" w:hAnsiTheme="majorBidi" w:cstheme="majorBidi"/>
          <w:sz w:val="24"/>
          <w:szCs w:val="24"/>
        </w:rPr>
        <w:t>%</w:t>
      </w:r>
      <w:r w:rsidR="006A59F9" w:rsidRPr="00B92144">
        <w:rPr>
          <w:rFonts w:asciiTheme="majorBidi" w:hAnsiTheme="majorBidi" w:cstheme="majorBidi"/>
          <w:sz w:val="24"/>
          <w:szCs w:val="24"/>
        </w:rPr>
        <w:t xml:space="preserve"> (both for Islamic and </w:t>
      </w:r>
      <w:r w:rsidR="00475B41" w:rsidRPr="00B92144">
        <w:rPr>
          <w:rFonts w:asciiTheme="majorBidi" w:hAnsiTheme="majorBidi" w:cstheme="majorBidi"/>
          <w:sz w:val="24"/>
          <w:szCs w:val="24"/>
        </w:rPr>
        <w:t>conventional</w:t>
      </w:r>
      <w:r w:rsidR="006A59F9" w:rsidRPr="00B92144">
        <w:rPr>
          <w:rFonts w:asciiTheme="majorBidi" w:hAnsiTheme="majorBidi" w:cstheme="majorBidi"/>
          <w:sz w:val="24"/>
          <w:szCs w:val="24"/>
        </w:rPr>
        <w:t xml:space="preserve"> banks is 2%)</w:t>
      </w:r>
      <w:r w:rsidRPr="00B92144">
        <w:rPr>
          <w:rFonts w:asciiTheme="majorBidi" w:hAnsiTheme="majorBidi" w:cstheme="majorBidi"/>
          <w:sz w:val="24"/>
          <w:szCs w:val="24"/>
        </w:rPr>
        <w:t xml:space="preserve">. </w:t>
      </w:r>
      <w:r w:rsidR="002F55A5" w:rsidRPr="00B92144">
        <w:rPr>
          <w:rFonts w:asciiTheme="majorBidi" w:hAnsiTheme="majorBidi" w:cstheme="majorBidi"/>
          <w:sz w:val="24"/>
          <w:szCs w:val="24"/>
        </w:rPr>
        <w:t xml:space="preserve">54% of banks constituting our sample are listed in the stock exchange (46% for Islamic banks and 60% for </w:t>
      </w:r>
      <w:r w:rsidR="00475B41" w:rsidRPr="00B92144">
        <w:rPr>
          <w:rFonts w:asciiTheme="majorBidi" w:hAnsiTheme="majorBidi" w:cstheme="majorBidi"/>
          <w:sz w:val="24"/>
          <w:szCs w:val="24"/>
        </w:rPr>
        <w:t>conventional</w:t>
      </w:r>
      <w:r w:rsidR="002F55A5" w:rsidRPr="00B92144">
        <w:rPr>
          <w:rFonts w:asciiTheme="majorBidi" w:hAnsiTheme="majorBidi" w:cstheme="majorBidi"/>
          <w:sz w:val="24"/>
          <w:szCs w:val="24"/>
        </w:rPr>
        <w:t xml:space="preserve"> banks). The average age of the banks constituting our sample is 31 years old (18 for Islamic banks and 41 for </w:t>
      </w:r>
      <w:r w:rsidR="00475B41" w:rsidRPr="00B92144">
        <w:rPr>
          <w:rFonts w:asciiTheme="majorBidi" w:hAnsiTheme="majorBidi" w:cstheme="majorBidi"/>
          <w:sz w:val="24"/>
          <w:szCs w:val="24"/>
        </w:rPr>
        <w:t>conventional</w:t>
      </w:r>
      <w:r w:rsidR="002F55A5" w:rsidRPr="00B92144">
        <w:rPr>
          <w:rFonts w:asciiTheme="majorBidi" w:hAnsiTheme="majorBidi" w:cstheme="majorBidi"/>
          <w:sz w:val="24"/>
          <w:szCs w:val="24"/>
        </w:rPr>
        <w:t xml:space="preserve"> banks).</w:t>
      </w:r>
      <w:r w:rsidR="00DC7CF5" w:rsidRPr="00B92144">
        <w:rPr>
          <w:rFonts w:asciiTheme="majorBidi" w:hAnsiTheme="majorBidi" w:cstheme="majorBidi"/>
          <w:sz w:val="24"/>
          <w:szCs w:val="24"/>
        </w:rPr>
        <w:t xml:space="preserve"> The average leverage is 64% (64% for Islamic banks and 63% for </w:t>
      </w:r>
      <w:r w:rsidR="00475B41" w:rsidRPr="00B92144">
        <w:rPr>
          <w:rFonts w:asciiTheme="majorBidi" w:hAnsiTheme="majorBidi" w:cstheme="majorBidi"/>
          <w:sz w:val="24"/>
          <w:szCs w:val="24"/>
        </w:rPr>
        <w:t>conventional</w:t>
      </w:r>
      <w:r w:rsidR="00DC7CF5" w:rsidRPr="00B92144">
        <w:rPr>
          <w:rFonts w:asciiTheme="majorBidi" w:hAnsiTheme="majorBidi" w:cstheme="majorBidi"/>
          <w:sz w:val="24"/>
          <w:szCs w:val="24"/>
        </w:rPr>
        <w:t xml:space="preserve"> banks). </w:t>
      </w:r>
    </w:p>
    <w:p w14:paraId="56942260" w14:textId="4325A677" w:rsidR="00DC7CF5" w:rsidRPr="00B92144" w:rsidRDefault="00265E1C" w:rsidP="007B5D96">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Table </w:t>
      </w:r>
      <w:r w:rsidR="00822564" w:rsidRPr="00B92144">
        <w:rPr>
          <w:rFonts w:asciiTheme="majorBidi" w:hAnsiTheme="majorBidi" w:cstheme="majorBidi"/>
          <w:sz w:val="24"/>
          <w:szCs w:val="24"/>
        </w:rPr>
        <w:t>4</w:t>
      </w:r>
      <w:r w:rsidRPr="00B92144">
        <w:rPr>
          <w:rFonts w:asciiTheme="majorBidi" w:hAnsiTheme="majorBidi" w:cstheme="majorBidi"/>
          <w:sz w:val="24"/>
          <w:szCs w:val="24"/>
        </w:rPr>
        <w:t xml:space="preserve"> also reports</w:t>
      </w:r>
      <w:r w:rsidR="00DC7CF5"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that </w:t>
      </w:r>
      <w:r w:rsidR="00DC7CF5" w:rsidRPr="00B92144">
        <w:rPr>
          <w:rFonts w:asciiTheme="majorBidi" w:hAnsiTheme="majorBidi" w:cstheme="majorBidi"/>
          <w:sz w:val="24"/>
          <w:szCs w:val="24"/>
        </w:rPr>
        <w:t>the number of block holders range from 0 to 7</w:t>
      </w:r>
      <w:r w:rsidRPr="00B92144">
        <w:rPr>
          <w:rFonts w:asciiTheme="majorBidi" w:hAnsiTheme="majorBidi" w:cstheme="majorBidi"/>
          <w:sz w:val="24"/>
          <w:szCs w:val="24"/>
        </w:rPr>
        <w:t xml:space="preserve"> size ranges from 2 to 9 members with mean value of </w:t>
      </w:r>
      <w:r w:rsidR="00DC7CF5" w:rsidRPr="00B92144">
        <w:rPr>
          <w:rFonts w:asciiTheme="majorBidi" w:hAnsiTheme="majorBidi" w:cstheme="majorBidi"/>
          <w:sz w:val="24"/>
          <w:szCs w:val="24"/>
        </w:rPr>
        <w:t xml:space="preserve">2.54 (2.25 for Islamic banks and 2.86 for </w:t>
      </w:r>
      <w:r w:rsidR="007B5D96" w:rsidRPr="00B92144">
        <w:rPr>
          <w:rFonts w:asciiTheme="majorBidi" w:hAnsiTheme="majorBidi" w:cstheme="majorBidi"/>
          <w:sz w:val="24"/>
          <w:szCs w:val="24"/>
        </w:rPr>
        <w:t>conventional</w:t>
      </w:r>
      <w:r w:rsidR="00DC7CF5" w:rsidRPr="00B92144">
        <w:rPr>
          <w:rFonts w:asciiTheme="majorBidi" w:hAnsiTheme="majorBidi" w:cstheme="majorBidi"/>
          <w:sz w:val="24"/>
          <w:szCs w:val="24"/>
        </w:rPr>
        <w:t xml:space="preserve"> banks)</w:t>
      </w:r>
      <w:r w:rsidRPr="00B92144">
        <w:rPr>
          <w:rFonts w:asciiTheme="majorBidi" w:hAnsiTheme="majorBidi" w:cstheme="majorBidi"/>
          <w:sz w:val="24"/>
          <w:szCs w:val="24"/>
        </w:rPr>
        <w:t xml:space="preserve">, whereas the average </w:t>
      </w:r>
      <w:r w:rsidR="00A43BFB" w:rsidRPr="00B92144">
        <w:rPr>
          <w:rFonts w:asciiTheme="majorBidi" w:hAnsiTheme="majorBidi" w:cstheme="majorBidi"/>
          <w:sz w:val="24"/>
          <w:szCs w:val="24"/>
        </w:rPr>
        <w:t xml:space="preserve">foreign ownership </w:t>
      </w:r>
      <w:r w:rsidRPr="00B92144">
        <w:rPr>
          <w:rFonts w:asciiTheme="majorBidi" w:hAnsiTheme="majorBidi" w:cstheme="majorBidi"/>
          <w:sz w:val="24"/>
          <w:szCs w:val="24"/>
        </w:rPr>
        <w:t xml:space="preserve">is </w:t>
      </w:r>
      <w:r w:rsidR="00A43BFB" w:rsidRPr="00B92144">
        <w:rPr>
          <w:rFonts w:asciiTheme="majorBidi" w:hAnsiTheme="majorBidi" w:cstheme="majorBidi"/>
          <w:sz w:val="24"/>
          <w:szCs w:val="24"/>
        </w:rPr>
        <w:t xml:space="preserve">38% (49% for Islamic banks and 26% </w:t>
      </w:r>
      <w:r w:rsidR="007B5D96" w:rsidRPr="00B92144">
        <w:rPr>
          <w:rFonts w:asciiTheme="majorBidi" w:hAnsiTheme="majorBidi" w:cstheme="majorBidi"/>
          <w:sz w:val="24"/>
          <w:szCs w:val="24"/>
        </w:rPr>
        <w:t>for conventional</w:t>
      </w:r>
      <w:r w:rsidR="00A43BFB" w:rsidRPr="00B92144">
        <w:rPr>
          <w:rFonts w:asciiTheme="majorBidi" w:hAnsiTheme="majorBidi" w:cstheme="majorBidi"/>
          <w:sz w:val="24"/>
          <w:szCs w:val="24"/>
        </w:rPr>
        <w:t xml:space="preserve"> banks). The average board size is 9.28 members (8.9 member in Islamic banks and 9.71 members in </w:t>
      </w:r>
      <w:r w:rsidR="007B5D96" w:rsidRPr="00B92144">
        <w:rPr>
          <w:rFonts w:asciiTheme="majorBidi" w:hAnsiTheme="majorBidi" w:cstheme="majorBidi"/>
          <w:sz w:val="24"/>
          <w:szCs w:val="24"/>
        </w:rPr>
        <w:t>conventional</w:t>
      </w:r>
      <w:r w:rsidR="00A43BFB" w:rsidRPr="00B92144">
        <w:rPr>
          <w:rFonts w:asciiTheme="majorBidi" w:hAnsiTheme="majorBidi" w:cstheme="majorBidi"/>
          <w:sz w:val="24"/>
          <w:szCs w:val="24"/>
        </w:rPr>
        <w:t xml:space="preserve"> banks) with standard deviation 2.09. </w:t>
      </w:r>
      <w:r w:rsidR="005003C4" w:rsidRPr="00B92144">
        <w:rPr>
          <w:rFonts w:asciiTheme="majorBidi" w:hAnsiTheme="majorBidi" w:cstheme="majorBidi"/>
          <w:sz w:val="24"/>
          <w:szCs w:val="24"/>
        </w:rPr>
        <w:t>In</w:t>
      </w:r>
      <w:r w:rsidR="00A43BFB" w:rsidRPr="00B92144">
        <w:rPr>
          <w:rFonts w:asciiTheme="majorBidi" w:hAnsiTheme="majorBidi" w:cstheme="majorBidi"/>
          <w:sz w:val="24"/>
          <w:szCs w:val="24"/>
        </w:rPr>
        <w:t xml:space="preserve"> average 56% of the board members are independent directors (64% for Islamic banks and 46% for </w:t>
      </w:r>
      <w:r w:rsidR="007B5D96" w:rsidRPr="00B92144">
        <w:rPr>
          <w:rFonts w:asciiTheme="majorBidi" w:hAnsiTheme="majorBidi" w:cstheme="majorBidi"/>
          <w:sz w:val="24"/>
          <w:szCs w:val="24"/>
        </w:rPr>
        <w:t>conventional</w:t>
      </w:r>
      <w:r w:rsidR="00A43BFB" w:rsidRPr="00B92144">
        <w:rPr>
          <w:rFonts w:asciiTheme="majorBidi" w:hAnsiTheme="majorBidi" w:cstheme="majorBidi"/>
          <w:sz w:val="24"/>
          <w:szCs w:val="24"/>
        </w:rPr>
        <w:t xml:space="preserve"> banks), in addition the proportion of foreign directors in the board is 31% on average (41% for Islamic banks and 21% </w:t>
      </w:r>
      <w:r w:rsidR="00A43BFB" w:rsidRPr="00B92144">
        <w:rPr>
          <w:rFonts w:asciiTheme="majorBidi" w:hAnsiTheme="majorBidi" w:cstheme="majorBidi"/>
          <w:sz w:val="24"/>
          <w:szCs w:val="24"/>
        </w:rPr>
        <w:lastRenderedPageBreak/>
        <w:t xml:space="preserve">for </w:t>
      </w:r>
      <w:r w:rsidR="007B5D96" w:rsidRPr="00B92144">
        <w:rPr>
          <w:rFonts w:asciiTheme="majorBidi" w:hAnsiTheme="majorBidi" w:cstheme="majorBidi"/>
          <w:sz w:val="24"/>
          <w:szCs w:val="24"/>
        </w:rPr>
        <w:t>conventional</w:t>
      </w:r>
      <w:r w:rsidR="00A43BFB" w:rsidRPr="00B92144">
        <w:rPr>
          <w:rFonts w:asciiTheme="majorBidi" w:hAnsiTheme="majorBidi" w:cstheme="majorBidi"/>
          <w:sz w:val="24"/>
          <w:szCs w:val="24"/>
        </w:rPr>
        <w:t xml:space="preserve"> banks). </w:t>
      </w:r>
      <w:r w:rsidRPr="00B92144">
        <w:rPr>
          <w:rFonts w:asciiTheme="majorBidi" w:hAnsiTheme="majorBidi" w:cstheme="majorBidi"/>
          <w:sz w:val="24"/>
          <w:szCs w:val="24"/>
        </w:rPr>
        <w:t xml:space="preserve">The average </w:t>
      </w:r>
      <w:r w:rsidR="005003C4" w:rsidRPr="00B92144">
        <w:rPr>
          <w:rFonts w:asciiTheme="majorBidi" w:hAnsiTheme="majorBidi" w:cstheme="majorBidi"/>
          <w:sz w:val="24"/>
          <w:szCs w:val="24"/>
        </w:rPr>
        <w:t>tier 1</w:t>
      </w:r>
      <w:r w:rsidRPr="00B92144">
        <w:rPr>
          <w:rFonts w:asciiTheme="majorBidi" w:hAnsiTheme="majorBidi" w:cstheme="majorBidi"/>
          <w:sz w:val="24"/>
          <w:szCs w:val="24"/>
        </w:rPr>
        <w:t xml:space="preserve"> ratio </w:t>
      </w:r>
      <w:r w:rsidR="005003C4" w:rsidRPr="00B92144">
        <w:rPr>
          <w:rFonts w:asciiTheme="majorBidi" w:hAnsiTheme="majorBidi" w:cstheme="majorBidi"/>
          <w:sz w:val="24"/>
          <w:szCs w:val="24"/>
        </w:rPr>
        <w:t xml:space="preserve">is 3.03% (4.57%for Islamic banks and 1.2% for </w:t>
      </w:r>
      <w:r w:rsidR="007B5D96" w:rsidRPr="00B92144">
        <w:rPr>
          <w:rFonts w:asciiTheme="majorBidi" w:hAnsiTheme="majorBidi" w:cstheme="majorBidi"/>
          <w:sz w:val="24"/>
          <w:szCs w:val="24"/>
        </w:rPr>
        <w:t>conventional</w:t>
      </w:r>
      <w:r w:rsidR="005003C4" w:rsidRPr="00B92144">
        <w:rPr>
          <w:rFonts w:asciiTheme="majorBidi" w:hAnsiTheme="majorBidi" w:cstheme="majorBidi"/>
          <w:sz w:val="24"/>
          <w:szCs w:val="24"/>
        </w:rPr>
        <w:t xml:space="preserve"> banks).</w:t>
      </w:r>
      <w:r w:rsidRPr="00B92144">
        <w:rPr>
          <w:rFonts w:asciiTheme="majorBidi" w:hAnsiTheme="majorBidi" w:cstheme="majorBidi"/>
          <w:sz w:val="24"/>
          <w:szCs w:val="24"/>
        </w:rPr>
        <w:t xml:space="preserve"> </w:t>
      </w:r>
    </w:p>
    <w:p w14:paraId="0BF78F99" w14:textId="77777777" w:rsidR="00265E1C" w:rsidRPr="00B92144" w:rsidRDefault="00265E1C" w:rsidP="004850CA">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Table </w:t>
      </w:r>
      <w:r w:rsidR="00822564" w:rsidRPr="00B92144">
        <w:rPr>
          <w:rFonts w:asciiTheme="majorBidi" w:hAnsiTheme="majorBidi" w:cstheme="majorBidi"/>
          <w:sz w:val="24"/>
          <w:szCs w:val="24"/>
        </w:rPr>
        <w:t>5</w:t>
      </w:r>
      <w:r w:rsidRPr="00B92144">
        <w:rPr>
          <w:rFonts w:asciiTheme="majorBidi" w:hAnsiTheme="majorBidi" w:cstheme="majorBidi"/>
          <w:sz w:val="24"/>
          <w:szCs w:val="24"/>
        </w:rPr>
        <w:t xml:space="preserve"> reports the outputs of the correlation matrix of the covariates used in the analysis. It is clear that there are no significant correlation coefficients greater than 50%, therefore our estimation is not subject to multicollinearity problem.</w:t>
      </w:r>
    </w:p>
    <w:p w14:paraId="145603B7" w14:textId="1DF0A9EE" w:rsidR="00EE1F82" w:rsidRPr="00B92144" w:rsidRDefault="002A692E" w:rsidP="00C729D1">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Table </w:t>
      </w:r>
      <w:r w:rsidR="00AF6B93" w:rsidRPr="00B92144">
        <w:rPr>
          <w:rFonts w:asciiTheme="majorBidi" w:hAnsiTheme="majorBidi" w:cstheme="majorBidi"/>
          <w:sz w:val="24"/>
          <w:szCs w:val="24"/>
        </w:rPr>
        <w:t>6</w:t>
      </w:r>
      <w:r w:rsidRPr="00B92144">
        <w:rPr>
          <w:rFonts w:asciiTheme="majorBidi" w:hAnsiTheme="majorBidi" w:cstheme="majorBidi"/>
          <w:sz w:val="24"/>
          <w:szCs w:val="24"/>
        </w:rPr>
        <w:t xml:space="preserve"> presents the outputs of Eq. (2) in which we investigate the main determinants of </w:t>
      </w:r>
      <w:r w:rsidR="007366B6" w:rsidRPr="00B92144">
        <w:rPr>
          <w:rFonts w:asciiTheme="majorBidi" w:hAnsiTheme="majorBidi" w:cstheme="majorBidi"/>
          <w:sz w:val="24"/>
          <w:szCs w:val="24"/>
        </w:rPr>
        <w:t>RRD</w:t>
      </w:r>
      <w:r w:rsidRPr="00B92144">
        <w:rPr>
          <w:rFonts w:asciiTheme="majorBidi" w:hAnsiTheme="majorBidi" w:cstheme="majorBidi"/>
          <w:sz w:val="24"/>
          <w:szCs w:val="24"/>
        </w:rPr>
        <w:t xml:space="preserve"> in particular</w:t>
      </w:r>
      <w:r w:rsidR="00AF6B93" w:rsidRPr="00B92144">
        <w:rPr>
          <w:rFonts w:asciiTheme="majorBidi" w:hAnsiTheme="majorBidi" w:cstheme="majorBidi"/>
          <w:sz w:val="24"/>
          <w:szCs w:val="24"/>
        </w:rPr>
        <w:t xml:space="preserve"> </w:t>
      </w:r>
      <w:r w:rsidR="009E5143" w:rsidRPr="00B92144">
        <w:rPr>
          <w:rFonts w:asciiTheme="majorBidi" w:hAnsiTheme="majorBidi" w:cstheme="majorBidi"/>
          <w:sz w:val="24"/>
          <w:szCs w:val="24"/>
        </w:rPr>
        <w:t xml:space="preserve">some corporate attributes, </w:t>
      </w:r>
      <w:r w:rsidR="00AF6B93" w:rsidRPr="00B92144">
        <w:rPr>
          <w:rFonts w:asciiTheme="majorBidi" w:hAnsiTheme="majorBidi" w:cstheme="majorBidi"/>
          <w:sz w:val="24"/>
          <w:szCs w:val="24"/>
        </w:rPr>
        <w:t>ownership characteristics</w:t>
      </w:r>
      <w:r w:rsidR="009E5143" w:rsidRPr="00B92144">
        <w:rPr>
          <w:rFonts w:asciiTheme="majorBidi" w:hAnsiTheme="majorBidi" w:cstheme="majorBidi"/>
          <w:sz w:val="24"/>
          <w:szCs w:val="24"/>
        </w:rPr>
        <w:t xml:space="preserve"> and </w:t>
      </w:r>
      <w:r w:rsidR="00AF6B93" w:rsidRPr="00B92144">
        <w:rPr>
          <w:rFonts w:asciiTheme="majorBidi" w:hAnsiTheme="majorBidi" w:cstheme="majorBidi"/>
          <w:sz w:val="24"/>
          <w:szCs w:val="24"/>
        </w:rPr>
        <w:t xml:space="preserve">corporate governance </w:t>
      </w:r>
      <w:r w:rsidR="009E5143" w:rsidRPr="00B92144">
        <w:rPr>
          <w:rFonts w:asciiTheme="majorBidi" w:hAnsiTheme="majorBidi" w:cstheme="majorBidi"/>
          <w:sz w:val="24"/>
          <w:szCs w:val="24"/>
        </w:rPr>
        <w:t>mechanisms</w:t>
      </w:r>
      <w:r w:rsidRPr="00B92144">
        <w:rPr>
          <w:rFonts w:asciiTheme="majorBidi" w:hAnsiTheme="majorBidi" w:cstheme="majorBidi"/>
          <w:sz w:val="24"/>
          <w:szCs w:val="24"/>
        </w:rPr>
        <w:t xml:space="preserve"> using cross sectional analysis </w:t>
      </w:r>
      <w:r w:rsidR="00AF6B93" w:rsidRPr="00B92144">
        <w:rPr>
          <w:rFonts w:asciiTheme="majorBidi" w:hAnsiTheme="majorBidi" w:cstheme="majorBidi"/>
          <w:sz w:val="24"/>
          <w:szCs w:val="24"/>
        </w:rPr>
        <w:t>over the period 2009 to 2014</w:t>
      </w:r>
      <w:r w:rsidRPr="00B92144">
        <w:rPr>
          <w:rFonts w:asciiTheme="majorBidi" w:hAnsiTheme="majorBidi" w:cstheme="majorBidi"/>
          <w:sz w:val="24"/>
          <w:szCs w:val="24"/>
        </w:rPr>
        <w:t>.</w:t>
      </w:r>
      <w:r w:rsidR="00AF6B93" w:rsidRPr="00B92144">
        <w:rPr>
          <w:rFonts w:asciiTheme="majorBidi" w:hAnsiTheme="majorBidi" w:cstheme="majorBidi"/>
          <w:sz w:val="24"/>
          <w:szCs w:val="24"/>
        </w:rPr>
        <w:t xml:space="preserve"> </w:t>
      </w:r>
      <w:r w:rsidRPr="00B92144">
        <w:rPr>
          <w:rFonts w:asciiTheme="majorBidi" w:hAnsiTheme="majorBidi" w:cstheme="majorBidi"/>
          <w:sz w:val="24"/>
          <w:szCs w:val="24"/>
        </w:rPr>
        <w:t>Panel</w:t>
      </w:r>
      <w:r w:rsidR="00AF6B93" w:rsidRPr="00B92144">
        <w:rPr>
          <w:rFonts w:asciiTheme="majorBidi" w:hAnsiTheme="majorBidi" w:cstheme="majorBidi"/>
          <w:sz w:val="24"/>
          <w:szCs w:val="24"/>
        </w:rPr>
        <w:t xml:space="preserve">s A, B </w:t>
      </w:r>
      <w:r w:rsidRPr="00B92144">
        <w:rPr>
          <w:rFonts w:asciiTheme="majorBidi" w:hAnsiTheme="majorBidi" w:cstheme="majorBidi"/>
          <w:sz w:val="24"/>
          <w:szCs w:val="24"/>
        </w:rPr>
        <w:t xml:space="preserve">and </w:t>
      </w:r>
      <w:r w:rsidR="00AF6B93" w:rsidRPr="00B92144">
        <w:rPr>
          <w:rFonts w:asciiTheme="majorBidi" w:hAnsiTheme="majorBidi" w:cstheme="majorBidi"/>
          <w:sz w:val="24"/>
          <w:szCs w:val="24"/>
        </w:rPr>
        <w:t>C</w:t>
      </w:r>
      <w:r w:rsidRPr="00B92144">
        <w:rPr>
          <w:rFonts w:asciiTheme="majorBidi" w:hAnsiTheme="majorBidi" w:cstheme="majorBidi"/>
          <w:sz w:val="24"/>
          <w:szCs w:val="24"/>
        </w:rPr>
        <w:t xml:space="preserve"> report the estimation outputs </w:t>
      </w:r>
      <w:r w:rsidR="00AF6B93" w:rsidRPr="00B92144">
        <w:rPr>
          <w:rFonts w:asciiTheme="majorBidi" w:hAnsiTheme="majorBidi" w:cstheme="majorBidi"/>
          <w:sz w:val="24"/>
          <w:szCs w:val="24"/>
        </w:rPr>
        <w:t xml:space="preserve">for pooled sample, Islamic bank sample and </w:t>
      </w:r>
      <w:r w:rsidR="00C729D1" w:rsidRPr="00B92144">
        <w:rPr>
          <w:rFonts w:asciiTheme="majorBidi" w:hAnsiTheme="majorBidi" w:cstheme="majorBidi"/>
          <w:sz w:val="24"/>
          <w:szCs w:val="24"/>
        </w:rPr>
        <w:t>conventional</w:t>
      </w:r>
      <w:r w:rsidR="00AF6B93" w:rsidRPr="00B92144">
        <w:rPr>
          <w:rFonts w:asciiTheme="majorBidi" w:hAnsiTheme="majorBidi" w:cstheme="majorBidi"/>
          <w:sz w:val="24"/>
          <w:szCs w:val="24"/>
        </w:rPr>
        <w:t xml:space="preserve"> banks sample</w:t>
      </w:r>
      <w:r w:rsidRPr="00B92144">
        <w:rPr>
          <w:rFonts w:asciiTheme="majorBidi" w:hAnsiTheme="majorBidi" w:cstheme="majorBidi"/>
          <w:sz w:val="24"/>
          <w:szCs w:val="24"/>
        </w:rPr>
        <w:t xml:space="preserve"> respectively over</w:t>
      </w:r>
      <w:r w:rsidR="00AF6B93"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the </w:t>
      </w:r>
      <w:r w:rsidR="00C729D1" w:rsidRPr="00B92144">
        <w:rPr>
          <w:rFonts w:asciiTheme="majorBidi" w:hAnsiTheme="majorBidi" w:cstheme="majorBidi"/>
          <w:sz w:val="24"/>
          <w:szCs w:val="24"/>
        </w:rPr>
        <w:t>observed</w:t>
      </w:r>
      <w:r w:rsidRPr="00B92144">
        <w:rPr>
          <w:rFonts w:asciiTheme="majorBidi" w:hAnsiTheme="majorBidi" w:cstheme="majorBidi"/>
          <w:sz w:val="24"/>
          <w:szCs w:val="24"/>
        </w:rPr>
        <w:t xml:space="preserve"> </w:t>
      </w:r>
      <w:r w:rsidR="0094299A" w:rsidRPr="00B92144">
        <w:rPr>
          <w:rFonts w:asciiTheme="majorBidi" w:hAnsiTheme="majorBidi" w:cstheme="majorBidi"/>
          <w:sz w:val="24"/>
          <w:szCs w:val="24"/>
        </w:rPr>
        <w:t xml:space="preserve">6 </w:t>
      </w:r>
      <w:r w:rsidR="00557C0D" w:rsidRPr="00B92144">
        <w:rPr>
          <w:rFonts w:asciiTheme="majorBidi" w:hAnsiTheme="majorBidi" w:cstheme="majorBidi"/>
          <w:sz w:val="24"/>
          <w:szCs w:val="24"/>
        </w:rPr>
        <w:t>years. Results show that Islamic banks disclose less information about risk than conventional banks.</w:t>
      </w:r>
      <w:r w:rsidR="000D6AA5" w:rsidRPr="00B92144">
        <w:rPr>
          <w:rFonts w:asciiTheme="majorBidi" w:hAnsiTheme="majorBidi" w:cstheme="majorBidi"/>
          <w:sz w:val="24"/>
          <w:szCs w:val="24"/>
        </w:rPr>
        <w:t xml:space="preserve"> </w:t>
      </w:r>
      <w:r w:rsidR="00EE1F82" w:rsidRPr="00B92144">
        <w:rPr>
          <w:rFonts w:asciiTheme="majorBidi" w:hAnsiTheme="majorBidi" w:cstheme="majorBidi"/>
          <w:sz w:val="24"/>
          <w:szCs w:val="24"/>
        </w:rPr>
        <w:t xml:space="preserve">As expected, the Islamic coefficient has a negative sign in each of the 6 RRD regressions except for the regression in which </w:t>
      </w:r>
      <w:r w:rsidR="004E3BCB" w:rsidRPr="00B92144">
        <w:rPr>
          <w:rFonts w:asciiTheme="majorBidi" w:hAnsiTheme="majorBidi" w:cstheme="majorBidi"/>
          <w:sz w:val="24"/>
          <w:szCs w:val="24"/>
        </w:rPr>
        <w:t xml:space="preserve">Financial risk, Financial instruments and Reserves </w:t>
      </w:r>
      <w:r w:rsidR="00EE1F82" w:rsidRPr="00B92144">
        <w:rPr>
          <w:rFonts w:asciiTheme="majorBidi" w:hAnsiTheme="majorBidi" w:cstheme="majorBidi"/>
          <w:sz w:val="24"/>
          <w:szCs w:val="24"/>
        </w:rPr>
        <w:t xml:space="preserve">are used as a measure of </w:t>
      </w:r>
      <w:r w:rsidR="004E3BCB" w:rsidRPr="00B92144">
        <w:rPr>
          <w:rFonts w:asciiTheme="majorBidi" w:hAnsiTheme="majorBidi" w:cstheme="majorBidi"/>
          <w:sz w:val="24"/>
          <w:szCs w:val="24"/>
        </w:rPr>
        <w:t>R</w:t>
      </w:r>
      <w:r w:rsidR="00EE1F82" w:rsidRPr="00B92144">
        <w:rPr>
          <w:rFonts w:asciiTheme="majorBidi" w:hAnsiTheme="majorBidi" w:cstheme="majorBidi"/>
          <w:sz w:val="24"/>
          <w:szCs w:val="24"/>
        </w:rPr>
        <w:t>RD.</w:t>
      </w:r>
      <w:r w:rsidR="004E3BCB" w:rsidRPr="00B92144">
        <w:rPr>
          <w:rFonts w:asciiTheme="majorBidi" w:hAnsiTheme="majorBidi" w:cstheme="majorBidi"/>
          <w:sz w:val="24"/>
          <w:szCs w:val="24"/>
        </w:rPr>
        <w:t xml:space="preserve"> </w:t>
      </w:r>
      <w:r w:rsidR="00EE1F82" w:rsidRPr="00B92144">
        <w:rPr>
          <w:rFonts w:asciiTheme="majorBidi" w:hAnsiTheme="majorBidi" w:cstheme="majorBidi"/>
          <w:sz w:val="24"/>
          <w:szCs w:val="24"/>
        </w:rPr>
        <w:t xml:space="preserve">Specifically, the Islamic coefficients are significant when the measure of </w:t>
      </w:r>
      <w:r w:rsidR="004E3BCB" w:rsidRPr="00B92144">
        <w:rPr>
          <w:rFonts w:asciiTheme="majorBidi" w:hAnsiTheme="majorBidi" w:cstheme="majorBidi"/>
          <w:sz w:val="24"/>
          <w:szCs w:val="24"/>
        </w:rPr>
        <w:t>R</w:t>
      </w:r>
      <w:r w:rsidR="00EE1F82" w:rsidRPr="00B92144">
        <w:rPr>
          <w:rFonts w:asciiTheme="majorBidi" w:hAnsiTheme="majorBidi" w:cstheme="majorBidi"/>
          <w:sz w:val="24"/>
          <w:szCs w:val="24"/>
        </w:rPr>
        <w:t>RD is overall</w:t>
      </w:r>
      <w:r w:rsidR="004E3BCB" w:rsidRPr="00B92144">
        <w:rPr>
          <w:rFonts w:asciiTheme="majorBidi" w:hAnsiTheme="majorBidi" w:cstheme="majorBidi"/>
          <w:sz w:val="24"/>
          <w:szCs w:val="24"/>
        </w:rPr>
        <w:t xml:space="preserve"> </w:t>
      </w:r>
      <w:r w:rsidR="00EE1F82" w:rsidRPr="00B92144">
        <w:rPr>
          <w:rFonts w:asciiTheme="majorBidi" w:hAnsiTheme="majorBidi" w:cstheme="majorBidi"/>
          <w:sz w:val="24"/>
          <w:szCs w:val="24"/>
        </w:rPr>
        <w:t>risk (p &lt; .</w:t>
      </w:r>
      <w:r w:rsidR="004E3BCB" w:rsidRPr="00B92144">
        <w:rPr>
          <w:rFonts w:asciiTheme="majorBidi" w:hAnsiTheme="majorBidi" w:cstheme="majorBidi"/>
          <w:sz w:val="24"/>
          <w:szCs w:val="24"/>
        </w:rPr>
        <w:t>1</w:t>
      </w:r>
      <w:r w:rsidR="00EE1F82" w:rsidRPr="00B92144">
        <w:rPr>
          <w:rFonts w:asciiTheme="majorBidi" w:hAnsiTheme="majorBidi" w:cstheme="majorBidi"/>
          <w:sz w:val="24"/>
          <w:szCs w:val="24"/>
        </w:rPr>
        <w:t xml:space="preserve">), </w:t>
      </w:r>
      <w:r w:rsidR="004E3BCB" w:rsidRPr="00B92144">
        <w:rPr>
          <w:rFonts w:asciiTheme="majorBidi" w:hAnsiTheme="majorBidi" w:cstheme="majorBidi"/>
          <w:sz w:val="24"/>
          <w:szCs w:val="24"/>
        </w:rPr>
        <w:t>capital structure and adequacy</w:t>
      </w:r>
      <w:r w:rsidR="00EE1F82" w:rsidRPr="00B92144">
        <w:rPr>
          <w:rFonts w:asciiTheme="majorBidi" w:hAnsiTheme="majorBidi" w:cstheme="majorBidi"/>
          <w:sz w:val="24"/>
          <w:szCs w:val="24"/>
        </w:rPr>
        <w:t xml:space="preserve"> (p &lt; .0</w:t>
      </w:r>
      <w:r w:rsidR="004E3BCB" w:rsidRPr="00B92144">
        <w:rPr>
          <w:rFonts w:asciiTheme="majorBidi" w:hAnsiTheme="majorBidi" w:cstheme="majorBidi"/>
          <w:sz w:val="24"/>
          <w:szCs w:val="24"/>
        </w:rPr>
        <w:t>1</w:t>
      </w:r>
      <w:r w:rsidR="00EE1F82" w:rsidRPr="00B92144">
        <w:rPr>
          <w:rFonts w:asciiTheme="majorBidi" w:hAnsiTheme="majorBidi" w:cstheme="majorBidi"/>
          <w:sz w:val="24"/>
          <w:szCs w:val="24"/>
        </w:rPr>
        <w:t xml:space="preserve">), </w:t>
      </w:r>
      <w:r w:rsidR="004E3BCB" w:rsidRPr="00B92144">
        <w:rPr>
          <w:rFonts w:asciiTheme="majorBidi" w:hAnsiTheme="majorBidi" w:cstheme="majorBidi"/>
          <w:sz w:val="24"/>
          <w:szCs w:val="24"/>
        </w:rPr>
        <w:t xml:space="preserve">operational risk (p &lt; .01) </w:t>
      </w:r>
      <w:r w:rsidR="00EE1F82" w:rsidRPr="00B92144">
        <w:rPr>
          <w:rFonts w:asciiTheme="majorBidi" w:hAnsiTheme="majorBidi" w:cstheme="majorBidi"/>
          <w:sz w:val="24"/>
          <w:szCs w:val="24"/>
        </w:rPr>
        <w:t xml:space="preserve">and </w:t>
      </w:r>
      <w:r w:rsidR="004E3BCB" w:rsidRPr="00B92144">
        <w:rPr>
          <w:rFonts w:asciiTheme="majorBidi" w:hAnsiTheme="majorBidi" w:cstheme="majorBidi"/>
          <w:sz w:val="24"/>
          <w:szCs w:val="24"/>
        </w:rPr>
        <w:t xml:space="preserve">segment information </w:t>
      </w:r>
      <w:r w:rsidR="00EE1F82" w:rsidRPr="00B92144">
        <w:rPr>
          <w:rFonts w:asciiTheme="majorBidi" w:hAnsiTheme="majorBidi" w:cstheme="majorBidi"/>
          <w:sz w:val="24"/>
          <w:szCs w:val="24"/>
        </w:rPr>
        <w:t>(p &lt; .0</w:t>
      </w:r>
      <w:r w:rsidR="004E3BCB" w:rsidRPr="00B92144">
        <w:rPr>
          <w:rFonts w:asciiTheme="majorBidi" w:hAnsiTheme="majorBidi" w:cstheme="majorBidi"/>
          <w:sz w:val="24"/>
          <w:szCs w:val="24"/>
        </w:rPr>
        <w:t>1</w:t>
      </w:r>
      <w:r w:rsidR="00EE1F82" w:rsidRPr="00B92144">
        <w:rPr>
          <w:rFonts w:asciiTheme="majorBidi" w:hAnsiTheme="majorBidi" w:cstheme="majorBidi"/>
          <w:sz w:val="24"/>
          <w:szCs w:val="24"/>
        </w:rPr>
        <w:t>)</w:t>
      </w:r>
      <w:r w:rsidR="004E3BCB" w:rsidRPr="00B92144">
        <w:rPr>
          <w:rFonts w:asciiTheme="majorBidi" w:hAnsiTheme="majorBidi" w:cstheme="majorBidi"/>
          <w:sz w:val="24"/>
          <w:szCs w:val="24"/>
        </w:rPr>
        <w:t xml:space="preserve">. Our </w:t>
      </w:r>
      <w:r w:rsidR="00515456" w:rsidRPr="00B92144">
        <w:rPr>
          <w:rFonts w:asciiTheme="majorBidi" w:hAnsiTheme="majorBidi" w:cstheme="majorBidi"/>
          <w:sz w:val="24"/>
          <w:szCs w:val="24"/>
        </w:rPr>
        <w:t>findings</w:t>
      </w:r>
      <w:r w:rsidR="004E3BCB" w:rsidRPr="00B92144">
        <w:rPr>
          <w:rFonts w:asciiTheme="majorBidi" w:hAnsiTheme="majorBidi" w:cstheme="majorBidi"/>
          <w:sz w:val="24"/>
          <w:szCs w:val="24"/>
        </w:rPr>
        <w:t xml:space="preserve"> are consistent with </w:t>
      </w:r>
      <w:r w:rsidR="004E3BCB" w:rsidRPr="00B92144">
        <w:rPr>
          <w:rFonts w:asciiTheme="majorBidi" w:hAnsiTheme="majorBidi" w:cstheme="majorBidi"/>
          <w:color w:val="1F497D" w:themeColor="text2"/>
          <w:sz w:val="24"/>
          <w:szCs w:val="24"/>
        </w:rPr>
        <w:t xml:space="preserve">Abdallah et al, (2015) </w:t>
      </w:r>
      <w:r w:rsidR="004E3BCB" w:rsidRPr="00B92144">
        <w:rPr>
          <w:rFonts w:asciiTheme="majorBidi" w:hAnsiTheme="majorBidi" w:cstheme="majorBidi"/>
          <w:sz w:val="24"/>
          <w:szCs w:val="24"/>
        </w:rPr>
        <w:t>an</w:t>
      </w:r>
      <w:r w:rsidR="00325B3A" w:rsidRPr="00B92144">
        <w:rPr>
          <w:rFonts w:asciiTheme="majorBidi" w:hAnsiTheme="majorBidi" w:cstheme="majorBidi"/>
          <w:sz w:val="24"/>
          <w:szCs w:val="24"/>
        </w:rPr>
        <w:t>d reflect the inherently conservative nature of the principles that guide Islamic banks to provide financial products that serve the interests of society more broadly than do their conventional counterparts which are more risk taking in the pursuit of profit maximization.</w:t>
      </w:r>
    </w:p>
    <w:p w14:paraId="07DA5E08" w14:textId="6ABE00FA" w:rsidR="006C4DDC" w:rsidRPr="00B92144" w:rsidRDefault="003A76D1" w:rsidP="00AF0897">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Among corporate attributes, our results indicate a positive and significant relationship between </w:t>
      </w:r>
      <w:r w:rsidR="00AF0897" w:rsidRPr="00B92144">
        <w:rPr>
          <w:rFonts w:asciiTheme="majorBidi" w:hAnsiTheme="majorBidi" w:cstheme="majorBidi"/>
          <w:sz w:val="24"/>
          <w:szCs w:val="24"/>
        </w:rPr>
        <w:t>b</w:t>
      </w:r>
      <w:r w:rsidRPr="00B92144">
        <w:rPr>
          <w:rFonts w:asciiTheme="majorBidi" w:hAnsiTheme="majorBidi" w:cstheme="majorBidi"/>
          <w:sz w:val="24"/>
          <w:szCs w:val="24"/>
        </w:rPr>
        <w:t>ank size (p &lt; .01)</w:t>
      </w:r>
      <w:r w:rsidR="00D23245" w:rsidRPr="00B92144">
        <w:rPr>
          <w:rFonts w:asciiTheme="majorBidi" w:hAnsiTheme="majorBidi" w:cstheme="majorBidi"/>
          <w:sz w:val="24"/>
          <w:szCs w:val="24"/>
        </w:rPr>
        <w:t>, bank</w:t>
      </w:r>
      <w:r w:rsidRPr="00B92144">
        <w:rPr>
          <w:rFonts w:asciiTheme="majorBidi" w:hAnsiTheme="majorBidi" w:cstheme="majorBidi"/>
          <w:sz w:val="24"/>
          <w:szCs w:val="24"/>
        </w:rPr>
        <w:t xml:space="preserve"> age (p&lt; .01) and the extent of RRD by Islamic banks</w:t>
      </w:r>
      <w:r w:rsidR="00D23245" w:rsidRPr="00B92144">
        <w:rPr>
          <w:rFonts w:asciiTheme="majorBidi" w:hAnsiTheme="majorBidi" w:cstheme="majorBidi"/>
          <w:sz w:val="24"/>
          <w:szCs w:val="24"/>
        </w:rPr>
        <w:t xml:space="preserve">. </w:t>
      </w:r>
      <w:r w:rsidR="00C30D03" w:rsidRPr="00B92144">
        <w:rPr>
          <w:rFonts w:asciiTheme="majorBidi" w:hAnsiTheme="majorBidi" w:cstheme="majorBidi"/>
          <w:sz w:val="24"/>
          <w:szCs w:val="24"/>
        </w:rPr>
        <w:t xml:space="preserve">Financial leverage (p &lt; .01) seems though to negatively impact their level of risk information. </w:t>
      </w:r>
      <w:r w:rsidR="00AF0897" w:rsidRPr="00B92144">
        <w:rPr>
          <w:rFonts w:asciiTheme="majorBidi" w:hAnsiTheme="majorBidi" w:cstheme="majorBidi"/>
          <w:sz w:val="24"/>
          <w:szCs w:val="24"/>
        </w:rPr>
        <w:t>These</w:t>
      </w:r>
      <w:r w:rsidR="00C30D03" w:rsidRPr="00B92144">
        <w:rPr>
          <w:rFonts w:asciiTheme="majorBidi" w:hAnsiTheme="majorBidi" w:cstheme="majorBidi"/>
          <w:sz w:val="24"/>
          <w:szCs w:val="24"/>
        </w:rPr>
        <w:t xml:space="preserve"> findings support our 2</w:t>
      </w:r>
      <w:r w:rsidR="00C30D03" w:rsidRPr="00B92144">
        <w:rPr>
          <w:rFonts w:asciiTheme="majorBidi" w:hAnsiTheme="majorBidi" w:cstheme="majorBidi"/>
          <w:sz w:val="24"/>
          <w:szCs w:val="24"/>
          <w:vertAlign w:val="superscript"/>
        </w:rPr>
        <w:t>nd</w:t>
      </w:r>
      <w:r w:rsidR="00C30D03" w:rsidRPr="00B92144">
        <w:rPr>
          <w:rFonts w:asciiTheme="majorBidi" w:hAnsiTheme="majorBidi" w:cstheme="majorBidi"/>
          <w:sz w:val="24"/>
          <w:szCs w:val="24"/>
        </w:rPr>
        <w:t>, 3</w:t>
      </w:r>
      <w:r w:rsidR="00C30D03" w:rsidRPr="00B92144">
        <w:rPr>
          <w:rFonts w:asciiTheme="majorBidi" w:hAnsiTheme="majorBidi" w:cstheme="majorBidi"/>
          <w:sz w:val="24"/>
          <w:szCs w:val="24"/>
          <w:vertAlign w:val="superscript"/>
        </w:rPr>
        <w:t>rd</w:t>
      </w:r>
      <w:r w:rsidR="00C30D03" w:rsidRPr="00B92144">
        <w:rPr>
          <w:rFonts w:asciiTheme="majorBidi" w:hAnsiTheme="majorBidi" w:cstheme="majorBidi"/>
          <w:sz w:val="24"/>
          <w:szCs w:val="24"/>
        </w:rPr>
        <w:t xml:space="preserve"> and 4</w:t>
      </w:r>
      <w:r w:rsidR="00C30D03" w:rsidRPr="00B92144">
        <w:rPr>
          <w:rFonts w:asciiTheme="majorBidi" w:hAnsiTheme="majorBidi" w:cstheme="majorBidi"/>
          <w:sz w:val="24"/>
          <w:szCs w:val="24"/>
          <w:vertAlign w:val="superscript"/>
        </w:rPr>
        <w:t>th</w:t>
      </w:r>
      <w:r w:rsidR="00C30D03" w:rsidRPr="00B92144">
        <w:rPr>
          <w:rFonts w:asciiTheme="majorBidi" w:hAnsiTheme="majorBidi" w:cstheme="majorBidi"/>
          <w:sz w:val="24"/>
          <w:szCs w:val="24"/>
        </w:rPr>
        <w:t xml:space="preserve"> hypotheses and suggest that Islamic banks appear to adopt legitimacy strategies for two major reasons.</w:t>
      </w:r>
      <w:r w:rsidR="00E366B8" w:rsidRPr="00B92144">
        <w:rPr>
          <w:rFonts w:asciiTheme="majorBidi" w:hAnsiTheme="majorBidi" w:cstheme="majorBidi"/>
          <w:sz w:val="24"/>
          <w:szCs w:val="24"/>
        </w:rPr>
        <w:t xml:space="preserve"> </w:t>
      </w:r>
      <w:r w:rsidR="00D6284D" w:rsidRPr="00B92144">
        <w:rPr>
          <w:rFonts w:asciiTheme="majorBidi" w:hAnsiTheme="majorBidi" w:cstheme="majorBidi"/>
          <w:sz w:val="24"/>
          <w:szCs w:val="24"/>
        </w:rPr>
        <w:t xml:space="preserve">First, </w:t>
      </w:r>
      <w:r w:rsidR="006C4DDC" w:rsidRPr="00B92144">
        <w:rPr>
          <w:rFonts w:asciiTheme="majorBidi" w:hAnsiTheme="majorBidi" w:cstheme="majorBidi"/>
          <w:sz w:val="24"/>
          <w:szCs w:val="24"/>
        </w:rPr>
        <w:t xml:space="preserve">since </w:t>
      </w:r>
      <w:r w:rsidR="00D6284D" w:rsidRPr="00B92144">
        <w:rPr>
          <w:rFonts w:asciiTheme="majorBidi" w:hAnsiTheme="majorBidi" w:cstheme="majorBidi"/>
          <w:sz w:val="24"/>
          <w:szCs w:val="24"/>
        </w:rPr>
        <w:t xml:space="preserve">publicly visible </w:t>
      </w:r>
      <w:r w:rsidR="00E366B8" w:rsidRPr="00B92144">
        <w:rPr>
          <w:rFonts w:asciiTheme="majorBidi" w:hAnsiTheme="majorBidi" w:cstheme="majorBidi"/>
          <w:sz w:val="24"/>
          <w:szCs w:val="24"/>
        </w:rPr>
        <w:t xml:space="preserve">Islamic </w:t>
      </w:r>
      <w:r w:rsidR="00D6284D" w:rsidRPr="00B92144">
        <w:rPr>
          <w:rFonts w:asciiTheme="majorBidi" w:hAnsiTheme="majorBidi" w:cstheme="majorBidi"/>
          <w:sz w:val="24"/>
          <w:szCs w:val="24"/>
        </w:rPr>
        <w:t xml:space="preserve">banks (as assessed by size) </w:t>
      </w:r>
      <w:r w:rsidR="006C4DDC" w:rsidRPr="00B92144">
        <w:rPr>
          <w:rFonts w:asciiTheme="majorBidi" w:hAnsiTheme="majorBidi" w:cstheme="majorBidi"/>
          <w:sz w:val="24"/>
          <w:szCs w:val="24"/>
        </w:rPr>
        <w:t xml:space="preserve">face </w:t>
      </w:r>
      <w:r w:rsidR="006C4DDC" w:rsidRPr="00B92144">
        <w:rPr>
          <w:rFonts w:asciiTheme="majorBidi" w:hAnsiTheme="majorBidi" w:cstheme="majorBidi"/>
          <w:color w:val="000000" w:themeColor="text1"/>
          <w:sz w:val="24"/>
          <w:szCs w:val="24"/>
          <w:shd w:val="clear" w:color="auto" w:fill="FFFFFF"/>
        </w:rPr>
        <w:t xml:space="preserve">higher </w:t>
      </w:r>
      <w:r w:rsidR="006C4DDC" w:rsidRPr="00B92144">
        <w:rPr>
          <w:rFonts w:asciiTheme="majorBidi" w:hAnsiTheme="majorBidi" w:cstheme="majorBidi"/>
          <w:color w:val="000000"/>
          <w:sz w:val="24"/>
          <w:szCs w:val="24"/>
        </w:rPr>
        <w:t xml:space="preserve">scrutiny among stakeholders, they are likely to </w:t>
      </w:r>
      <w:r w:rsidR="00D6284D" w:rsidRPr="00B92144">
        <w:rPr>
          <w:rFonts w:asciiTheme="majorBidi" w:hAnsiTheme="majorBidi" w:cstheme="majorBidi"/>
          <w:sz w:val="24"/>
          <w:szCs w:val="24"/>
        </w:rPr>
        <w:t xml:space="preserve">enhance </w:t>
      </w:r>
      <w:r w:rsidR="00E366B8" w:rsidRPr="00B92144">
        <w:rPr>
          <w:rFonts w:asciiTheme="majorBidi" w:hAnsiTheme="majorBidi" w:cstheme="majorBidi"/>
          <w:sz w:val="24"/>
          <w:szCs w:val="24"/>
        </w:rPr>
        <w:t xml:space="preserve">their </w:t>
      </w:r>
      <w:r w:rsidR="00D6284D" w:rsidRPr="00B92144">
        <w:rPr>
          <w:rFonts w:asciiTheme="majorBidi" w:hAnsiTheme="majorBidi" w:cstheme="majorBidi"/>
          <w:sz w:val="24"/>
          <w:szCs w:val="24"/>
        </w:rPr>
        <w:t>legitimacy by c</w:t>
      </w:r>
      <w:r w:rsidR="00E366B8" w:rsidRPr="00B92144">
        <w:rPr>
          <w:rFonts w:asciiTheme="majorBidi" w:hAnsiTheme="majorBidi" w:cstheme="majorBidi"/>
          <w:sz w:val="24"/>
          <w:szCs w:val="24"/>
        </w:rPr>
        <w:t>omplying</w:t>
      </w:r>
      <w:r w:rsidR="00D6284D" w:rsidRPr="00B92144">
        <w:rPr>
          <w:rFonts w:asciiTheme="majorBidi" w:hAnsiTheme="majorBidi" w:cstheme="majorBidi"/>
          <w:sz w:val="24"/>
          <w:szCs w:val="24"/>
        </w:rPr>
        <w:t xml:space="preserve"> with Basel II requirements. Enhanced legitimacy improves </w:t>
      </w:r>
      <w:r w:rsidR="009B22AB" w:rsidRPr="00B92144">
        <w:rPr>
          <w:rFonts w:asciiTheme="majorBidi" w:hAnsiTheme="majorBidi" w:cstheme="majorBidi"/>
          <w:sz w:val="24"/>
          <w:szCs w:val="24"/>
        </w:rPr>
        <w:t xml:space="preserve">indeed </w:t>
      </w:r>
      <w:r w:rsidR="00D6284D" w:rsidRPr="00B92144">
        <w:rPr>
          <w:rFonts w:asciiTheme="majorBidi" w:hAnsiTheme="majorBidi" w:cstheme="majorBidi"/>
          <w:sz w:val="24"/>
          <w:szCs w:val="24"/>
        </w:rPr>
        <w:t>market discipline because of stakeholders monitoring</w:t>
      </w:r>
      <w:r w:rsidR="00E366B8" w:rsidRPr="00B92144">
        <w:rPr>
          <w:rFonts w:asciiTheme="majorBidi" w:hAnsiTheme="majorBidi" w:cstheme="majorBidi"/>
          <w:sz w:val="24"/>
          <w:szCs w:val="24"/>
        </w:rPr>
        <w:t xml:space="preserve"> and pressure</w:t>
      </w:r>
      <w:r w:rsidR="00D6284D" w:rsidRPr="00B92144">
        <w:rPr>
          <w:rFonts w:asciiTheme="majorBidi" w:hAnsiTheme="majorBidi" w:cstheme="majorBidi"/>
          <w:sz w:val="24"/>
          <w:szCs w:val="24"/>
        </w:rPr>
        <w:t xml:space="preserve"> (</w:t>
      </w:r>
      <w:r w:rsidR="00D6284D" w:rsidRPr="00B92144">
        <w:rPr>
          <w:rFonts w:asciiTheme="majorBidi" w:hAnsiTheme="majorBidi" w:cstheme="majorBidi"/>
          <w:color w:val="365F91" w:themeColor="accent1" w:themeShade="BF"/>
          <w:sz w:val="24"/>
          <w:szCs w:val="24"/>
        </w:rPr>
        <w:t xml:space="preserve">Bliss </w:t>
      </w:r>
      <w:r w:rsidR="00E05652" w:rsidRPr="00B92144">
        <w:rPr>
          <w:rFonts w:asciiTheme="majorBidi" w:hAnsiTheme="majorBidi" w:cstheme="majorBidi"/>
          <w:color w:val="365F91" w:themeColor="accent1" w:themeShade="BF"/>
          <w:sz w:val="24"/>
          <w:szCs w:val="24"/>
        </w:rPr>
        <w:t>&amp;</w:t>
      </w:r>
      <w:r w:rsidR="00D6284D" w:rsidRPr="00B92144">
        <w:rPr>
          <w:rFonts w:asciiTheme="majorBidi" w:hAnsiTheme="majorBidi" w:cstheme="majorBidi"/>
          <w:color w:val="365F91" w:themeColor="accent1" w:themeShade="BF"/>
          <w:sz w:val="24"/>
          <w:szCs w:val="24"/>
        </w:rPr>
        <w:t xml:space="preserve"> Flannery, 2002; Carpenter </w:t>
      </w:r>
      <w:r w:rsidR="00E05652" w:rsidRPr="00B92144">
        <w:rPr>
          <w:rFonts w:asciiTheme="majorBidi" w:hAnsiTheme="majorBidi" w:cstheme="majorBidi"/>
          <w:color w:val="365F91" w:themeColor="accent1" w:themeShade="BF"/>
          <w:sz w:val="24"/>
          <w:szCs w:val="24"/>
        </w:rPr>
        <w:t>&amp;</w:t>
      </w:r>
      <w:r w:rsidR="00D6284D" w:rsidRPr="00B92144">
        <w:rPr>
          <w:rFonts w:asciiTheme="majorBidi" w:hAnsiTheme="majorBidi" w:cstheme="majorBidi"/>
          <w:color w:val="365F91" w:themeColor="accent1" w:themeShade="BF"/>
          <w:sz w:val="24"/>
          <w:szCs w:val="24"/>
        </w:rPr>
        <w:t xml:space="preserve"> Feroz, 2001; Ferna´ndez-Alles </w:t>
      </w:r>
      <w:r w:rsidR="00E05652" w:rsidRPr="00B92144">
        <w:rPr>
          <w:rFonts w:asciiTheme="majorBidi" w:hAnsiTheme="majorBidi" w:cstheme="majorBidi"/>
          <w:color w:val="365F91" w:themeColor="accent1" w:themeShade="BF"/>
          <w:sz w:val="24"/>
          <w:szCs w:val="24"/>
        </w:rPr>
        <w:t>&amp;</w:t>
      </w:r>
      <w:r w:rsidR="00D6284D" w:rsidRPr="00B92144">
        <w:rPr>
          <w:rFonts w:asciiTheme="majorBidi" w:hAnsiTheme="majorBidi" w:cstheme="majorBidi"/>
          <w:color w:val="365F91" w:themeColor="accent1" w:themeShade="BF"/>
          <w:sz w:val="24"/>
          <w:szCs w:val="24"/>
        </w:rPr>
        <w:t xml:space="preserve"> Valle-Cabrera, 2006; Frolov, 2007</w:t>
      </w:r>
      <w:r w:rsidR="00D6284D" w:rsidRPr="00B92144">
        <w:rPr>
          <w:rFonts w:asciiTheme="majorBidi" w:hAnsiTheme="majorBidi" w:cstheme="majorBidi"/>
          <w:sz w:val="24"/>
          <w:szCs w:val="24"/>
        </w:rPr>
        <w:t>). Second,</w:t>
      </w:r>
      <w:r w:rsidR="00E366B8" w:rsidRPr="00B92144">
        <w:rPr>
          <w:rFonts w:asciiTheme="majorBidi" w:hAnsiTheme="majorBidi" w:cstheme="majorBidi"/>
          <w:sz w:val="24"/>
          <w:szCs w:val="24"/>
        </w:rPr>
        <w:t xml:space="preserve"> from a resource</w:t>
      </w:r>
      <w:r w:rsidR="009B22AB" w:rsidRPr="00B92144">
        <w:rPr>
          <w:rFonts w:asciiTheme="majorBidi" w:hAnsiTheme="majorBidi" w:cstheme="majorBidi"/>
          <w:sz w:val="24"/>
          <w:szCs w:val="24"/>
        </w:rPr>
        <w:t>-</w:t>
      </w:r>
      <w:r w:rsidR="00E366B8" w:rsidRPr="00B92144">
        <w:rPr>
          <w:rFonts w:asciiTheme="majorBidi" w:hAnsiTheme="majorBidi" w:cstheme="majorBidi"/>
          <w:sz w:val="24"/>
          <w:szCs w:val="24"/>
        </w:rPr>
        <w:t>based perspective,</w:t>
      </w:r>
      <w:r w:rsidR="00D6284D" w:rsidRPr="00B92144">
        <w:rPr>
          <w:rFonts w:asciiTheme="majorBidi" w:hAnsiTheme="majorBidi" w:cstheme="majorBidi"/>
          <w:sz w:val="24"/>
          <w:szCs w:val="24"/>
        </w:rPr>
        <w:t xml:space="preserve"> </w:t>
      </w:r>
      <w:r w:rsidR="00E366B8" w:rsidRPr="00B92144">
        <w:rPr>
          <w:rFonts w:asciiTheme="majorBidi" w:hAnsiTheme="majorBidi" w:cstheme="majorBidi"/>
          <w:sz w:val="24"/>
          <w:szCs w:val="24"/>
        </w:rPr>
        <w:t xml:space="preserve">Islamic </w:t>
      </w:r>
      <w:r w:rsidR="00D6284D" w:rsidRPr="00B92144">
        <w:rPr>
          <w:rFonts w:asciiTheme="majorBidi" w:hAnsiTheme="majorBidi" w:cstheme="majorBidi"/>
          <w:sz w:val="24"/>
          <w:szCs w:val="24"/>
        </w:rPr>
        <w:t xml:space="preserve">banks with higher levels of corporate </w:t>
      </w:r>
      <w:r w:rsidR="009B22AB" w:rsidRPr="00B92144">
        <w:rPr>
          <w:rFonts w:asciiTheme="majorBidi" w:hAnsiTheme="majorBidi" w:cstheme="majorBidi"/>
          <w:sz w:val="24"/>
          <w:szCs w:val="24"/>
        </w:rPr>
        <w:t xml:space="preserve">experience and </w:t>
      </w:r>
      <w:r w:rsidR="00D6284D" w:rsidRPr="00B92144">
        <w:rPr>
          <w:rFonts w:asciiTheme="majorBidi" w:hAnsiTheme="majorBidi" w:cstheme="majorBidi"/>
          <w:sz w:val="24"/>
          <w:szCs w:val="24"/>
        </w:rPr>
        <w:t xml:space="preserve">reputation (assessed by company age) </w:t>
      </w:r>
      <w:r w:rsidR="009B22AB" w:rsidRPr="00B92144">
        <w:rPr>
          <w:rFonts w:asciiTheme="majorBidi" w:hAnsiTheme="majorBidi" w:cstheme="majorBidi"/>
          <w:sz w:val="24"/>
          <w:szCs w:val="24"/>
        </w:rPr>
        <w:t>follow</w:t>
      </w:r>
      <w:r w:rsidR="00D6284D" w:rsidRPr="00B92144">
        <w:rPr>
          <w:rFonts w:asciiTheme="majorBidi" w:hAnsiTheme="majorBidi" w:cstheme="majorBidi"/>
          <w:sz w:val="24"/>
          <w:szCs w:val="24"/>
        </w:rPr>
        <w:t xml:space="preserve"> legitima</w:t>
      </w:r>
      <w:r w:rsidR="009B22AB" w:rsidRPr="00B92144">
        <w:rPr>
          <w:rFonts w:asciiTheme="majorBidi" w:hAnsiTheme="majorBidi" w:cstheme="majorBidi"/>
          <w:sz w:val="24"/>
          <w:szCs w:val="24"/>
        </w:rPr>
        <w:t xml:space="preserve">ting </w:t>
      </w:r>
      <w:r w:rsidR="00D6284D" w:rsidRPr="00B92144">
        <w:rPr>
          <w:rFonts w:asciiTheme="majorBidi" w:hAnsiTheme="majorBidi" w:cstheme="majorBidi"/>
          <w:sz w:val="24"/>
          <w:szCs w:val="24"/>
        </w:rPr>
        <w:t>strategies through RRD to manage stakeholders’ perceptions of their reputation (</w:t>
      </w:r>
      <w:r w:rsidR="00D6284D" w:rsidRPr="00B92144">
        <w:rPr>
          <w:rFonts w:asciiTheme="majorBidi" w:hAnsiTheme="majorBidi" w:cstheme="majorBidi"/>
          <w:color w:val="365F91" w:themeColor="accent1" w:themeShade="BF"/>
          <w:sz w:val="24"/>
          <w:szCs w:val="24"/>
        </w:rPr>
        <w:t xml:space="preserve">Bebbington et al., 2008; Sa´nchez-Ballesta </w:t>
      </w:r>
      <w:r w:rsidR="00E05652" w:rsidRPr="00B92144">
        <w:rPr>
          <w:rFonts w:asciiTheme="majorBidi" w:hAnsiTheme="majorBidi" w:cstheme="majorBidi"/>
          <w:color w:val="365F91" w:themeColor="accent1" w:themeShade="BF"/>
          <w:sz w:val="24"/>
          <w:szCs w:val="24"/>
        </w:rPr>
        <w:t>&amp;</w:t>
      </w:r>
      <w:r w:rsidR="00D6284D" w:rsidRPr="00B92144">
        <w:rPr>
          <w:rFonts w:asciiTheme="majorBidi" w:hAnsiTheme="majorBidi" w:cstheme="majorBidi"/>
          <w:color w:val="365F91" w:themeColor="accent1" w:themeShade="BF"/>
          <w:sz w:val="24"/>
          <w:szCs w:val="24"/>
        </w:rPr>
        <w:t xml:space="preserve"> Bernal Llo´rens, 2010</w:t>
      </w:r>
      <w:r w:rsidR="00D6284D" w:rsidRPr="00B92144">
        <w:rPr>
          <w:rFonts w:asciiTheme="majorBidi" w:hAnsiTheme="majorBidi" w:cstheme="majorBidi"/>
          <w:sz w:val="24"/>
          <w:szCs w:val="24"/>
        </w:rPr>
        <w:t>).</w:t>
      </w:r>
      <w:r w:rsidR="007206AE" w:rsidRPr="00B92144">
        <w:rPr>
          <w:rFonts w:asciiTheme="majorBidi" w:hAnsiTheme="majorBidi" w:cstheme="majorBidi"/>
          <w:sz w:val="24"/>
          <w:szCs w:val="24"/>
        </w:rPr>
        <w:t xml:space="preserve"> Conversely, high leveraged </w:t>
      </w:r>
      <w:r w:rsidR="007206AE" w:rsidRPr="00B92144">
        <w:rPr>
          <w:rFonts w:asciiTheme="majorBidi" w:hAnsiTheme="majorBidi" w:cstheme="majorBidi"/>
          <w:sz w:val="24"/>
          <w:szCs w:val="24"/>
        </w:rPr>
        <w:lastRenderedPageBreak/>
        <w:t xml:space="preserve">Islamic banks tend to reduce their RRD to avoid creditors’ </w:t>
      </w:r>
      <w:r w:rsidR="00E43EA1" w:rsidRPr="00B92144">
        <w:rPr>
          <w:rFonts w:asciiTheme="majorBidi" w:hAnsiTheme="majorBidi" w:cstheme="majorBidi"/>
          <w:sz w:val="24"/>
          <w:szCs w:val="24"/>
        </w:rPr>
        <w:t>concerns</w:t>
      </w:r>
      <w:r w:rsidR="007206AE" w:rsidRPr="00B92144">
        <w:rPr>
          <w:rFonts w:asciiTheme="majorBidi" w:hAnsiTheme="majorBidi" w:cstheme="majorBidi"/>
          <w:sz w:val="24"/>
          <w:szCs w:val="24"/>
        </w:rPr>
        <w:t xml:space="preserve"> about their</w:t>
      </w:r>
      <w:r w:rsidR="006C4DDC" w:rsidRPr="00B92144">
        <w:rPr>
          <w:rFonts w:asciiTheme="majorBidi" w:hAnsiTheme="majorBidi" w:cstheme="majorBidi"/>
          <w:color w:val="000000"/>
          <w:sz w:val="24"/>
          <w:szCs w:val="24"/>
        </w:rPr>
        <w:t xml:space="preserve"> </w:t>
      </w:r>
      <w:r w:rsidR="006C4DDC" w:rsidRPr="00B92144">
        <w:rPr>
          <w:rFonts w:asciiTheme="majorBidi" w:hAnsiTheme="majorBidi" w:cstheme="majorBidi"/>
          <w:sz w:val="24"/>
          <w:szCs w:val="24"/>
        </w:rPr>
        <w:t>increased inherent risk</w:t>
      </w:r>
      <w:r w:rsidR="00E43EA1" w:rsidRPr="00B92144">
        <w:rPr>
          <w:rFonts w:asciiTheme="majorBidi" w:hAnsiTheme="majorBidi" w:cstheme="majorBidi"/>
          <w:sz w:val="24"/>
          <w:szCs w:val="24"/>
        </w:rPr>
        <w:t xml:space="preserve">. </w:t>
      </w:r>
    </w:p>
    <w:p w14:paraId="64C123B6" w14:textId="1085964F" w:rsidR="004367C8" w:rsidRPr="00B92144" w:rsidRDefault="001B4440" w:rsidP="00AF0897">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R</w:t>
      </w:r>
      <w:r w:rsidR="00474EFD" w:rsidRPr="00B92144">
        <w:rPr>
          <w:rFonts w:asciiTheme="majorBidi" w:hAnsiTheme="majorBidi" w:cstheme="majorBidi"/>
          <w:sz w:val="24"/>
          <w:szCs w:val="24"/>
        </w:rPr>
        <w:t>esults r</w:t>
      </w:r>
      <w:r w:rsidRPr="00B92144">
        <w:rPr>
          <w:rFonts w:asciiTheme="majorBidi" w:hAnsiTheme="majorBidi" w:cstheme="majorBidi"/>
          <w:sz w:val="24"/>
          <w:szCs w:val="24"/>
        </w:rPr>
        <w:t>egarding</w:t>
      </w:r>
      <w:r w:rsidR="006216CD" w:rsidRPr="00B92144">
        <w:rPr>
          <w:rFonts w:asciiTheme="majorBidi" w:hAnsiTheme="majorBidi" w:cstheme="majorBidi"/>
          <w:sz w:val="24"/>
          <w:szCs w:val="24"/>
        </w:rPr>
        <w:t xml:space="preserve"> conventional banks</w:t>
      </w:r>
      <w:r w:rsidR="00474EFD" w:rsidRPr="00B92144">
        <w:rPr>
          <w:rFonts w:asciiTheme="majorBidi" w:hAnsiTheme="majorBidi" w:cstheme="majorBidi"/>
          <w:sz w:val="24"/>
          <w:szCs w:val="24"/>
        </w:rPr>
        <w:t xml:space="preserve"> are slightly different. </w:t>
      </w:r>
      <w:r w:rsidR="004367C8" w:rsidRPr="00B92144">
        <w:rPr>
          <w:rFonts w:asciiTheme="majorBidi" w:hAnsiTheme="majorBidi" w:cstheme="majorBidi"/>
          <w:sz w:val="24"/>
          <w:szCs w:val="24"/>
        </w:rPr>
        <w:t>T</w:t>
      </w:r>
      <w:r w:rsidR="00B35CB5" w:rsidRPr="00B92144">
        <w:rPr>
          <w:rFonts w:asciiTheme="majorBidi" w:hAnsiTheme="majorBidi" w:cstheme="majorBidi"/>
          <w:sz w:val="24"/>
          <w:szCs w:val="24"/>
        </w:rPr>
        <w:t>he highest levels of</w:t>
      </w:r>
      <w:r w:rsidR="004367C8" w:rsidRPr="00B92144">
        <w:rPr>
          <w:rFonts w:asciiTheme="majorBidi" w:hAnsiTheme="majorBidi" w:cstheme="majorBidi"/>
          <w:sz w:val="24"/>
          <w:szCs w:val="24"/>
        </w:rPr>
        <w:t xml:space="preserve"> risk</w:t>
      </w:r>
      <w:r w:rsidR="00B35CB5" w:rsidRPr="00B92144">
        <w:rPr>
          <w:rFonts w:asciiTheme="majorBidi" w:hAnsiTheme="majorBidi" w:cstheme="majorBidi"/>
          <w:sz w:val="24"/>
          <w:szCs w:val="24"/>
        </w:rPr>
        <w:t xml:space="preserve"> disclosures were made by large listed banks</w:t>
      </w:r>
      <w:r w:rsidR="004367C8" w:rsidRPr="00B92144">
        <w:rPr>
          <w:rFonts w:asciiTheme="majorBidi" w:hAnsiTheme="majorBidi" w:cstheme="majorBidi"/>
          <w:sz w:val="24"/>
          <w:szCs w:val="24"/>
        </w:rPr>
        <w:t xml:space="preserve"> with high leverage ratio</w:t>
      </w:r>
      <w:r w:rsidR="00B35CB5" w:rsidRPr="00B92144">
        <w:rPr>
          <w:rFonts w:asciiTheme="majorBidi" w:hAnsiTheme="majorBidi" w:cstheme="majorBidi"/>
          <w:sz w:val="24"/>
          <w:szCs w:val="24"/>
        </w:rPr>
        <w:t>, consistent with our</w:t>
      </w:r>
      <w:r w:rsidR="004367C8" w:rsidRPr="00B92144">
        <w:rPr>
          <w:rFonts w:asciiTheme="majorBidi" w:hAnsiTheme="majorBidi" w:cstheme="majorBidi"/>
          <w:sz w:val="24"/>
          <w:szCs w:val="24"/>
        </w:rPr>
        <w:t xml:space="preserve"> multi-</w:t>
      </w:r>
      <w:r w:rsidR="00B35CB5" w:rsidRPr="00B92144">
        <w:rPr>
          <w:rFonts w:asciiTheme="majorBidi" w:hAnsiTheme="majorBidi" w:cstheme="majorBidi"/>
          <w:sz w:val="24"/>
          <w:szCs w:val="24"/>
        </w:rPr>
        <w:t xml:space="preserve">theoretical framework. </w:t>
      </w:r>
      <w:r w:rsidR="00AF0897" w:rsidRPr="00B92144">
        <w:rPr>
          <w:rFonts w:asciiTheme="majorBidi" w:hAnsiTheme="majorBidi" w:cstheme="majorBidi"/>
          <w:sz w:val="24"/>
          <w:szCs w:val="24"/>
        </w:rPr>
        <w:t>Conventional</w:t>
      </w:r>
      <w:r w:rsidR="004367C8" w:rsidRPr="00B92144">
        <w:rPr>
          <w:rFonts w:asciiTheme="majorBidi" w:hAnsiTheme="majorBidi" w:cstheme="majorBidi"/>
          <w:sz w:val="24"/>
          <w:szCs w:val="24"/>
        </w:rPr>
        <w:t xml:space="preserve"> banks’ </w:t>
      </w:r>
      <w:r w:rsidR="00B35CB5" w:rsidRPr="00B92144">
        <w:rPr>
          <w:rFonts w:asciiTheme="majorBidi" w:hAnsiTheme="majorBidi" w:cstheme="majorBidi"/>
          <w:sz w:val="24"/>
          <w:szCs w:val="24"/>
        </w:rPr>
        <w:t xml:space="preserve">visibility </w:t>
      </w:r>
      <w:r w:rsidR="004367C8" w:rsidRPr="00B92144">
        <w:rPr>
          <w:rFonts w:asciiTheme="majorBidi" w:hAnsiTheme="majorBidi" w:cstheme="majorBidi"/>
          <w:sz w:val="24"/>
          <w:szCs w:val="24"/>
        </w:rPr>
        <w:t xml:space="preserve">requires then </w:t>
      </w:r>
      <w:r w:rsidR="00B35CB5" w:rsidRPr="00B92144">
        <w:rPr>
          <w:rFonts w:asciiTheme="majorBidi" w:hAnsiTheme="majorBidi" w:cstheme="majorBidi"/>
          <w:sz w:val="24"/>
          <w:szCs w:val="24"/>
        </w:rPr>
        <w:t xml:space="preserve">a higher level of legitimacy to </w:t>
      </w:r>
      <w:r w:rsidR="004367C8" w:rsidRPr="00B92144">
        <w:rPr>
          <w:rFonts w:asciiTheme="majorBidi" w:hAnsiTheme="majorBidi" w:cstheme="majorBidi"/>
          <w:sz w:val="24"/>
          <w:szCs w:val="24"/>
        </w:rPr>
        <w:t>fulfill stakeholders’ expectations. RRD are tools to reduce information asymmetries between owners and debt</w:t>
      </w:r>
      <w:r w:rsidR="00AF0897" w:rsidRPr="00B92144">
        <w:rPr>
          <w:rFonts w:asciiTheme="majorBidi" w:hAnsiTheme="majorBidi" w:cstheme="majorBidi"/>
          <w:sz w:val="24"/>
          <w:szCs w:val="24"/>
        </w:rPr>
        <w:t>holders</w:t>
      </w:r>
      <w:r w:rsidR="004367C8" w:rsidRPr="00B92144">
        <w:rPr>
          <w:rFonts w:asciiTheme="majorBidi" w:hAnsiTheme="majorBidi" w:cstheme="majorBidi"/>
          <w:sz w:val="24"/>
          <w:szCs w:val="24"/>
        </w:rPr>
        <w:t xml:space="preserve"> help managing social and political pressures and improve investors’ confidence.</w:t>
      </w:r>
    </w:p>
    <w:p w14:paraId="4B4D1DB8" w14:textId="31895F91" w:rsidR="002A4D64" w:rsidRPr="00B92144" w:rsidRDefault="002A4D64" w:rsidP="00FB7B63">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Ownership structure</w:t>
      </w:r>
      <w:r w:rsidR="00456821" w:rsidRPr="00B92144">
        <w:rPr>
          <w:rFonts w:asciiTheme="majorBidi" w:hAnsiTheme="majorBidi" w:cstheme="majorBidi"/>
          <w:sz w:val="24"/>
          <w:szCs w:val="24"/>
        </w:rPr>
        <w:t xml:space="preserve">’s effect on RRD shows likewise different results for conventional banks versus Islamic ones. While </w:t>
      </w:r>
      <w:r w:rsidR="00584DAC" w:rsidRPr="00B92144">
        <w:rPr>
          <w:rFonts w:asciiTheme="majorBidi" w:hAnsiTheme="majorBidi" w:cstheme="majorBidi"/>
          <w:sz w:val="24"/>
          <w:szCs w:val="24"/>
        </w:rPr>
        <w:t>conventional banks with block owners seems to disclose less RRD (p</w:t>
      </w:r>
      <w:r w:rsidR="00B77C53" w:rsidRPr="00B92144">
        <w:rPr>
          <w:rFonts w:asciiTheme="majorBidi" w:hAnsiTheme="majorBidi" w:cstheme="majorBidi"/>
          <w:sz w:val="24"/>
          <w:szCs w:val="24"/>
        </w:rPr>
        <w:t xml:space="preserve"> </w:t>
      </w:r>
      <w:r w:rsidR="00584DAC" w:rsidRPr="00B92144">
        <w:rPr>
          <w:rFonts w:asciiTheme="majorBidi" w:hAnsiTheme="majorBidi" w:cstheme="majorBidi"/>
          <w:sz w:val="24"/>
          <w:szCs w:val="24"/>
        </w:rPr>
        <w:t>&lt; .1</w:t>
      </w:r>
      <w:r w:rsidR="00A90EFD" w:rsidRPr="00B92144">
        <w:rPr>
          <w:rFonts w:asciiTheme="majorBidi" w:hAnsiTheme="majorBidi" w:cstheme="majorBidi"/>
          <w:sz w:val="24"/>
          <w:szCs w:val="24"/>
        </w:rPr>
        <w:t>)</w:t>
      </w:r>
      <w:r w:rsidR="00584DAC" w:rsidRPr="00B92144">
        <w:rPr>
          <w:rFonts w:asciiTheme="majorBidi" w:hAnsiTheme="majorBidi" w:cstheme="majorBidi"/>
          <w:sz w:val="24"/>
          <w:szCs w:val="24"/>
        </w:rPr>
        <w:t>, Islamic banks with foreign owners (p &lt; .1) exhibit the same trend toward the disclosure of risk information. These findings confirm on one hand our 7</w:t>
      </w:r>
      <w:r w:rsidR="00584DAC" w:rsidRPr="00B92144">
        <w:rPr>
          <w:rFonts w:asciiTheme="majorBidi" w:hAnsiTheme="majorBidi" w:cstheme="majorBidi"/>
          <w:sz w:val="24"/>
          <w:szCs w:val="24"/>
          <w:vertAlign w:val="superscript"/>
        </w:rPr>
        <w:t>th</w:t>
      </w:r>
      <w:r w:rsidR="00584DAC" w:rsidRPr="00B92144">
        <w:rPr>
          <w:rFonts w:asciiTheme="majorBidi" w:hAnsiTheme="majorBidi" w:cstheme="majorBidi"/>
          <w:sz w:val="24"/>
          <w:szCs w:val="24"/>
        </w:rPr>
        <w:t xml:space="preserve"> hypothesis and reject our 8</w:t>
      </w:r>
      <w:r w:rsidR="00584DAC" w:rsidRPr="00B92144">
        <w:rPr>
          <w:rFonts w:asciiTheme="majorBidi" w:hAnsiTheme="majorBidi" w:cstheme="majorBidi"/>
          <w:sz w:val="24"/>
          <w:szCs w:val="24"/>
          <w:vertAlign w:val="superscript"/>
        </w:rPr>
        <w:t>th</w:t>
      </w:r>
      <w:r w:rsidR="00584DAC" w:rsidRPr="00B92144">
        <w:rPr>
          <w:rFonts w:asciiTheme="majorBidi" w:hAnsiTheme="majorBidi" w:cstheme="majorBidi"/>
          <w:sz w:val="24"/>
          <w:szCs w:val="24"/>
        </w:rPr>
        <w:t xml:space="preserve"> hypothesis on the other hand. They are indeed consistent </w:t>
      </w:r>
      <w:r w:rsidR="00584DAC" w:rsidRPr="00B92144">
        <w:rPr>
          <w:rFonts w:asciiTheme="majorBidi" w:hAnsiTheme="majorBidi" w:cstheme="majorBidi"/>
          <w:color w:val="1F497D" w:themeColor="text2"/>
          <w:sz w:val="24"/>
          <w:szCs w:val="24"/>
        </w:rPr>
        <w:t xml:space="preserve">with Lopes </w:t>
      </w:r>
      <w:r w:rsidR="00E05652" w:rsidRPr="00B92144">
        <w:rPr>
          <w:rFonts w:asciiTheme="majorBidi" w:hAnsiTheme="majorBidi" w:cstheme="majorBidi"/>
          <w:color w:val="1F497D" w:themeColor="text2"/>
          <w:sz w:val="24"/>
          <w:szCs w:val="24"/>
        </w:rPr>
        <w:t>&amp;</w:t>
      </w:r>
      <w:r w:rsidR="00584DAC" w:rsidRPr="00B92144">
        <w:rPr>
          <w:rFonts w:asciiTheme="majorBidi" w:hAnsiTheme="majorBidi" w:cstheme="majorBidi"/>
          <w:color w:val="1F497D" w:themeColor="text2"/>
          <w:sz w:val="24"/>
          <w:szCs w:val="24"/>
        </w:rPr>
        <w:t xml:space="preserve"> Rodrigues (2007), </w:t>
      </w:r>
      <w:r w:rsidR="0047558A" w:rsidRPr="00B92144">
        <w:rPr>
          <w:rFonts w:asciiTheme="majorBidi" w:hAnsiTheme="majorBidi" w:cstheme="majorBidi"/>
          <w:color w:val="1F497D" w:themeColor="text2"/>
          <w:sz w:val="24"/>
          <w:szCs w:val="24"/>
        </w:rPr>
        <w:t xml:space="preserve">Oliveira, Rodrigues, &amp; Craig </w:t>
      </w:r>
      <w:r w:rsidR="00584DAC" w:rsidRPr="00B92144">
        <w:rPr>
          <w:rFonts w:asciiTheme="majorBidi" w:hAnsiTheme="majorBidi" w:cstheme="majorBidi"/>
          <w:color w:val="1F497D" w:themeColor="text2"/>
          <w:sz w:val="24"/>
          <w:szCs w:val="24"/>
        </w:rPr>
        <w:t>(2011</w:t>
      </w:r>
      <w:r w:rsidR="0047558A" w:rsidRPr="00B92144">
        <w:rPr>
          <w:rFonts w:asciiTheme="majorBidi" w:hAnsiTheme="majorBidi" w:cstheme="majorBidi"/>
          <w:color w:val="1F497D" w:themeColor="text2"/>
          <w:sz w:val="24"/>
          <w:szCs w:val="24"/>
        </w:rPr>
        <w:t>b</w:t>
      </w:r>
      <w:r w:rsidR="00584DAC" w:rsidRPr="00B92144">
        <w:rPr>
          <w:rFonts w:asciiTheme="majorBidi" w:hAnsiTheme="majorBidi" w:cstheme="majorBidi"/>
          <w:color w:val="1F497D" w:themeColor="text2"/>
          <w:sz w:val="24"/>
          <w:szCs w:val="24"/>
        </w:rPr>
        <w:t>) and Ntim et al., (2013)</w:t>
      </w:r>
      <w:r w:rsidR="00C35939" w:rsidRPr="00B92144">
        <w:rPr>
          <w:rFonts w:asciiTheme="majorBidi" w:hAnsiTheme="majorBidi" w:cstheme="majorBidi"/>
          <w:sz w:val="24"/>
          <w:szCs w:val="24"/>
        </w:rPr>
        <w:t>. Our results</w:t>
      </w:r>
      <w:r w:rsidR="00584DAC" w:rsidRPr="00B92144">
        <w:rPr>
          <w:rFonts w:asciiTheme="majorBidi" w:hAnsiTheme="majorBidi" w:cstheme="majorBidi"/>
          <w:sz w:val="24"/>
          <w:szCs w:val="24"/>
        </w:rPr>
        <w:t xml:space="preserve"> suggest</w:t>
      </w:r>
      <w:r w:rsidR="00C35939" w:rsidRPr="00B92144">
        <w:rPr>
          <w:rFonts w:asciiTheme="majorBidi" w:hAnsiTheme="majorBidi" w:cstheme="majorBidi"/>
          <w:sz w:val="24"/>
          <w:szCs w:val="24"/>
        </w:rPr>
        <w:t xml:space="preserve"> besides</w:t>
      </w:r>
      <w:r w:rsidR="00584DAC" w:rsidRPr="00B92144">
        <w:rPr>
          <w:rFonts w:asciiTheme="majorBidi" w:hAnsiTheme="majorBidi" w:cstheme="majorBidi"/>
          <w:sz w:val="24"/>
          <w:szCs w:val="24"/>
        </w:rPr>
        <w:t xml:space="preserve"> that </w:t>
      </w:r>
      <w:r w:rsidR="00C35939" w:rsidRPr="00B92144">
        <w:rPr>
          <w:rFonts w:asciiTheme="majorBidi" w:hAnsiTheme="majorBidi" w:cstheme="majorBidi"/>
          <w:sz w:val="24"/>
          <w:szCs w:val="24"/>
        </w:rPr>
        <w:t>block owners as well as foreign owners</w:t>
      </w:r>
      <w:r w:rsidR="00FB7B63" w:rsidRPr="00B92144">
        <w:rPr>
          <w:rFonts w:asciiTheme="majorBidi" w:hAnsiTheme="majorBidi" w:cstheme="majorBidi"/>
          <w:sz w:val="24"/>
          <w:szCs w:val="24"/>
        </w:rPr>
        <w:t xml:space="preserve"> do have superior access to private information including RRD</w:t>
      </w:r>
      <w:r w:rsidR="008B1CC5" w:rsidRPr="00B92144">
        <w:rPr>
          <w:rFonts w:asciiTheme="majorBidi" w:hAnsiTheme="majorBidi" w:cstheme="majorBidi"/>
          <w:sz w:val="24"/>
          <w:szCs w:val="24"/>
        </w:rPr>
        <w:t>,</w:t>
      </w:r>
      <w:r w:rsidR="00FB7B63" w:rsidRPr="00B92144">
        <w:rPr>
          <w:rFonts w:asciiTheme="majorBidi" w:hAnsiTheme="majorBidi" w:cstheme="majorBidi"/>
          <w:sz w:val="24"/>
          <w:szCs w:val="24"/>
        </w:rPr>
        <w:t xml:space="preserve"> reducing</w:t>
      </w:r>
      <w:r w:rsidR="008B1CC5" w:rsidRPr="00B92144">
        <w:rPr>
          <w:rFonts w:asciiTheme="majorBidi" w:hAnsiTheme="majorBidi" w:cstheme="majorBidi"/>
          <w:sz w:val="24"/>
          <w:szCs w:val="24"/>
        </w:rPr>
        <w:t xml:space="preserve"> hence</w:t>
      </w:r>
      <w:r w:rsidR="00FB7B63" w:rsidRPr="00B92144">
        <w:rPr>
          <w:rFonts w:asciiTheme="majorBidi" w:hAnsiTheme="majorBidi" w:cstheme="majorBidi"/>
          <w:sz w:val="24"/>
          <w:szCs w:val="24"/>
        </w:rPr>
        <w:t xml:space="preserve"> bank management’s incentive to disclose such information in their annual reports.</w:t>
      </w:r>
      <w:r w:rsidR="00254A1C" w:rsidRPr="00B92144">
        <w:rPr>
          <w:rFonts w:asciiTheme="majorBidi" w:hAnsiTheme="majorBidi" w:cstheme="majorBidi"/>
          <w:sz w:val="24"/>
          <w:szCs w:val="24"/>
        </w:rPr>
        <w:t xml:space="preserve"> </w:t>
      </w:r>
      <w:r w:rsidR="000958E9" w:rsidRPr="00B92144">
        <w:rPr>
          <w:rFonts w:asciiTheme="majorBidi" w:hAnsiTheme="majorBidi" w:cstheme="majorBidi"/>
          <w:sz w:val="24"/>
          <w:szCs w:val="24"/>
        </w:rPr>
        <w:t>A</w:t>
      </w:r>
      <w:r w:rsidR="00254A1C" w:rsidRPr="00B92144">
        <w:rPr>
          <w:rFonts w:asciiTheme="majorBidi" w:hAnsiTheme="majorBidi" w:cstheme="majorBidi"/>
          <w:sz w:val="24"/>
          <w:szCs w:val="24"/>
        </w:rPr>
        <w:t xml:space="preserve">s powerful investors, </w:t>
      </w:r>
      <w:r w:rsidR="000958E9" w:rsidRPr="00B92144">
        <w:rPr>
          <w:rFonts w:asciiTheme="majorBidi" w:hAnsiTheme="majorBidi" w:cstheme="majorBidi"/>
          <w:sz w:val="24"/>
          <w:szCs w:val="24"/>
        </w:rPr>
        <w:t>block</w:t>
      </w:r>
      <w:r w:rsidR="00254A1C" w:rsidRPr="00B92144">
        <w:rPr>
          <w:rFonts w:asciiTheme="majorBidi" w:hAnsiTheme="majorBidi" w:cstheme="majorBidi"/>
          <w:sz w:val="24"/>
          <w:szCs w:val="24"/>
        </w:rPr>
        <w:t xml:space="preserve"> owners might have other efficient means of communicating with </w:t>
      </w:r>
      <w:r w:rsidR="00C518FC" w:rsidRPr="00B92144">
        <w:rPr>
          <w:rFonts w:asciiTheme="majorBidi" w:hAnsiTheme="majorBidi" w:cstheme="majorBidi"/>
          <w:sz w:val="24"/>
          <w:szCs w:val="24"/>
        </w:rPr>
        <w:t>bank</w:t>
      </w:r>
      <w:r w:rsidR="00254A1C" w:rsidRPr="00B92144">
        <w:rPr>
          <w:rFonts w:asciiTheme="majorBidi" w:hAnsiTheme="majorBidi" w:cstheme="majorBidi"/>
          <w:sz w:val="24"/>
          <w:szCs w:val="24"/>
        </w:rPr>
        <w:t>s</w:t>
      </w:r>
      <w:r w:rsidR="00C518FC" w:rsidRPr="00B92144">
        <w:rPr>
          <w:rFonts w:asciiTheme="majorBidi" w:hAnsiTheme="majorBidi" w:cstheme="majorBidi"/>
          <w:sz w:val="24"/>
          <w:szCs w:val="24"/>
        </w:rPr>
        <w:t>’</w:t>
      </w:r>
      <w:r w:rsidR="00254A1C" w:rsidRPr="00B92144">
        <w:rPr>
          <w:rFonts w:asciiTheme="majorBidi" w:hAnsiTheme="majorBidi" w:cstheme="majorBidi"/>
          <w:sz w:val="24"/>
          <w:szCs w:val="24"/>
        </w:rPr>
        <w:t xml:space="preserve"> management, for example, one-to-one meetings.</w:t>
      </w:r>
      <w:r w:rsidR="00AA2160" w:rsidRPr="00B92144">
        <w:rPr>
          <w:rFonts w:asciiTheme="majorBidi" w:hAnsiTheme="majorBidi" w:cstheme="majorBidi"/>
          <w:sz w:val="24"/>
          <w:szCs w:val="24"/>
        </w:rPr>
        <w:t xml:space="preserve"> However, the low presence of foreign owners in Islamic banks may have prevented them from fulfilling their monitoring role.</w:t>
      </w:r>
    </w:p>
    <w:p w14:paraId="59EC5E29" w14:textId="00F0FCE1" w:rsidR="00C448F7" w:rsidRPr="00B92144" w:rsidRDefault="004912F6" w:rsidP="002A34A6">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Board features </w:t>
      </w:r>
      <w:r w:rsidR="00982719" w:rsidRPr="00B92144">
        <w:rPr>
          <w:rFonts w:asciiTheme="majorBidi" w:hAnsiTheme="majorBidi" w:cstheme="majorBidi"/>
          <w:sz w:val="24"/>
          <w:szCs w:val="24"/>
        </w:rPr>
        <w:t>seem to influence</w:t>
      </w:r>
      <w:r w:rsidR="009043A6" w:rsidRPr="00B92144">
        <w:rPr>
          <w:rFonts w:asciiTheme="majorBidi" w:hAnsiTheme="majorBidi" w:cstheme="majorBidi"/>
          <w:sz w:val="24"/>
          <w:szCs w:val="24"/>
        </w:rPr>
        <w:t xml:space="preserve"> </w:t>
      </w:r>
      <w:r w:rsidR="00A90EFD" w:rsidRPr="00B92144">
        <w:rPr>
          <w:rFonts w:asciiTheme="majorBidi" w:hAnsiTheme="majorBidi" w:cstheme="majorBidi"/>
          <w:sz w:val="24"/>
          <w:szCs w:val="24"/>
        </w:rPr>
        <w:t xml:space="preserve">in the same way </w:t>
      </w:r>
      <w:r w:rsidR="00982719" w:rsidRPr="00B92144">
        <w:rPr>
          <w:rFonts w:asciiTheme="majorBidi" w:hAnsiTheme="majorBidi" w:cstheme="majorBidi"/>
          <w:sz w:val="24"/>
          <w:szCs w:val="24"/>
        </w:rPr>
        <w:t xml:space="preserve">banks’ willingness to </w:t>
      </w:r>
      <w:r w:rsidR="000F737E" w:rsidRPr="00B92144">
        <w:rPr>
          <w:rFonts w:asciiTheme="majorBidi" w:hAnsiTheme="majorBidi" w:cstheme="majorBidi"/>
          <w:sz w:val="24"/>
          <w:szCs w:val="24"/>
        </w:rPr>
        <w:t>communicat</w:t>
      </w:r>
      <w:r w:rsidR="009043A6" w:rsidRPr="00B92144">
        <w:rPr>
          <w:rFonts w:asciiTheme="majorBidi" w:hAnsiTheme="majorBidi" w:cstheme="majorBidi"/>
          <w:sz w:val="24"/>
          <w:szCs w:val="24"/>
        </w:rPr>
        <w:t>e</w:t>
      </w:r>
      <w:r w:rsidR="00982719" w:rsidRPr="00B92144">
        <w:rPr>
          <w:rFonts w:asciiTheme="majorBidi" w:hAnsiTheme="majorBidi" w:cstheme="majorBidi"/>
          <w:sz w:val="24"/>
          <w:szCs w:val="24"/>
        </w:rPr>
        <w:t xml:space="preserve"> about their risk </w:t>
      </w:r>
      <w:r w:rsidR="009043A6" w:rsidRPr="00B92144">
        <w:rPr>
          <w:rFonts w:asciiTheme="majorBidi" w:hAnsiTheme="majorBidi" w:cstheme="majorBidi"/>
          <w:sz w:val="24"/>
          <w:szCs w:val="24"/>
        </w:rPr>
        <w:t xml:space="preserve">profile </w:t>
      </w:r>
      <w:r w:rsidR="00982719" w:rsidRPr="00B92144">
        <w:rPr>
          <w:rFonts w:asciiTheme="majorBidi" w:hAnsiTheme="majorBidi" w:cstheme="majorBidi"/>
          <w:sz w:val="24"/>
          <w:szCs w:val="24"/>
        </w:rPr>
        <w:t>and the way they manage</w:t>
      </w:r>
      <w:r w:rsidR="009043A6" w:rsidRPr="00B92144">
        <w:rPr>
          <w:rFonts w:asciiTheme="majorBidi" w:hAnsiTheme="majorBidi" w:cstheme="majorBidi"/>
          <w:sz w:val="24"/>
          <w:szCs w:val="24"/>
        </w:rPr>
        <w:t xml:space="preserve"> </w:t>
      </w:r>
      <w:r w:rsidR="00A90EFD" w:rsidRPr="00B92144">
        <w:rPr>
          <w:rFonts w:asciiTheme="majorBidi" w:hAnsiTheme="majorBidi" w:cstheme="majorBidi"/>
          <w:sz w:val="24"/>
          <w:szCs w:val="24"/>
        </w:rPr>
        <w:t>such</w:t>
      </w:r>
      <w:r w:rsidR="009043A6" w:rsidRPr="00B92144">
        <w:rPr>
          <w:rFonts w:asciiTheme="majorBidi" w:hAnsiTheme="majorBidi" w:cstheme="majorBidi"/>
          <w:sz w:val="24"/>
          <w:szCs w:val="24"/>
        </w:rPr>
        <w:t xml:space="preserve"> exposure</w:t>
      </w:r>
      <w:r w:rsidR="00982719" w:rsidRPr="00B92144">
        <w:rPr>
          <w:rFonts w:asciiTheme="majorBidi" w:hAnsiTheme="majorBidi" w:cstheme="majorBidi"/>
          <w:sz w:val="24"/>
          <w:szCs w:val="24"/>
        </w:rPr>
        <w:t xml:space="preserve">. </w:t>
      </w:r>
      <w:r w:rsidR="009043A6" w:rsidRPr="00B92144">
        <w:rPr>
          <w:rFonts w:asciiTheme="majorBidi" w:hAnsiTheme="majorBidi" w:cstheme="majorBidi"/>
          <w:sz w:val="24"/>
          <w:szCs w:val="24"/>
        </w:rPr>
        <w:t xml:space="preserve">While board size </w:t>
      </w:r>
      <w:r w:rsidR="002A34A6" w:rsidRPr="00B92144">
        <w:rPr>
          <w:rFonts w:asciiTheme="majorBidi" w:hAnsiTheme="majorBidi" w:cstheme="majorBidi"/>
          <w:sz w:val="24"/>
          <w:szCs w:val="24"/>
        </w:rPr>
        <w:t>affects</w:t>
      </w:r>
      <w:r w:rsidR="00A90EFD" w:rsidRPr="00B92144">
        <w:rPr>
          <w:rFonts w:asciiTheme="majorBidi" w:hAnsiTheme="majorBidi" w:cstheme="majorBidi"/>
          <w:sz w:val="24"/>
          <w:szCs w:val="24"/>
        </w:rPr>
        <w:t xml:space="preserve"> negatively (p&lt;.01) RRD by conventional banks, the presence of independent and foreign members on the board of Islamic banks increases their level of RRD (p&lt; .01).</w:t>
      </w:r>
      <w:r w:rsidR="00B77C53" w:rsidRPr="00B92144">
        <w:rPr>
          <w:rFonts w:asciiTheme="majorBidi" w:hAnsiTheme="majorBidi" w:cstheme="majorBidi"/>
          <w:sz w:val="24"/>
          <w:szCs w:val="24"/>
        </w:rPr>
        <w:t xml:space="preserve"> These findings corroborate our 9</w:t>
      </w:r>
      <w:r w:rsidR="00B77C53" w:rsidRPr="00B92144">
        <w:rPr>
          <w:rFonts w:asciiTheme="majorBidi" w:hAnsiTheme="majorBidi" w:cstheme="majorBidi"/>
          <w:sz w:val="24"/>
          <w:szCs w:val="24"/>
          <w:vertAlign w:val="superscript"/>
        </w:rPr>
        <w:t>th</w:t>
      </w:r>
      <w:r w:rsidR="00B77C53" w:rsidRPr="00B92144">
        <w:rPr>
          <w:rFonts w:asciiTheme="majorBidi" w:hAnsiTheme="majorBidi" w:cstheme="majorBidi"/>
          <w:sz w:val="24"/>
          <w:szCs w:val="24"/>
        </w:rPr>
        <w:t>, 10</w:t>
      </w:r>
      <w:r w:rsidR="00B77C53" w:rsidRPr="00B92144">
        <w:rPr>
          <w:rFonts w:asciiTheme="majorBidi" w:hAnsiTheme="majorBidi" w:cstheme="majorBidi"/>
          <w:sz w:val="24"/>
          <w:szCs w:val="24"/>
          <w:vertAlign w:val="superscript"/>
        </w:rPr>
        <w:t>th</w:t>
      </w:r>
      <w:r w:rsidR="00B77C53" w:rsidRPr="00B92144">
        <w:rPr>
          <w:rFonts w:asciiTheme="majorBidi" w:hAnsiTheme="majorBidi" w:cstheme="majorBidi"/>
          <w:sz w:val="24"/>
          <w:szCs w:val="24"/>
        </w:rPr>
        <w:t xml:space="preserve"> and 11</w:t>
      </w:r>
      <w:r w:rsidR="00B77C53" w:rsidRPr="00B92144">
        <w:rPr>
          <w:rFonts w:asciiTheme="majorBidi" w:hAnsiTheme="majorBidi" w:cstheme="majorBidi"/>
          <w:sz w:val="24"/>
          <w:szCs w:val="24"/>
          <w:vertAlign w:val="superscript"/>
        </w:rPr>
        <w:t>th</w:t>
      </w:r>
      <w:r w:rsidR="00B77C53" w:rsidRPr="00B92144">
        <w:rPr>
          <w:rFonts w:asciiTheme="majorBidi" w:hAnsiTheme="majorBidi" w:cstheme="majorBidi"/>
          <w:sz w:val="24"/>
          <w:szCs w:val="24"/>
        </w:rPr>
        <w:t xml:space="preserve"> hypotheses and are consistent with </w:t>
      </w:r>
      <w:r w:rsidR="00B77C53" w:rsidRPr="00B92144">
        <w:rPr>
          <w:rFonts w:asciiTheme="majorBidi" w:hAnsiTheme="majorBidi" w:cstheme="majorBidi"/>
          <w:color w:val="1F497D" w:themeColor="text2"/>
          <w:sz w:val="24"/>
          <w:szCs w:val="24"/>
        </w:rPr>
        <w:t xml:space="preserve">Abraham &amp; Cox, (2007), Lopes &amp; Rodrigues, (2007), </w:t>
      </w:r>
      <w:r w:rsidR="0047558A" w:rsidRPr="00B92144">
        <w:rPr>
          <w:rFonts w:asciiTheme="majorBidi" w:hAnsiTheme="majorBidi" w:cstheme="majorBidi"/>
          <w:color w:val="1F497D" w:themeColor="text2"/>
          <w:sz w:val="24"/>
          <w:szCs w:val="24"/>
        </w:rPr>
        <w:t>Oliveira, Rodrigues, &amp; Craig</w:t>
      </w:r>
      <w:r w:rsidR="00B77C53" w:rsidRPr="00B92144">
        <w:rPr>
          <w:rFonts w:asciiTheme="majorBidi" w:hAnsiTheme="majorBidi" w:cstheme="majorBidi"/>
          <w:color w:val="1F497D" w:themeColor="text2"/>
          <w:sz w:val="24"/>
          <w:szCs w:val="24"/>
        </w:rPr>
        <w:t>, (2011</w:t>
      </w:r>
      <w:r w:rsidR="0047558A" w:rsidRPr="00B92144">
        <w:rPr>
          <w:rFonts w:asciiTheme="majorBidi" w:hAnsiTheme="majorBidi" w:cstheme="majorBidi"/>
          <w:color w:val="1F497D" w:themeColor="text2"/>
          <w:sz w:val="24"/>
          <w:szCs w:val="24"/>
        </w:rPr>
        <w:t>b</w:t>
      </w:r>
      <w:r w:rsidR="00B77C53" w:rsidRPr="00B92144">
        <w:rPr>
          <w:rFonts w:asciiTheme="majorBidi" w:hAnsiTheme="majorBidi" w:cstheme="majorBidi"/>
          <w:color w:val="1F497D" w:themeColor="text2"/>
          <w:sz w:val="24"/>
          <w:szCs w:val="24"/>
        </w:rPr>
        <w:t xml:space="preserve">), Barakat &amp; Hussainey, (2013), Elshandidy et al. (2013) and Mousa &amp; ElAmir (2014). </w:t>
      </w:r>
      <w:r w:rsidR="00B77C53" w:rsidRPr="00B92144">
        <w:rPr>
          <w:rFonts w:asciiTheme="majorBidi" w:hAnsiTheme="majorBidi" w:cstheme="majorBidi"/>
          <w:sz w:val="24"/>
          <w:szCs w:val="24"/>
        </w:rPr>
        <w:t xml:space="preserve">They indicate besides that small boards in </w:t>
      </w:r>
      <w:r w:rsidR="002A34A6" w:rsidRPr="00B92144">
        <w:rPr>
          <w:rFonts w:asciiTheme="majorBidi" w:hAnsiTheme="majorBidi" w:cstheme="majorBidi"/>
          <w:sz w:val="24"/>
          <w:szCs w:val="24"/>
        </w:rPr>
        <w:t>conventional</w:t>
      </w:r>
      <w:r w:rsidR="00B77C53" w:rsidRPr="00B92144">
        <w:rPr>
          <w:rFonts w:asciiTheme="majorBidi" w:hAnsiTheme="majorBidi" w:cstheme="majorBidi"/>
          <w:sz w:val="24"/>
          <w:szCs w:val="24"/>
        </w:rPr>
        <w:t xml:space="preserve"> banks are more efficient in fulfilling their monitoring role with regard banks’ transparency about their risk factors. </w:t>
      </w:r>
      <w:r w:rsidR="002E797A" w:rsidRPr="00B92144">
        <w:rPr>
          <w:rFonts w:asciiTheme="majorBidi" w:hAnsiTheme="majorBidi" w:cstheme="majorBidi"/>
          <w:sz w:val="24"/>
          <w:szCs w:val="24"/>
        </w:rPr>
        <w:t>Furthermore, o</w:t>
      </w:r>
      <w:r w:rsidR="00B77C53" w:rsidRPr="00B92144">
        <w:rPr>
          <w:rFonts w:asciiTheme="majorBidi" w:hAnsiTheme="majorBidi" w:cstheme="majorBidi"/>
          <w:sz w:val="24"/>
          <w:szCs w:val="24"/>
        </w:rPr>
        <w:t xml:space="preserve">ur results bring forward the </w:t>
      </w:r>
      <w:r w:rsidR="00C448F7" w:rsidRPr="00B92144">
        <w:rPr>
          <w:rFonts w:asciiTheme="majorBidi" w:hAnsiTheme="majorBidi" w:cstheme="majorBidi"/>
          <w:sz w:val="24"/>
          <w:szCs w:val="24"/>
        </w:rPr>
        <w:t>crucial role</w:t>
      </w:r>
      <w:r w:rsidR="00B77C53" w:rsidRPr="00B92144">
        <w:rPr>
          <w:rFonts w:asciiTheme="majorBidi" w:hAnsiTheme="majorBidi" w:cstheme="majorBidi"/>
          <w:sz w:val="24"/>
          <w:szCs w:val="24"/>
        </w:rPr>
        <w:t xml:space="preserve"> of </w:t>
      </w:r>
      <w:r w:rsidR="002E797A" w:rsidRPr="00B92144">
        <w:rPr>
          <w:rFonts w:asciiTheme="majorBidi" w:hAnsiTheme="majorBidi" w:cstheme="majorBidi"/>
          <w:sz w:val="24"/>
          <w:szCs w:val="24"/>
        </w:rPr>
        <w:t xml:space="preserve">independent and foreign </w:t>
      </w:r>
      <w:r w:rsidR="00C448F7" w:rsidRPr="00B92144">
        <w:rPr>
          <w:rFonts w:asciiTheme="majorBidi" w:hAnsiTheme="majorBidi" w:cstheme="majorBidi"/>
          <w:sz w:val="24"/>
          <w:szCs w:val="24"/>
        </w:rPr>
        <w:t xml:space="preserve">board </w:t>
      </w:r>
      <w:r w:rsidR="002E797A" w:rsidRPr="00B92144">
        <w:rPr>
          <w:rFonts w:asciiTheme="majorBidi" w:hAnsiTheme="majorBidi" w:cstheme="majorBidi"/>
          <w:sz w:val="24"/>
          <w:szCs w:val="24"/>
        </w:rPr>
        <w:t xml:space="preserve">members in enriching Islamic banks’ informational environment. </w:t>
      </w:r>
      <w:r w:rsidR="00C448F7" w:rsidRPr="00B92144">
        <w:rPr>
          <w:rFonts w:asciiTheme="majorBidi" w:hAnsiTheme="majorBidi" w:cstheme="majorBidi"/>
          <w:sz w:val="24"/>
          <w:szCs w:val="24"/>
        </w:rPr>
        <w:t>As suggested, a board equipped with better resources in terms of qualification and experience can follow robust processes to identify, monitor, and report risk information to satisfy the specific stakeholders of Islamic banks.</w:t>
      </w:r>
    </w:p>
    <w:p w14:paraId="075FAB42" w14:textId="24F28B35" w:rsidR="00E964EC" w:rsidRPr="00B92144" w:rsidRDefault="00C47B65" w:rsidP="009B04B8">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lastRenderedPageBreak/>
        <w:t xml:space="preserve">As </w:t>
      </w:r>
      <w:r w:rsidR="005B0FA6" w:rsidRPr="00B92144">
        <w:rPr>
          <w:rFonts w:asciiTheme="majorBidi" w:hAnsiTheme="majorBidi" w:cstheme="majorBidi"/>
          <w:sz w:val="24"/>
          <w:szCs w:val="24"/>
        </w:rPr>
        <w:t xml:space="preserve">regard </w:t>
      </w:r>
      <w:r w:rsidRPr="00B92144">
        <w:rPr>
          <w:rFonts w:asciiTheme="majorBidi" w:hAnsiTheme="majorBidi" w:cstheme="majorBidi"/>
          <w:sz w:val="24"/>
          <w:szCs w:val="24"/>
        </w:rPr>
        <w:t xml:space="preserve">to </w:t>
      </w:r>
      <w:r w:rsidR="005B0FA6" w:rsidRPr="00B92144">
        <w:rPr>
          <w:rFonts w:asciiTheme="majorBidi" w:hAnsiTheme="majorBidi" w:cstheme="majorBidi"/>
          <w:sz w:val="24"/>
          <w:szCs w:val="24"/>
        </w:rPr>
        <w:t>control vari</w:t>
      </w:r>
      <w:r w:rsidRPr="00B92144">
        <w:rPr>
          <w:rFonts w:asciiTheme="majorBidi" w:hAnsiTheme="majorBidi" w:cstheme="majorBidi"/>
          <w:sz w:val="24"/>
          <w:szCs w:val="24"/>
        </w:rPr>
        <w:t>a</w:t>
      </w:r>
      <w:r w:rsidR="005B0FA6" w:rsidRPr="00B92144">
        <w:rPr>
          <w:rFonts w:asciiTheme="majorBidi" w:hAnsiTheme="majorBidi" w:cstheme="majorBidi"/>
          <w:sz w:val="24"/>
          <w:szCs w:val="24"/>
        </w:rPr>
        <w:t>bles</w:t>
      </w:r>
      <w:r w:rsidRPr="00B92144">
        <w:rPr>
          <w:rFonts w:asciiTheme="majorBidi" w:hAnsiTheme="majorBidi" w:cstheme="majorBidi"/>
          <w:sz w:val="24"/>
          <w:szCs w:val="24"/>
        </w:rPr>
        <w:t>, our multiple regression analysis shows that the higher the country GDP, the lower is RRD by conventional banks in these countries. Moreover, Islamic banks in countries with higher disclosure index are more transparent about their risks and opportunities.</w:t>
      </w:r>
      <w:r w:rsidR="002A34A6" w:rsidRPr="00B92144">
        <w:rPr>
          <w:rFonts w:asciiTheme="majorBidi" w:hAnsiTheme="majorBidi" w:cstheme="majorBidi"/>
          <w:sz w:val="24"/>
          <w:szCs w:val="24"/>
        </w:rPr>
        <w:t xml:space="preserve"> Our finding is consistent with </w:t>
      </w:r>
      <w:r w:rsidR="002A34A6" w:rsidRPr="00B92144">
        <w:rPr>
          <w:rFonts w:asciiTheme="majorBidi" w:hAnsiTheme="majorBidi" w:cstheme="majorBidi"/>
          <w:color w:val="1F497D" w:themeColor="text2"/>
          <w:sz w:val="24"/>
          <w:szCs w:val="24"/>
        </w:rPr>
        <w:t>Grassa and Chakroun (2016).</w:t>
      </w:r>
      <w:r w:rsidRPr="00B92144">
        <w:rPr>
          <w:rFonts w:asciiTheme="majorBidi" w:hAnsiTheme="majorBidi" w:cstheme="majorBidi"/>
          <w:sz w:val="24"/>
          <w:szCs w:val="24"/>
        </w:rPr>
        <w:t xml:space="preserve"> </w:t>
      </w:r>
      <w:r w:rsidR="002A34A6" w:rsidRPr="00B92144">
        <w:rPr>
          <w:rFonts w:asciiTheme="majorBidi" w:hAnsiTheme="majorBidi" w:cstheme="majorBidi"/>
          <w:sz w:val="24"/>
          <w:szCs w:val="24"/>
        </w:rPr>
        <w:t>F</w:t>
      </w:r>
      <w:r w:rsidRPr="00B92144">
        <w:rPr>
          <w:rFonts w:asciiTheme="majorBidi" w:hAnsiTheme="majorBidi" w:cstheme="majorBidi"/>
          <w:sz w:val="24"/>
          <w:szCs w:val="24"/>
        </w:rPr>
        <w:t xml:space="preserve">or both Islamic and conventional banks, the higher TIER1 capital the lower is the level of risk disclosure. This suggests that healthier banks </w:t>
      </w:r>
      <w:r w:rsidR="00123FCA" w:rsidRPr="00B92144">
        <w:rPr>
          <w:rFonts w:asciiTheme="majorBidi" w:hAnsiTheme="majorBidi" w:cstheme="majorBidi"/>
          <w:sz w:val="24"/>
          <w:szCs w:val="24"/>
        </w:rPr>
        <w:t>reveal less risk information as they are unlikely to be a</w:t>
      </w:r>
      <w:r w:rsidRPr="00B92144">
        <w:rPr>
          <w:rFonts w:asciiTheme="majorBidi" w:hAnsiTheme="majorBidi" w:cstheme="majorBidi"/>
          <w:sz w:val="24"/>
          <w:szCs w:val="24"/>
        </w:rPr>
        <w:t xml:space="preserve"> </w:t>
      </w:r>
      <w:r w:rsidR="00123FCA" w:rsidRPr="00B92144">
        <w:rPr>
          <w:rFonts w:asciiTheme="majorBidi" w:hAnsiTheme="majorBidi" w:cstheme="majorBidi"/>
          <w:sz w:val="24"/>
          <w:szCs w:val="24"/>
        </w:rPr>
        <w:t>subject for extra pressures from stakeholders.</w:t>
      </w:r>
    </w:p>
    <w:p w14:paraId="6DC48421" w14:textId="04EB6C47" w:rsidR="0094299A" w:rsidRPr="00B92144" w:rsidRDefault="0094299A" w:rsidP="00A273B5">
      <w:pPr>
        <w:pStyle w:val="ListParagraph"/>
        <w:numPr>
          <w:ilvl w:val="0"/>
          <w:numId w:val="8"/>
        </w:numPr>
        <w:spacing w:line="360" w:lineRule="auto"/>
        <w:jc w:val="both"/>
        <w:rPr>
          <w:rFonts w:asciiTheme="majorBidi" w:hAnsiTheme="majorBidi" w:cstheme="majorBidi"/>
          <w:sz w:val="24"/>
          <w:szCs w:val="24"/>
        </w:rPr>
      </w:pPr>
      <w:r w:rsidRPr="00B92144">
        <w:rPr>
          <w:rFonts w:asciiTheme="majorBidi" w:hAnsiTheme="majorBidi" w:cstheme="majorBidi"/>
          <w:b/>
          <w:sz w:val="24"/>
          <w:szCs w:val="24"/>
        </w:rPr>
        <w:t>Additional tests</w:t>
      </w:r>
      <w:r w:rsidRPr="00B92144">
        <w:rPr>
          <w:rFonts w:asciiTheme="majorBidi" w:hAnsiTheme="majorBidi" w:cstheme="majorBidi"/>
          <w:sz w:val="24"/>
          <w:szCs w:val="24"/>
        </w:rPr>
        <w:t>:</w:t>
      </w:r>
    </w:p>
    <w:p w14:paraId="257741D5" w14:textId="229D3A20" w:rsidR="00E05652" w:rsidRPr="00B92144" w:rsidRDefault="0094299A" w:rsidP="007F5D98">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In this </w:t>
      </w:r>
      <w:r w:rsidR="00634C70" w:rsidRPr="00B92144">
        <w:rPr>
          <w:rFonts w:asciiTheme="majorBidi" w:hAnsiTheme="majorBidi" w:cstheme="majorBidi"/>
          <w:sz w:val="24"/>
          <w:szCs w:val="24"/>
        </w:rPr>
        <w:t>section,</w:t>
      </w:r>
      <w:r w:rsidRPr="00B92144">
        <w:rPr>
          <w:rFonts w:asciiTheme="majorBidi" w:hAnsiTheme="majorBidi" w:cstheme="majorBidi"/>
          <w:sz w:val="24"/>
          <w:szCs w:val="24"/>
        </w:rPr>
        <w:t xml:space="preserve"> we investigate the bi-directional relationship between </w:t>
      </w:r>
      <w:r w:rsidR="00A512F3" w:rsidRPr="00B92144">
        <w:rPr>
          <w:rFonts w:asciiTheme="majorBidi" w:hAnsiTheme="majorBidi" w:cstheme="majorBidi"/>
          <w:sz w:val="24"/>
          <w:szCs w:val="24"/>
        </w:rPr>
        <w:t>R</w:t>
      </w:r>
      <w:r w:rsidR="00634C70" w:rsidRPr="00B92144">
        <w:rPr>
          <w:rFonts w:asciiTheme="majorBidi" w:hAnsiTheme="majorBidi" w:cstheme="majorBidi"/>
          <w:sz w:val="24"/>
          <w:szCs w:val="24"/>
        </w:rPr>
        <w:t>R</w:t>
      </w:r>
      <w:r w:rsidR="00A512F3" w:rsidRPr="00B92144">
        <w:rPr>
          <w:rFonts w:asciiTheme="majorBidi" w:hAnsiTheme="majorBidi" w:cstheme="majorBidi"/>
          <w:sz w:val="24"/>
          <w:szCs w:val="24"/>
        </w:rPr>
        <w:t>D</w:t>
      </w:r>
      <w:r w:rsidRPr="00B92144">
        <w:rPr>
          <w:rFonts w:asciiTheme="majorBidi" w:hAnsiTheme="majorBidi" w:cstheme="majorBidi"/>
          <w:sz w:val="24"/>
          <w:szCs w:val="24"/>
        </w:rPr>
        <w:t xml:space="preserve"> and FP.</w:t>
      </w:r>
      <w:r w:rsidR="00FB44D8"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To account for a potential endogeneity between </w:t>
      </w:r>
      <w:r w:rsidR="00A512F3" w:rsidRPr="00B92144">
        <w:rPr>
          <w:rFonts w:asciiTheme="majorBidi" w:hAnsiTheme="majorBidi" w:cstheme="majorBidi"/>
          <w:sz w:val="24"/>
          <w:szCs w:val="24"/>
        </w:rPr>
        <w:t>R</w:t>
      </w:r>
      <w:r w:rsidR="00634C70" w:rsidRPr="00B92144">
        <w:rPr>
          <w:rFonts w:asciiTheme="majorBidi" w:hAnsiTheme="majorBidi" w:cstheme="majorBidi"/>
          <w:sz w:val="24"/>
          <w:szCs w:val="24"/>
        </w:rPr>
        <w:t>R</w:t>
      </w:r>
      <w:r w:rsidR="00A512F3" w:rsidRPr="00B92144">
        <w:rPr>
          <w:rFonts w:asciiTheme="majorBidi" w:hAnsiTheme="majorBidi" w:cstheme="majorBidi"/>
          <w:sz w:val="24"/>
          <w:szCs w:val="24"/>
        </w:rPr>
        <w:t>D</w:t>
      </w:r>
      <w:r w:rsidRPr="00B92144">
        <w:rPr>
          <w:rFonts w:asciiTheme="majorBidi" w:hAnsiTheme="majorBidi" w:cstheme="majorBidi"/>
          <w:sz w:val="24"/>
          <w:szCs w:val="24"/>
        </w:rPr>
        <w:t xml:space="preserve"> and FP we use Durbin-Wu-Hausman test (</w:t>
      </w:r>
      <w:r w:rsidRPr="00B92144">
        <w:rPr>
          <w:rFonts w:asciiTheme="majorBidi" w:hAnsiTheme="majorBidi" w:cstheme="majorBidi"/>
          <w:color w:val="1F497D" w:themeColor="text2"/>
          <w:sz w:val="24"/>
          <w:szCs w:val="24"/>
        </w:rPr>
        <w:t>e.g., Hausman, 1978</w:t>
      </w:r>
      <w:r w:rsidRPr="00B92144">
        <w:rPr>
          <w:rFonts w:asciiTheme="majorBidi" w:hAnsiTheme="majorBidi" w:cstheme="majorBidi"/>
          <w:sz w:val="24"/>
          <w:szCs w:val="24"/>
        </w:rPr>
        <w:t>).</w:t>
      </w:r>
      <w:r w:rsidR="00E802A2"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The result </w:t>
      </w:r>
      <w:r w:rsidR="00FE4A3F" w:rsidRPr="00B92144">
        <w:rPr>
          <w:rFonts w:asciiTheme="majorBidi" w:hAnsiTheme="majorBidi" w:cstheme="majorBidi"/>
          <w:sz w:val="24"/>
          <w:szCs w:val="24"/>
        </w:rPr>
        <w:t xml:space="preserve">of </w:t>
      </w:r>
      <w:r w:rsidRPr="00B92144">
        <w:rPr>
          <w:rFonts w:asciiTheme="majorBidi" w:hAnsiTheme="majorBidi" w:cstheme="majorBidi"/>
          <w:sz w:val="24"/>
          <w:szCs w:val="24"/>
        </w:rPr>
        <w:t>the Durbin–Wu–Hausman test rejects the null hypothesis of no endogeneity at the 10% level. Therefore, we</w:t>
      </w:r>
      <w:r w:rsidR="00934AE7" w:rsidRPr="00B92144">
        <w:rPr>
          <w:rFonts w:asciiTheme="majorBidi" w:hAnsiTheme="majorBidi" w:cstheme="majorBidi"/>
          <w:sz w:val="24"/>
          <w:szCs w:val="24"/>
        </w:rPr>
        <w:t xml:space="preserve"> conclude that G</w:t>
      </w:r>
      <w:r w:rsidRPr="00B92144">
        <w:rPr>
          <w:rFonts w:asciiTheme="majorBidi" w:hAnsiTheme="majorBidi" w:cstheme="majorBidi"/>
          <w:sz w:val="24"/>
          <w:szCs w:val="24"/>
        </w:rPr>
        <w:t>LS may lead to biased and inconsistent estimates in our sample. To this end, we estimate Eqs. (3a) and (3b)</w:t>
      </w:r>
      <w:r w:rsidR="00934AE7" w:rsidRPr="00B92144">
        <w:rPr>
          <w:rFonts w:asciiTheme="majorBidi" w:hAnsiTheme="majorBidi" w:cstheme="majorBidi"/>
          <w:sz w:val="24"/>
          <w:szCs w:val="24"/>
        </w:rPr>
        <w:t xml:space="preserve"> </w:t>
      </w:r>
      <w:r w:rsidRPr="00B92144">
        <w:rPr>
          <w:rFonts w:asciiTheme="majorBidi" w:hAnsiTheme="majorBidi" w:cstheme="majorBidi"/>
          <w:sz w:val="24"/>
          <w:szCs w:val="24"/>
        </w:rPr>
        <w:t>jointly using three-stage least squares regression</w:t>
      </w:r>
      <w:r w:rsidR="00934AE7"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to deal with any potential endogeneity between </w:t>
      </w:r>
      <w:r w:rsidR="00D1794E" w:rsidRPr="00B92144">
        <w:rPr>
          <w:rFonts w:asciiTheme="majorBidi" w:hAnsiTheme="majorBidi" w:cstheme="majorBidi"/>
          <w:sz w:val="24"/>
          <w:szCs w:val="24"/>
        </w:rPr>
        <w:t>R</w:t>
      </w:r>
      <w:r w:rsidR="00A512F3" w:rsidRPr="00B92144">
        <w:rPr>
          <w:rFonts w:asciiTheme="majorBidi" w:hAnsiTheme="majorBidi" w:cstheme="majorBidi"/>
          <w:sz w:val="24"/>
          <w:szCs w:val="24"/>
        </w:rPr>
        <w:t>RD</w:t>
      </w:r>
      <w:r w:rsidRPr="00B92144">
        <w:rPr>
          <w:rFonts w:asciiTheme="majorBidi" w:hAnsiTheme="majorBidi" w:cstheme="majorBidi"/>
          <w:sz w:val="24"/>
          <w:szCs w:val="24"/>
        </w:rPr>
        <w:t xml:space="preserve"> and FP. The 3SLS</w:t>
      </w:r>
      <w:r w:rsidR="00934AE7" w:rsidRPr="00B92144">
        <w:rPr>
          <w:rFonts w:asciiTheme="majorBidi" w:hAnsiTheme="majorBidi" w:cstheme="majorBidi"/>
          <w:sz w:val="24"/>
          <w:szCs w:val="24"/>
        </w:rPr>
        <w:t xml:space="preserve"> </w:t>
      </w:r>
      <w:r w:rsidRPr="00B92144">
        <w:rPr>
          <w:rFonts w:asciiTheme="majorBidi" w:hAnsiTheme="majorBidi" w:cstheme="majorBidi"/>
          <w:sz w:val="24"/>
          <w:szCs w:val="24"/>
        </w:rPr>
        <w:t>estimation results for the simultaneous system are summari</w:t>
      </w:r>
      <w:r w:rsidR="00FC361E" w:rsidRPr="00B92144">
        <w:rPr>
          <w:rFonts w:asciiTheme="majorBidi" w:hAnsiTheme="majorBidi" w:cstheme="majorBidi"/>
          <w:sz w:val="24"/>
          <w:szCs w:val="24"/>
        </w:rPr>
        <w:t>z</w:t>
      </w:r>
      <w:r w:rsidRPr="00B92144">
        <w:rPr>
          <w:rFonts w:asciiTheme="majorBidi" w:hAnsiTheme="majorBidi" w:cstheme="majorBidi"/>
          <w:sz w:val="24"/>
          <w:szCs w:val="24"/>
        </w:rPr>
        <w:t xml:space="preserve">ed in Table </w:t>
      </w:r>
      <w:r w:rsidR="00934AE7" w:rsidRPr="00B92144">
        <w:rPr>
          <w:rFonts w:asciiTheme="majorBidi" w:hAnsiTheme="majorBidi" w:cstheme="majorBidi"/>
          <w:sz w:val="24"/>
          <w:szCs w:val="24"/>
        </w:rPr>
        <w:t>7</w:t>
      </w:r>
      <w:r w:rsidRPr="00B92144">
        <w:rPr>
          <w:rFonts w:asciiTheme="majorBidi" w:hAnsiTheme="majorBidi" w:cstheme="majorBidi"/>
          <w:sz w:val="24"/>
          <w:szCs w:val="24"/>
        </w:rPr>
        <w:t>. Panel A presents the results of the impact of FP</w:t>
      </w:r>
      <w:r w:rsidR="00934AE7"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on </w:t>
      </w:r>
      <w:r w:rsidR="00D1794E" w:rsidRPr="00B92144">
        <w:rPr>
          <w:rFonts w:asciiTheme="majorBidi" w:hAnsiTheme="majorBidi" w:cstheme="majorBidi"/>
          <w:sz w:val="24"/>
          <w:szCs w:val="24"/>
        </w:rPr>
        <w:t>R</w:t>
      </w:r>
      <w:r w:rsidR="00A512F3" w:rsidRPr="00B92144">
        <w:rPr>
          <w:rFonts w:asciiTheme="majorBidi" w:hAnsiTheme="majorBidi" w:cstheme="majorBidi"/>
          <w:sz w:val="24"/>
          <w:szCs w:val="24"/>
        </w:rPr>
        <w:t>RD</w:t>
      </w:r>
      <w:r w:rsidRPr="00B92144">
        <w:rPr>
          <w:rFonts w:asciiTheme="majorBidi" w:hAnsiTheme="majorBidi" w:cstheme="majorBidi"/>
          <w:sz w:val="24"/>
          <w:szCs w:val="24"/>
        </w:rPr>
        <w:t xml:space="preserve"> as in Eq. (3a) whilst Panel B presents the impact of R</w:t>
      </w:r>
      <w:r w:rsidR="00D1794E" w:rsidRPr="00B92144">
        <w:rPr>
          <w:rFonts w:asciiTheme="majorBidi" w:hAnsiTheme="majorBidi" w:cstheme="majorBidi"/>
          <w:sz w:val="24"/>
          <w:szCs w:val="24"/>
        </w:rPr>
        <w:t>R</w:t>
      </w:r>
      <w:r w:rsidR="00FE4A3F" w:rsidRPr="00B92144">
        <w:rPr>
          <w:rFonts w:asciiTheme="majorBidi" w:hAnsiTheme="majorBidi" w:cstheme="majorBidi"/>
          <w:sz w:val="24"/>
          <w:szCs w:val="24"/>
        </w:rPr>
        <w:t>D</w:t>
      </w:r>
      <w:r w:rsidRPr="00B92144">
        <w:rPr>
          <w:rFonts w:asciiTheme="majorBidi" w:hAnsiTheme="majorBidi" w:cstheme="majorBidi"/>
          <w:sz w:val="24"/>
          <w:szCs w:val="24"/>
        </w:rPr>
        <w:t xml:space="preserve"> on the FP as in Eq. (3b). The coefficient on ROA in the </w:t>
      </w:r>
      <w:r w:rsidR="00DA0EBC" w:rsidRPr="00B92144">
        <w:rPr>
          <w:rFonts w:asciiTheme="majorBidi" w:hAnsiTheme="majorBidi" w:cstheme="majorBidi"/>
          <w:sz w:val="24"/>
          <w:szCs w:val="24"/>
        </w:rPr>
        <w:t>R</w:t>
      </w:r>
      <w:r w:rsidR="00D1794E" w:rsidRPr="00B92144">
        <w:rPr>
          <w:rFonts w:asciiTheme="majorBidi" w:hAnsiTheme="majorBidi" w:cstheme="majorBidi"/>
          <w:sz w:val="24"/>
          <w:szCs w:val="24"/>
        </w:rPr>
        <w:t>R</w:t>
      </w:r>
      <w:r w:rsidR="00DA0EBC" w:rsidRPr="00B92144">
        <w:rPr>
          <w:rFonts w:asciiTheme="majorBidi" w:hAnsiTheme="majorBidi" w:cstheme="majorBidi"/>
          <w:sz w:val="24"/>
          <w:szCs w:val="24"/>
        </w:rPr>
        <w:t>D</w:t>
      </w:r>
      <w:r w:rsidR="00934AE7" w:rsidRPr="00B92144">
        <w:rPr>
          <w:rFonts w:asciiTheme="majorBidi" w:hAnsiTheme="majorBidi" w:cstheme="majorBidi"/>
          <w:sz w:val="24"/>
          <w:szCs w:val="24"/>
        </w:rPr>
        <w:t xml:space="preserve"> </w:t>
      </w:r>
      <w:r w:rsidRPr="00B92144">
        <w:rPr>
          <w:rFonts w:asciiTheme="majorBidi" w:hAnsiTheme="majorBidi" w:cstheme="majorBidi"/>
          <w:sz w:val="24"/>
          <w:szCs w:val="24"/>
        </w:rPr>
        <w:t>equation remains p</w:t>
      </w:r>
      <w:r w:rsidR="00DA0EBC" w:rsidRPr="00B92144">
        <w:rPr>
          <w:rFonts w:asciiTheme="majorBidi" w:hAnsiTheme="majorBidi" w:cstheme="majorBidi"/>
          <w:sz w:val="24"/>
          <w:szCs w:val="24"/>
        </w:rPr>
        <w:t>ositive and significant at the 5</w:t>
      </w:r>
      <w:r w:rsidRPr="00B92144">
        <w:rPr>
          <w:rFonts w:asciiTheme="majorBidi" w:hAnsiTheme="majorBidi" w:cstheme="majorBidi"/>
          <w:sz w:val="24"/>
          <w:szCs w:val="24"/>
        </w:rPr>
        <w:t xml:space="preserve">% level. However, the coefficient on </w:t>
      </w:r>
      <w:r w:rsidR="00DA0EBC" w:rsidRPr="00B92144">
        <w:rPr>
          <w:rFonts w:asciiTheme="majorBidi" w:hAnsiTheme="majorBidi" w:cstheme="majorBidi"/>
          <w:sz w:val="24"/>
          <w:szCs w:val="24"/>
        </w:rPr>
        <w:t>R</w:t>
      </w:r>
      <w:r w:rsidR="00D1794E" w:rsidRPr="00B92144">
        <w:rPr>
          <w:rFonts w:asciiTheme="majorBidi" w:hAnsiTheme="majorBidi" w:cstheme="majorBidi"/>
          <w:sz w:val="24"/>
          <w:szCs w:val="24"/>
        </w:rPr>
        <w:t>R</w:t>
      </w:r>
      <w:r w:rsidR="00DA0EBC" w:rsidRPr="00B92144">
        <w:rPr>
          <w:rFonts w:asciiTheme="majorBidi" w:hAnsiTheme="majorBidi" w:cstheme="majorBidi"/>
          <w:sz w:val="24"/>
          <w:szCs w:val="24"/>
        </w:rPr>
        <w:t>D</w:t>
      </w:r>
      <w:r w:rsidRPr="00B92144">
        <w:rPr>
          <w:rFonts w:asciiTheme="majorBidi" w:hAnsiTheme="majorBidi" w:cstheme="majorBidi"/>
          <w:sz w:val="24"/>
          <w:szCs w:val="24"/>
        </w:rPr>
        <w:t xml:space="preserve"> in the FP equation turns out to be</w:t>
      </w:r>
      <w:r w:rsidR="00DA0EBC"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statistically insignificant. This suggests that the causality between the two endogenous variables runs from FP to </w:t>
      </w:r>
      <w:r w:rsidR="00DA0EBC" w:rsidRPr="00B92144">
        <w:rPr>
          <w:rFonts w:asciiTheme="majorBidi" w:hAnsiTheme="majorBidi" w:cstheme="majorBidi"/>
          <w:sz w:val="24"/>
          <w:szCs w:val="24"/>
        </w:rPr>
        <w:t>R</w:t>
      </w:r>
      <w:r w:rsidR="00D1794E" w:rsidRPr="00B92144">
        <w:rPr>
          <w:rFonts w:asciiTheme="majorBidi" w:hAnsiTheme="majorBidi" w:cstheme="majorBidi"/>
          <w:sz w:val="24"/>
          <w:szCs w:val="24"/>
        </w:rPr>
        <w:t>R</w:t>
      </w:r>
      <w:r w:rsidR="00DA0EBC" w:rsidRPr="00B92144">
        <w:rPr>
          <w:rFonts w:asciiTheme="majorBidi" w:hAnsiTheme="majorBidi" w:cstheme="majorBidi"/>
          <w:sz w:val="24"/>
          <w:szCs w:val="24"/>
        </w:rPr>
        <w:t>D</w:t>
      </w:r>
      <w:r w:rsidRPr="00B92144">
        <w:rPr>
          <w:rFonts w:asciiTheme="majorBidi" w:hAnsiTheme="majorBidi" w:cstheme="majorBidi"/>
          <w:sz w:val="24"/>
          <w:szCs w:val="24"/>
        </w:rPr>
        <w:t>. The result of the Breusch–Pagan test shows that cross-equation residuals were not independent (p-value = 0.0</w:t>
      </w:r>
      <w:r w:rsidR="007F5D98" w:rsidRPr="00B92144">
        <w:rPr>
          <w:rFonts w:asciiTheme="majorBidi" w:hAnsiTheme="majorBidi" w:cstheme="majorBidi"/>
          <w:sz w:val="24"/>
          <w:szCs w:val="24"/>
        </w:rPr>
        <w:t>2</w:t>
      </w:r>
      <w:r w:rsidRPr="00B92144">
        <w:rPr>
          <w:rFonts w:asciiTheme="majorBidi" w:hAnsiTheme="majorBidi" w:cstheme="majorBidi"/>
          <w:sz w:val="24"/>
          <w:szCs w:val="24"/>
        </w:rPr>
        <w:t xml:space="preserve">) </w:t>
      </w:r>
      <w:r w:rsidR="00A512F3" w:rsidRPr="00B92144">
        <w:rPr>
          <w:rFonts w:asciiTheme="majorBidi" w:hAnsiTheme="majorBidi" w:cstheme="majorBidi"/>
          <w:sz w:val="24"/>
          <w:szCs w:val="24"/>
        </w:rPr>
        <w:t>and, hence</w:t>
      </w:r>
      <w:r w:rsidRPr="00B92144">
        <w:rPr>
          <w:rFonts w:asciiTheme="majorBidi" w:hAnsiTheme="majorBidi" w:cstheme="majorBidi"/>
          <w:sz w:val="24"/>
          <w:szCs w:val="24"/>
        </w:rPr>
        <w:t>, the test rejects the null hypothesis of independence errors and indicates, therefore, that the equations need to be estimated simultaneously. The system presented in Panel A is well specified as the Chi squared is highly significant. On</w:t>
      </w:r>
      <w:r w:rsidR="00DA0EBC" w:rsidRPr="00B92144">
        <w:rPr>
          <w:rFonts w:asciiTheme="majorBidi" w:hAnsiTheme="majorBidi" w:cstheme="majorBidi"/>
          <w:sz w:val="24"/>
          <w:szCs w:val="24"/>
        </w:rPr>
        <w:t xml:space="preserve"> </w:t>
      </w:r>
      <w:r w:rsidRPr="00B92144">
        <w:rPr>
          <w:rFonts w:asciiTheme="majorBidi" w:hAnsiTheme="majorBidi" w:cstheme="majorBidi"/>
          <w:sz w:val="24"/>
          <w:szCs w:val="24"/>
        </w:rPr>
        <w:t>the other hand, the system presented in Panel B is not well specified as the Chi squared is insignificant. The result of the</w:t>
      </w:r>
      <w:r w:rsidR="00DA0EBC" w:rsidRPr="00B92144">
        <w:rPr>
          <w:rFonts w:asciiTheme="majorBidi" w:hAnsiTheme="majorBidi" w:cstheme="majorBidi"/>
          <w:sz w:val="24"/>
          <w:szCs w:val="24"/>
        </w:rPr>
        <w:t xml:space="preserve"> </w:t>
      </w:r>
      <w:r w:rsidRPr="00B92144">
        <w:rPr>
          <w:rFonts w:asciiTheme="majorBidi" w:hAnsiTheme="majorBidi" w:cstheme="majorBidi"/>
          <w:sz w:val="24"/>
          <w:szCs w:val="24"/>
        </w:rPr>
        <w:t>Sargan mis-specification test shows that we cannot reject the null hypothesis of “no mis-specification”, indicating that the</w:t>
      </w:r>
      <w:r w:rsidR="00DA0EBC" w:rsidRPr="00B92144">
        <w:rPr>
          <w:rFonts w:asciiTheme="majorBidi" w:hAnsiTheme="majorBidi" w:cstheme="majorBidi"/>
          <w:sz w:val="24"/>
          <w:szCs w:val="24"/>
        </w:rPr>
        <w:t xml:space="preserve"> </w:t>
      </w:r>
      <w:r w:rsidRPr="00B92144">
        <w:rPr>
          <w:rFonts w:asciiTheme="majorBidi" w:hAnsiTheme="majorBidi" w:cstheme="majorBidi"/>
          <w:sz w:val="24"/>
          <w:szCs w:val="24"/>
        </w:rPr>
        <w:t>instruments of our system are orthogonal to the error terms of the respective equations. We also report the results of the</w:t>
      </w:r>
      <w:r w:rsidR="00DA0EBC" w:rsidRPr="00B92144">
        <w:rPr>
          <w:rFonts w:asciiTheme="majorBidi" w:hAnsiTheme="majorBidi" w:cstheme="majorBidi"/>
          <w:sz w:val="24"/>
          <w:szCs w:val="24"/>
        </w:rPr>
        <w:t xml:space="preserve"> </w:t>
      </w:r>
      <w:r w:rsidRPr="00B92144">
        <w:rPr>
          <w:rFonts w:asciiTheme="majorBidi" w:hAnsiTheme="majorBidi" w:cstheme="majorBidi"/>
          <w:sz w:val="24"/>
          <w:szCs w:val="24"/>
        </w:rPr>
        <w:t>Hausman test; the results show that we cannot reject the null hypothesis of “the 3SLS results are consistent and efficient</w:t>
      </w:r>
      <w:r w:rsidR="00DA0EBC" w:rsidRPr="00B92144">
        <w:rPr>
          <w:rFonts w:asciiTheme="majorBidi" w:hAnsiTheme="majorBidi" w:cstheme="majorBidi"/>
          <w:sz w:val="24"/>
          <w:szCs w:val="24"/>
        </w:rPr>
        <w:t xml:space="preserve"> </w:t>
      </w:r>
      <w:r w:rsidRPr="00B92144">
        <w:rPr>
          <w:rFonts w:asciiTheme="majorBidi" w:hAnsiTheme="majorBidi" w:cstheme="majorBidi"/>
          <w:sz w:val="24"/>
          <w:szCs w:val="24"/>
        </w:rPr>
        <w:t>while the 2SLS results are also consistent but inefficient”. Hence, under the assumption that at least one of the equations of</w:t>
      </w:r>
      <w:r w:rsidR="00DA0EBC"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our </w:t>
      </w:r>
      <w:r w:rsidRPr="00B92144">
        <w:rPr>
          <w:rFonts w:asciiTheme="majorBidi" w:hAnsiTheme="majorBidi" w:cstheme="majorBidi"/>
          <w:sz w:val="24"/>
          <w:szCs w:val="24"/>
        </w:rPr>
        <w:lastRenderedPageBreak/>
        <w:t>system is correctly specified, the specification of the entire system cannot be rejected and the most efficient estimates</w:t>
      </w:r>
      <w:r w:rsidR="00DA0EBC" w:rsidRPr="00B92144">
        <w:rPr>
          <w:rFonts w:asciiTheme="majorBidi" w:hAnsiTheme="majorBidi" w:cstheme="majorBidi"/>
          <w:sz w:val="24"/>
          <w:szCs w:val="24"/>
        </w:rPr>
        <w:t xml:space="preserve"> </w:t>
      </w:r>
      <w:r w:rsidRPr="00B92144">
        <w:rPr>
          <w:rFonts w:asciiTheme="majorBidi" w:hAnsiTheme="majorBidi" w:cstheme="majorBidi"/>
          <w:sz w:val="24"/>
          <w:szCs w:val="24"/>
        </w:rPr>
        <w:t xml:space="preserve">are obtained by applying 3SLS. </w:t>
      </w:r>
    </w:p>
    <w:p w14:paraId="72C3A4C8" w14:textId="77777777" w:rsidR="00325F4F" w:rsidRPr="00B92144" w:rsidRDefault="00E05652" w:rsidP="00A273B5">
      <w:pPr>
        <w:pStyle w:val="ListParagraph"/>
        <w:numPr>
          <w:ilvl w:val="0"/>
          <w:numId w:val="8"/>
        </w:numPr>
        <w:spacing w:line="360" w:lineRule="auto"/>
        <w:jc w:val="both"/>
        <w:rPr>
          <w:rFonts w:asciiTheme="majorBidi" w:hAnsiTheme="majorBidi" w:cstheme="majorBidi"/>
          <w:b/>
          <w:sz w:val="24"/>
          <w:szCs w:val="24"/>
          <w:u w:val="single"/>
        </w:rPr>
      </w:pPr>
      <w:r w:rsidRPr="00B92144">
        <w:rPr>
          <w:rFonts w:asciiTheme="majorBidi" w:hAnsiTheme="majorBidi" w:cstheme="majorBidi"/>
          <w:b/>
          <w:bCs/>
          <w:sz w:val="24"/>
          <w:szCs w:val="24"/>
        </w:rPr>
        <w:t>C</w:t>
      </w:r>
      <w:r w:rsidR="00325F4F" w:rsidRPr="00B92144">
        <w:rPr>
          <w:rFonts w:asciiTheme="majorBidi" w:hAnsiTheme="majorBidi" w:cstheme="majorBidi"/>
          <w:b/>
          <w:bCs/>
          <w:sz w:val="24"/>
          <w:szCs w:val="24"/>
        </w:rPr>
        <w:t>onclusion</w:t>
      </w:r>
    </w:p>
    <w:p w14:paraId="3E744DA9" w14:textId="49FC7126" w:rsidR="00C61B77" w:rsidRPr="00B92144" w:rsidRDefault="00F26B1F" w:rsidP="00E40DA8">
      <w:pPr>
        <w:autoSpaceDE w:val="0"/>
        <w:autoSpaceDN w:val="0"/>
        <w:adjustRightInd w:val="0"/>
        <w:spacing w:after="0" w:line="360" w:lineRule="auto"/>
        <w:jc w:val="both"/>
        <w:rPr>
          <w:rFonts w:asciiTheme="majorBidi" w:hAnsiTheme="majorBidi" w:cstheme="majorBidi"/>
          <w:sz w:val="24"/>
          <w:szCs w:val="24"/>
        </w:rPr>
      </w:pPr>
      <w:r w:rsidRPr="00B92144">
        <w:rPr>
          <w:rFonts w:asciiTheme="majorBidi" w:hAnsiTheme="majorBidi" w:cstheme="majorBidi"/>
          <w:sz w:val="24"/>
          <w:szCs w:val="24"/>
        </w:rPr>
        <w:t>U</w:t>
      </w:r>
      <w:r w:rsidR="00C61B77" w:rsidRPr="00B92144">
        <w:rPr>
          <w:rFonts w:asciiTheme="majorBidi" w:hAnsiTheme="majorBidi" w:cstheme="majorBidi"/>
          <w:sz w:val="24"/>
          <w:szCs w:val="24"/>
        </w:rPr>
        <w:t xml:space="preserve">sing a comprehensive </w:t>
      </w:r>
      <w:r w:rsidR="00E40DA8" w:rsidRPr="00B92144">
        <w:rPr>
          <w:rFonts w:asciiTheme="majorBidi" w:hAnsiTheme="majorBidi" w:cstheme="majorBidi"/>
          <w:sz w:val="24"/>
          <w:szCs w:val="24"/>
        </w:rPr>
        <w:t>RRD</w:t>
      </w:r>
      <w:r w:rsidR="00C61B77" w:rsidRPr="00B92144">
        <w:rPr>
          <w:rFonts w:asciiTheme="majorBidi" w:hAnsiTheme="majorBidi" w:cstheme="majorBidi"/>
          <w:sz w:val="24"/>
          <w:szCs w:val="24"/>
        </w:rPr>
        <w:t xml:space="preserve"> index, </w:t>
      </w:r>
      <w:r w:rsidR="00325F4F" w:rsidRPr="00B92144">
        <w:rPr>
          <w:rFonts w:asciiTheme="majorBidi" w:hAnsiTheme="majorBidi" w:cstheme="majorBidi"/>
          <w:sz w:val="24"/>
          <w:szCs w:val="24"/>
        </w:rPr>
        <w:t>we explore the impact of firm-specific and governance characteristics on the RRD of banks in 1</w:t>
      </w:r>
      <w:r w:rsidR="00077E8C" w:rsidRPr="00B92144">
        <w:rPr>
          <w:rFonts w:asciiTheme="majorBidi" w:hAnsiTheme="majorBidi" w:cstheme="majorBidi"/>
          <w:sz w:val="24"/>
          <w:szCs w:val="24"/>
        </w:rPr>
        <w:t>1</w:t>
      </w:r>
      <w:r w:rsidR="00325F4F" w:rsidRPr="00B92144">
        <w:rPr>
          <w:rFonts w:asciiTheme="majorBidi" w:hAnsiTheme="majorBidi" w:cstheme="majorBidi"/>
          <w:sz w:val="24"/>
          <w:szCs w:val="24"/>
        </w:rPr>
        <w:t xml:space="preserve"> emerging countries</w:t>
      </w:r>
      <w:r w:rsidR="00C61B77" w:rsidRPr="00B92144">
        <w:rPr>
          <w:rFonts w:asciiTheme="majorBidi" w:hAnsiTheme="majorBidi" w:cstheme="majorBidi"/>
          <w:sz w:val="24"/>
          <w:szCs w:val="24"/>
        </w:rPr>
        <w:t xml:space="preserve"> over the period 2009-2014</w:t>
      </w:r>
      <w:r w:rsidR="00325F4F" w:rsidRPr="00B92144">
        <w:rPr>
          <w:rFonts w:asciiTheme="majorBidi" w:hAnsiTheme="majorBidi" w:cstheme="majorBidi"/>
          <w:sz w:val="24"/>
          <w:szCs w:val="24"/>
        </w:rPr>
        <w:t>. Based on the results presented in this study the following conclusions can be made. First, Islamic banks disclose less risk than do non-Islamic banks. This finding reflects the inherently conservative nature of the principles that guide Islamic</w:t>
      </w:r>
      <w:r w:rsidRPr="00B92144">
        <w:rPr>
          <w:rFonts w:asciiTheme="majorBidi" w:hAnsiTheme="majorBidi" w:cstheme="majorBidi"/>
          <w:sz w:val="24"/>
          <w:szCs w:val="24"/>
        </w:rPr>
        <w:t xml:space="preserve"> </w:t>
      </w:r>
      <w:r w:rsidR="00C61B77" w:rsidRPr="00B92144">
        <w:rPr>
          <w:rFonts w:asciiTheme="majorBidi" w:hAnsiTheme="majorBidi" w:cstheme="majorBidi"/>
          <w:sz w:val="24"/>
          <w:szCs w:val="24"/>
        </w:rPr>
        <w:t>bank</w:t>
      </w:r>
      <w:r w:rsidR="00325F4F" w:rsidRPr="00B92144">
        <w:rPr>
          <w:rFonts w:asciiTheme="majorBidi" w:hAnsiTheme="majorBidi" w:cstheme="majorBidi"/>
          <w:sz w:val="24"/>
          <w:szCs w:val="24"/>
        </w:rPr>
        <w:t xml:space="preserve">s to provide financial products that serve the interests of society more broadly than do </w:t>
      </w:r>
      <w:r w:rsidRPr="00B92144">
        <w:rPr>
          <w:rFonts w:asciiTheme="majorBidi" w:hAnsiTheme="majorBidi" w:cstheme="majorBidi"/>
          <w:sz w:val="24"/>
          <w:szCs w:val="24"/>
        </w:rPr>
        <w:t>conventional banks</w:t>
      </w:r>
      <w:r w:rsidR="00325F4F" w:rsidRPr="00B92144">
        <w:rPr>
          <w:rFonts w:asciiTheme="majorBidi" w:hAnsiTheme="majorBidi" w:cstheme="majorBidi"/>
          <w:sz w:val="24"/>
          <w:szCs w:val="24"/>
        </w:rPr>
        <w:t xml:space="preserve"> that are more likely to be oriented to the pursuit of profit maximization. Second, </w:t>
      </w:r>
      <w:r w:rsidR="00C61B77" w:rsidRPr="00B92144">
        <w:rPr>
          <w:rFonts w:asciiTheme="majorBidi" w:hAnsiTheme="majorBidi" w:cstheme="majorBidi"/>
          <w:sz w:val="24"/>
          <w:szCs w:val="24"/>
        </w:rPr>
        <w:t>banks</w:t>
      </w:r>
      <w:r w:rsidRPr="00B92144">
        <w:rPr>
          <w:rFonts w:asciiTheme="majorBidi" w:hAnsiTheme="majorBidi" w:cstheme="majorBidi"/>
          <w:sz w:val="24"/>
          <w:szCs w:val="24"/>
        </w:rPr>
        <w:t xml:space="preserve"> that are </w:t>
      </w:r>
      <w:r w:rsidR="00C61B77" w:rsidRPr="00B92144">
        <w:rPr>
          <w:rFonts w:asciiTheme="majorBidi" w:hAnsiTheme="majorBidi" w:cstheme="majorBidi"/>
          <w:sz w:val="24"/>
          <w:szCs w:val="24"/>
        </w:rPr>
        <w:t>public</w:t>
      </w:r>
      <w:r w:rsidRPr="00B92144">
        <w:rPr>
          <w:rFonts w:asciiTheme="majorBidi" w:hAnsiTheme="majorBidi" w:cstheme="majorBidi"/>
          <w:sz w:val="24"/>
          <w:szCs w:val="24"/>
        </w:rPr>
        <w:t>ly</w:t>
      </w:r>
      <w:r w:rsidR="00C61B77" w:rsidRPr="00B92144">
        <w:rPr>
          <w:rFonts w:asciiTheme="majorBidi" w:hAnsiTheme="majorBidi" w:cstheme="majorBidi"/>
          <w:sz w:val="24"/>
          <w:szCs w:val="24"/>
        </w:rPr>
        <w:t xml:space="preserve"> visib</w:t>
      </w:r>
      <w:r w:rsidRPr="00B92144">
        <w:rPr>
          <w:rFonts w:asciiTheme="majorBidi" w:hAnsiTheme="majorBidi" w:cstheme="majorBidi"/>
          <w:sz w:val="24"/>
          <w:szCs w:val="24"/>
        </w:rPr>
        <w:t xml:space="preserve">le tend to enhance their legitimacy through increased </w:t>
      </w:r>
      <w:r w:rsidR="00410EDE" w:rsidRPr="00B92144">
        <w:rPr>
          <w:rFonts w:asciiTheme="majorBidi" w:hAnsiTheme="majorBidi" w:cstheme="majorBidi"/>
          <w:sz w:val="24"/>
          <w:szCs w:val="24"/>
        </w:rPr>
        <w:t>RRD</w:t>
      </w:r>
      <w:r w:rsidRPr="00B92144">
        <w:rPr>
          <w:rFonts w:asciiTheme="majorBidi" w:hAnsiTheme="majorBidi" w:cstheme="majorBidi"/>
          <w:sz w:val="24"/>
          <w:szCs w:val="24"/>
        </w:rPr>
        <w:t xml:space="preserve">. </w:t>
      </w:r>
      <w:r w:rsidR="00C61B77" w:rsidRPr="00B92144">
        <w:rPr>
          <w:rFonts w:asciiTheme="majorBidi" w:hAnsiTheme="majorBidi" w:cstheme="majorBidi"/>
          <w:sz w:val="24"/>
          <w:szCs w:val="24"/>
        </w:rPr>
        <w:t xml:space="preserve">Third, </w:t>
      </w:r>
      <w:r w:rsidR="00325F4F" w:rsidRPr="00B92144">
        <w:rPr>
          <w:rFonts w:asciiTheme="majorBidi" w:hAnsiTheme="majorBidi" w:cstheme="majorBidi"/>
          <w:sz w:val="24"/>
          <w:szCs w:val="24"/>
        </w:rPr>
        <w:t>banks that operate in the context of better quality corporate governance (presence of independent and foreign members on board; less concentrated ownership; small board size) appear to disclose more risk than do their counterparts. Th</w:t>
      </w:r>
      <w:r w:rsidRPr="00B92144">
        <w:rPr>
          <w:rFonts w:asciiTheme="majorBidi" w:hAnsiTheme="majorBidi" w:cstheme="majorBidi"/>
          <w:sz w:val="24"/>
          <w:szCs w:val="24"/>
        </w:rPr>
        <w:t>ese</w:t>
      </w:r>
      <w:r w:rsidR="00325F4F" w:rsidRPr="00B92144">
        <w:rPr>
          <w:rFonts w:asciiTheme="majorBidi" w:hAnsiTheme="majorBidi" w:cstheme="majorBidi"/>
          <w:sz w:val="24"/>
          <w:szCs w:val="24"/>
        </w:rPr>
        <w:t xml:space="preserve"> finding</w:t>
      </w:r>
      <w:r w:rsidRPr="00B92144">
        <w:rPr>
          <w:rFonts w:asciiTheme="majorBidi" w:hAnsiTheme="majorBidi" w:cstheme="majorBidi"/>
          <w:sz w:val="24"/>
          <w:szCs w:val="24"/>
        </w:rPr>
        <w:t>s</w:t>
      </w:r>
      <w:r w:rsidR="00325F4F" w:rsidRPr="00B92144">
        <w:rPr>
          <w:rFonts w:asciiTheme="majorBidi" w:hAnsiTheme="majorBidi" w:cstheme="majorBidi"/>
          <w:sz w:val="24"/>
          <w:szCs w:val="24"/>
        </w:rPr>
        <w:t xml:space="preserve"> </w:t>
      </w:r>
      <w:r w:rsidRPr="00B92144">
        <w:rPr>
          <w:rFonts w:asciiTheme="majorBidi" w:hAnsiTheme="majorBidi" w:cstheme="majorBidi"/>
          <w:sz w:val="24"/>
          <w:szCs w:val="24"/>
        </w:rPr>
        <w:t>are</w:t>
      </w:r>
      <w:r w:rsidR="00325F4F" w:rsidRPr="00B92144">
        <w:rPr>
          <w:rFonts w:asciiTheme="majorBidi" w:hAnsiTheme="majorBidi" w:cstheme="majorBidi"/>
          <w:sz w:val="24"/>
          <w:szCs w:val="24"/>
        </w:rPr>
        <w:t xml:space="preserve"> consistent with agency</w:t>
      </w:r>
      <w:r w:rsidR="00325F4F" w:rsidRPr="00B92144">
        <w:rPr>
          <w:rFonts w:asciiTheme="majorBidi" w:hAnsiTheme="majorBidi" w:cstheme="majorBidi"/>
          <w:bCs/>
          <w:sz w:val="24"/>
          <w:szCs w:val="24"/>
        </w:rPr>
        <w:t xml:space="preserve"> </w:t>
      </w:r>
      <w:r w:rsidR="00C61B77" w:rsidRPr="00B92144">
        <w:rPr>
          <w:rFonts w:asciiTheme="majorBidi" w:hAnsiTheme="majorBidi" w:cstheme="majorBidi"/>
          <w:bCs/>
          <w:sz w:val="24"/>
          <w:szCs w:val="24"/>
        </w:rPr>
        <w:t>theory</w:t>
      </w:r>
      <w:r w:rsidRPr="00B92144">
        <w:rPr>
          <w:rFonts w:asciiTheme="majorBidi" w:hAnsiTheme="majorBidi" w:cstheme="majorBidi"/>
          <w:bCs/>
          <w:sz w:val="24"/>
          <w:szCs w:val="24"/>
        </w:rPr>
        <w:t xml:space="preserve"> and legitimacy theory</w:t>
      </w:r>
      <w:r w:rsidR="00325F4F" w:rsidRPr="00B92144">
        <w:rPr>
          <w:rFonts w:asciiTheme="majorBidi" w:hAnsiTheme="majorBidi" w:cstheme="majorBidi"/>
          <w:bCs/>
          <w:sz w:val="24"/>
          <w:szCs w:val="24"/>
        </w:rPr>
        <w:t xml:space="preserve"> arguments that assert that information asymmetry will diminish in concert with </w:t>
      </w:r>
      <w:r w:rsidRPr="00B92144">
        <w:rPr>
          <w:rFonts w:asciiTheme="majorBidi" w:hAnsiTheme="majorBidi" w:cstheme="majorBidi"/>
          <w:bCs/>
          <w:sz w:val="24"/>
          <w:szCs w:val="24"/>
        </w:rPr>
        <w:t xml:space="preserve">social pressure and </w:t>
      </w:r>
      <w:r w:rsidR="00325F4F" w:rsidRPr="00B92144">
        <w:rPr>
          <w:rFonts w:asciiTheme="majorBidi" w:hAnsiTheme="majorBidi" w:cstheme="majorBidi"/>
          <w:bCs/>
          <w:sz w:val="24"/>
          <w:szCs w:val="24"/>
        </w:rPr>
        <w:t xml:space="preserve">shareholders’ </w:t>
      </w:r>
      <w:r w:rsidR="00C61B77" w:rsidRPr="00B92144">
        <w:rPr>
          <w:rFonts w:asciiTheme="majorBidi" w:hAnsiTheme="majorBidi" w:cstheme="majorBidi"/>
          <w:bCs/>
          <w:sz w:val="24"/>
          <w:szCs w:val="24"/>
        </w:rPr>
        <w:t>ability</w:t>
      </w:r>
      <w:r w:rsidR="00325F4F" w:rsidRPr="00B92144">
        <w:rPr>
          <w:rFonts w:asciiTheme="majorBidi" w:hAnsiTheme="majorBidi" w:cstheme="majorBidi"/>
          <w:bCs/>
          <w:sz w:val="24"/>
          <w:szCs w:val="24"/>
        </w:rPr>
        <w:t xml:space="preserve"> to impose monitoring on top managers as a function of having access to a higher quality of relevant information. </w:t>
      </w:r>
    </w:p>
    <w:p w14:paraId="00C34203" w14:textId="460AAF97" w:rsidR="004850CA" w:rsidRPr="00B92144" w:rsidRDefault="00C61B77" w:rsidP="00FC361E">
      <w:pPr>
        <w:autoSpaceDE w:val="0"/>
        <w:autoSpaceDN w:val="0"/>
        <w:adjustRightInd w:val="0"/>
        <w:spacing w:before="120" w:after="0" w:line="360" w:lineRule="auto"/>
        <w:jc w:val="both"/>
        <w:rPr>
          <w:rFonts w:asciiTheme="majorBidi" w:hAnsiTheme="majorBidi" w:cstheme="majorBidi"/>
          <w:sz w:val="24"/>
          <w:szCs w:val="24"/>
        </w:rPr>
      </w:pPr>
      <w:r w:rsidRPr="00B92144">
        <w:rPr>
          <w:rFonts w:asciiTheme="majorBidi" w:hAnsiTheme="majorBidi" w:cstheme="majorBidi"/>
          <w:sz w:val="24"/>
          <w:szCs w:val="24"/>
        </w:rPr>
        <w:t xml:space="preserve">Our results offer important implications for theory and practice. First, </w:t>
      </w:r>
      <w:r w:rsidR="00F26B1F" w:rsidRPr="00B92144">
        <w:rPr>
          <w:rFonts w:asciiTheme="majorBidi" w:hAnsiTheme="majorBidi" w:cstheme="majorBidi"/>
          <w:sz w:val="24"/>
          <w:szCs w:val="24"/>
        </w:rPr>
        <w:t xml:space="preserve">to the best of our knowledge, </w:t>
      </w:r>
      <w:r w:rsidRPr="00B92144">
        <w:rPr>
          <w:rFonts w:asciiTheme="majorBidi" w:hAnsiTheme="majorBidi" w:cstheme="majorBidi"/>
          <w:sz w:val="24"/>
          <w:szCs w:val="24"/>
        </w:rPr>
        <w:t xml:space="preserve">this is the first study that </w:t>
      </w:r>
      <w:r w:rsidR="004352F8" w:rsidRPr="00B92144">
        <w:rPr>
          <w:rFonts w:asciiTheme="majorBidi" w:hAnsiTheme="majorBidi" w:cstheme="majorBidi"/>
          <w:sz w:val="24"/>
          <w:szCs w:val="24"/>
        </w:rPr>
        <w:t>explores</w:t>
      </w:r>
      <w:r w:rsidRPr="00B92144">
        <w:rPr>
          <w:rFonts w:asciiTheme="majorBidi" w:hAnsiTheme="majorBidi" w:cstheme="majorBidi"/>
          <w:bCs/>
          <w:sz w:val="24"/>
          <w:szCs w:val="24"/>
        </w:rPr>
        <w:t xml:space="preserve"> </w:t>
      </w:r>
      <w:r w:rsidR="000A7DC1" w:rsidRPr="00B92144">
        <w:rPr>
          <w:rFonts w:asciiTheme="majorBidi" w:hAnsiTheme="majorBidi" w:cstheme="majorBidi"/>
          <w:bCs/>
          <w:sz w:val="24"/>
          <w:szCs w:val="24"/>
        </w:rPr>
        <w:t xml:space="preserve">RRD </w:t>
      </w:r>
      <w:r w:rsidR="003411FC" w:rsidRPr="00B92144">
        <w:rPr>
          <w:rFonts w:asciiTheme="majorBidi" w:hAnsiTheme="majorBidi" w:cstheme="majorBidi"/>
          <w:bCs/>
          <w:sz w:val="24"/>
          <w:szCs w:val="24"/>
        </w:rPr>
        <w:t xml:space="preserve">of banks </w:t>
      </w:r>
      <w:r w:rsidR="000A7DC1" w:rsidRPr="00B92144">
        <w:rPr>
          <w:rFonts w:asciiTheme="majorBidi" w:hAnsiTheme="majorBidi" w:cstheme="majorBidi"/>
          <w:bCs/>
          <w:sz w:val="24"/>
          <w:szCs w:val="24"/>
        </w:rPr>
        <w:t>in</w:t>
      </w:r>
      <w:r w:rsidR="003411FC" w:rsidRPr="00B92144">
        <w:rPr>
          <w:rFonts w:asciiTheme="majorBidi" w:hAnsiTheme="majorBidi" w:cstheme="majorBidi"/>
          <w:bCs/>
          <w:sz w:val="24"/>
          <w:szCs w:val="24"/>
        </w:rPr>
        <w:t xml:space="preserve"> post financial crisis context within</w:t>
      </w:r>
      <w:r w:rsidR="000A7DC1" w:rsidRPr="00B92144">
        <w:rPr>
          <w:rFonts w:asciiTheme="majorBidi" w:hAnsiTheme="majorBidi" w:cstheme="majorBidi"/>
          <w:bCs/>
          <w:sz w:val="24"/>
          <w:szCs w:val="24"/>
        </w:rPr>
        <w:t xml:space="preserve"> economically and culturally </w:t>
      </w:r>
      <w:r w:rsidR="003411FC" w:rsidRPr="00B92144">
        <w:rPr>
          <w:rFonts w:asciiTheme="majorBidi" w:hAnsiTheme="majorBidi" w:cstheme="majorBidi"/>
          <w:bCs/>
          <w:sz w:val="24"/>
          <w:szCs w:val="24"/>
        </w:rPr>
        <w:t>mixed</w:t>
      </w:r>
      <w:r w:rsidR="000A7DC1" w:rsidRPr="00B92144">
        <w:rPr>
          <w:rFonts w:asciiTheme="majorBidi" w:hAnsiTheme="majorBidi" w:cstheme="majorBidi"/>
          <w:bCs/>
          <w:sz w:val="24"/>
          <w:szCs w:val="24"/>
        </w:rPr>
        <w:t xml:space="preserve"> </w:t>
      </w:r>
      <w:r w:rsidR="003411FC" w:rsidRPr="00B92144">
        <w:rPr>
          <w:rFonts w:asciiTheme="majorBidi" w:hAnsiTheme="majorBidi" w:cstheme="majorBidi"/>
          <w:bCs/>
          <w:sz w:val="24"/>
          <w:szCs w:val="24"/>
        </w:rPr>
        <w:t>countries</w:t>
      </w:r>
      <w:r w:rsidR="000A7DC1" w:rsidRPr="00B92144">
        <w:rPr>
          <w:rFonts w:asciiTheme="majorBidi" w:hAnsiTheme="majorBidi" w:cstheme="majorBidi"/>
          <w:bCs/>
          <w:sz w:val="24"/>
          <w:szCs w:val="24"/>
        </w:rPr>
        <w:t>.</w:t>
      </w:r>
      <w:r w:rsidR="003411FC" w:rsidRPr="00B92144">
        <w:rPr>
          <w:rFonts w:asciiTheme="majorBidi" w:hAnsiTheme="majorBidi" w:cstheme="majorBidi"/>
          <w:bCs/>
          <w:sz w:val="24"/>
          <w:szCs w:val="24"/>
        </w:rPr>
        <w:t xml:space="preserve"> </w:t>
      </w:r>
      <w:r w:rsidR="004352F8" w:rsidRPr="00B92144">
        <w:rPr>
          <w:rFonts w:asciiTheme="majorBidi" w:hAnsiTheme="majorBidi" w:cstheme="majorBidi"/>
          <w:sz w:val="24"/>
          <w:szCs w:val="24"/>
        </w:rPr>
        <w:t>This focus is significant in that it</w:t>
      </w:r>
      <w:r w:rsidR="004352F8" w:rsidRPr="00B92144">
        <w:rPr>
          <w:rFonts w:asciiTheme="majorBidi" w:hAnsiTheme="majorBidi" w:cstheme="majorBidi"/>
          <w:bCs/>
          <w:sz w:val="24"/>
          <w:szCs w:val="24"/>
        </w:rPr>
        <w:t xml:space="preserve"> </w:t>
      </w:r>
      <w:r w:rsidR="004352F8" w:rsidRPr="00B92144">
        <w:rPr>
          <w:rFonts w:asciiTheme="majorBidi" w:hAnsiTheme="majorBidi" w:cstheme="majorBidi"/>
          <w:sz w:val="24"/>
          <w:szCs w:val="24"/>
        </w:rPr>
        <w:t>compares the risk-disclosing practices of conventional and Islamic banks which differ in their risk appetite and the principles they apply to generate profit. At the same time, our sample of banks operate</w:t>
      </w:r>
      <w:r w:rsidR="004352F8" w:rsidRPr="00B92144">
        <w:rPr>
          <w:rFonts w:asciiTheme="majorBidi" w:hAnsiTheme="majorBidi" w:cstheme="majorBidi"/>
          <w:bCs/>
          <w:sz w:val="24"/>
          <w:szCs w:val="24"/>
        </w:rPr>
        <w:t xml:space="preserve"> </w:t>
      </w:r>
      <w:r w:rsidR="003411FC" w:rsidRPr="00B92144">
        <w:rPr>
          <w:rFonts w:asciiTheme="majorBidi" w:hAnsiTheme="majorBidi" w:cstheme="majorBidi"/>
          <w:sz w:val="24"/>
          <w:szCs w:val="24"/>
        </w:rPr>
        <w:t>in an environment that is</w:t>
      </w:r>
      <w:r w:rsidR="003411FC" w:rsidRPr="00B92144">
        <w:rPr>
          <w:rFonts w:asciiTheme="majorBidi" w:hAnsiTheme="majorBidi" w:cstheme="majorBidi"/>
          <w:bCs/>
          <w:sz w:val="24"/>
          <w:szCs w:val="24"/>
        </w:rPr>
        <w:t xml:space="preserve"> </w:t>
      </w:r>
      <w:r w:rsidR="003411FC" w:rsidRPr="00B92144">
        <w:rPr>
          <w:rFonts w:asciiTheme="majorBidi" w:hAnsiTheme="majorBidi" w:cstheme="majorBidi"/>
          <w:sz w:val="24"/>
          <w:szCs w:val="24"/>
        </w:rPr>
        <w:t xml:space="preserve">often considered to be </w:t>
      </w:r>
      <w:r w:rsidR="004352F8" w:rsidRPr="00B92144">
        <w:rPr>
          <w:rFonts w:asciiTheme="majorBidi" w:hAnsiTheme="majorBidi" w:cstheme="majorBidi"/>
          <w:sz w:val="24"/>
          <w:szCs w:val="24"/>
        </w:rPr>
        <w:t>highly secretive</w:t>
      </w:r>
      <w:r w:rsidR="003411FC" w:rsidRPr="00B92144">
        <w:rPr>
          <w:rFonts w:asciiTheme="majorBidi" w:hAnsiTheme="majorBidi" w:cstheme="majorBidi"/>
          <w:sz w:val="24"/>
          <w:szCs w:val="24"/>
        </w:rPr>
        <w:t xml:space="preserve">. </w:t>
      </w:r>
      <w:r w:rsidR="004352F8" w:rsidRPr="00B92144">
        <w:rPr>
          <w:rFonts w:asciiTheme="majorBidi" w:hAnsiTheme="majorBidi" w:cstheme="majorBidi"/>
          <w:sz w:val="24"/>
          <w:szCs w:val="24"/>
        </w:rPr>
        <w:t>Second, even though our study does not directly assess banks’ risk profile, it asserts that Islamic banks are</w:t>
      </w:r>
      <w:r w:rsidR="004352F8" w:rsidRPr="00B92144">
        <w:rPr>
          <w:rFonts w:asciiTheme="majorBidi" w:hAnsiTheme="majorBidi" w:cstheme="majorBidi"/>
          <w:bCs/>
          <w:sz w:val="24"/>
          <w:szCs w:val="24"/>
        </w:rPr>
        <w:t xml:space="preserve"> </w:t>
      </w:r>
      <w:r w:rsidR="004352F8" w:rsidRPr="00B92144">
        <w:rPr>
          <w:rFonts w:asciiTheme="majorBidi" w:hAnsiTheme="majorBidi" w:cstheme="majorBidi"/>
          <w:sz w:val="24"/>
          <w:szCs w:val="24"/>
        </w:rPr>
        <w:t>more likely to be risk-averse than are their non-Islamic peers suggesting a worthy</w:t>
      </w:r>
      <w:r w:rsidR="004352F8" w:rsidRPr="00B92144">
        <w:rPr>
          <w:rFonts w:asciiTheme="majorBidi" w:hAnsiTheme="majorBidi" w:cstheme="majorBidi"/>
          <w:bCs/>
          <w:sz w:val="24"/>
          <w:szCs w:val="24"/>
        </w:rPr>
        <w:t xml:space="preserve"> </w:t>
      </w:r>
      <w:r w:rsidR="00FC361E" w:rsidRPr="00B92144">
        <w:rPr>
          <w:rFonts w:asciiTheme="majorBidi" w:hAnsiTheme="majorBidi" w:cstheme="majorBidi"/>
          <w:sz w:val="24"/>
          <w:szCs w:val="24"/>
        </w:rPr>
        <w:t>grass</w:t>
      </w:r>
      <w:r w:rsidR="004352F8" w:rsidRPr="00B92144">
        <w:rPr>
          <w:rFonts w:asciiTheme="majorBidi" w:hAnsiTheme="majorBidi" w:cstheme="majorBidi"/>
          <w:sz w:val="24"/>
          <w:szCs w:val="24"/>
        </w:rPr>
        <w:t xml:space="preserve"> for future research.</w:t>
      </w:r>
      <w:r w:rsidR="00FC361E" w:rsidRPr="00B92144">
        <w:rPr>
          <w:rFonts w:asciiTheme="majorBidi" w:hAnsiTheme="majorBidi" w:cstheme="majorBidi"/>
          <w:bCs/>
          <w:sz w:val="24"/>
          <w:szCs w:val="24"/>
        </w:rPr>
        <w:t xml:space="preserve"> </w:t>
      </w:r>
      <w:r w:rsidR="003411FC" w:rsidRPr="00B92144">
        <w:rPr>
          <w:rFonts w:asciiTheme="majorBidi" w:hAnsiTheme="majorBidi" w:cstheme="majorBidi"/>
          <w:sz w:val="24"/>
          <w:szCs w:val="24"/>
        </w:rPr>
        <w:t xml:space="preserve">Lastly, our results show that </w:t>
      </w:r>
      <w:r w:rsidR="00FC361E" w:rsidRPr="00B92144">
        <w:rPr>
          <w:rFonts w:asciiTheme="majorBidi" w:hAnsiTheme="majorBidi" w:cstheme="majorBidi"/>
          <w:sz w:val="24"/>
          <w:szCs w:val="24"/>
        </w:rPr>
        <w:t xml:space="preserve">high public visibility and </w:t>
      </w:r>
      <w:r w:rsidR="003411FC" w:rsidRPr="00B92144">
        <w:rPr>
          <w:rFonts w:asciiTheme="majorBidi" w:hAnsiTheme="majorBidi" w:cstheme="majorBidi"/>
          <w:sz w:val="24"/>
          <w:szCs w:val="24"/>
        </w:rPr>
        <w:t>better</w:t>
      </w:r>
      <w:r w:rsidR="003411FC" w:rsidRPr="00B92144">
        <w:rPr>
          <w:rFonts w:asciiTheme="majorBidi" w:hAnsiTheme="majorBidi" w:cstheme="majorBidi"/>
          <w:bCs/>
          <w:sz w:val="24"/>
          <w:szCs w:val="24"/>
        </w:rPr>
        <w:t xml:space="preserve"> </w:t>
      </w:r>
      <w:r w:rsidR="003411FC" w:rsidRPr="00B92144">
        <w:rPr>
          <w:rFonts w:asciiTheme="majorBidi" w:hAnsiTheme="majorBidi" w:cstheme="majorBidi"/>
          <w:sz w:val="24"/>
          <w:szCs w:val="24"/>
        </w:rPr>
        <w:t>governance</w:t>
      </w:r>
      <w:r w:rsidR="00FC361E" w:rsidRPr="00B92144">
        <w:rPr>
          <w:rFonts w:asciiTheme="majorBidi" w:hAnsiTheme="majorBidi" w:cstheme="majorBidi"/>
          <w:sz w:val="24"/>
          <w:szCs w:val="24"/>
        </w:rPr>
        <w:t xml:space="preserve"> characteristics</w:t>
      </w:r>
      <w:r w:rsidR="003411FC" w:rsidRPr="00B92144">
        <w:rPr>
          <w:rFonts w:asciiTheme="majorBidi" w:hAnsiTheme="majorBidi" w:cstheme="majorBidi"/>
          <w:sz w:val="24"/>
          <w:szCs w:val="24"/>
        </w:rPr>
        <w:t xml:space="preserve"> ha</w:t>
      </w:r>
      <w:r w:rsidR="00FC361E" w:rsidRPr="00B92144">
        <w:rPr>
          <w:rFonts w:asciiTheme="majorBidi" w:hAnsiTheme="majorBidi" w:cstheme="majorBidi"/>
          <w:sz w:val="24"/>
          <w:szCs w:val="24"/>
        </w:rPr>
        <w:t>ve</w:t>
      </w:r>
      <w:r w:rsidR="003411FC" w:rsidRPr="00B92144">
        <w:rPr>
          <w:rFonts w:asciiTheme="majorBidi" w:hAnsiTheme="majorBidi" w:cstheme="majorBidi"/>
          <w:sz w:val="24"/>
          <w:szCs w:val="24"/>
        </w:rPr>
        <w:t xml:space="preserve"> a </w:t>
      </w:r>
      <w:r w:rsidR="00FC361E" w:rsidRPr="00B92144">
        <w:rPr>
          <w:rFonts w:asciiTheme="majorBidi" w:hAnsiTheme="majorBidi" w:cstheme="majorBidi"/>
          <w:sz w:val="24"/>
          <w:szCs w:val="24"/>
        </w:rPr>
        <w:t>strong effect</w:t>
      </w:r>
      <w:r w:rsidR="003411FC" w:rsidRPr="00B92144">
        <w:rPr>
          <w:rFonts w:asciiTheme="majorBidi" w:hAnsiTheme="majorBidi" w:cstheme="majorBidi"/>
          <w:sz w:val="24"/>
          <w:szCs w:val="24"/>
        </w:rPr>
        <w:t xml:space="preserve"> on the extent to which </w:t>
      </w:r>
      <w:r w:rsidR="00FC361E" w:rsidRPr="00B92144">
        <w:rPr>
          <w:rFonts w:asciiTheme="majorBidi" w:hAnsiTheme="majorBidi" w:cstheme="majorBidi"/>
          <w:sz w:val="24"/>
          <w:szCs w:val="24"/>
        </w:rPr>
        <w:t xml:space="preserve">information asymmetry may be decreased </w:t>
      </w:r>
      <w:r w:rsidR="003411FC" w:rsidRPr="00B92144">
        <w:rPr>
          <w:rFonts w:asciiTheme="majorBidi" w:hAnsiTheme="majorBidi" w:cstheme="majorBidi"/>
          <w:sz w:val="24"/>
          <w:szCs w:val="24"/>
        </w:rPr>
        <w:t xml:space="preserve">in the context of </w:t>
      </w:r>
      <w:r w:rsidR="00FC361E" w:rsidRPr="00B92144">
        <w:rPr>
          <w:rFonts w:asciiTheme="majorBidi" w:hAnsiTheme="majorBidi" w:cstheme="majorBidi"/>
          <w:sz w:val="24"/>
          <w:szCs w:val="24"/>
        </w:rPr>
        <w:t xml:space="preserve">banks </w:t>
      </w:r>
      <w:r w:rsidR="003411FC" w:rsidRPr="00B92144">
        <w:rPr>
          <w:rFonts w:asciiTheme="majorBidi" w:hAnsiTheme="majorBidi" w:cstheme="majorBidi"/>
          <w:sz w:val="24"/>
          <w:szCs w:val="24"/>
        </w:rPr>
        <w:t xml:space="preserve">operating in </w:t>
      </w:r>
      <w:r w:rsidR="00FC361E" w:rsidRPr="00B92144">
        <w:rPr>
          <w:rFonts w:asciiTheme="majorBidi" w:hAnsiTheme="majorBidi" w:cstheme="majorBidi"/>
          <w:sz w:val="24"/>
          <w:szCs w:val="24"/>
        </w:rPr>
        <w:t xml:space="preserve">countries </w:t>
      </w:r>
      <w:r w:rsidR="003411FC" w:rsidRPr="00B92144">
        <w:rPr>
          <w:rFonts w:asciiTheme="majorBidi" w:hAnsiTheme="majorBidi" w:cstheme="majorBidi"/>
          <w:sz w:val="24"/>
          <w:szCs w:val="24"/>
        </w:rPr>
        <w:t xml:space="preserve">that </w:t>
      </w:r>
      <w:r w:rsidR="00FC361E" w:rsidRPr="00B92144">
        <w:rPr>
          <w:rFonts w:asciiTheme="majorBidi" w:hAnsiTheme="majorBidi" w:cstheme="majorBidi"/>
          <w:sz w:val="24"/>
          <w:szCs w:val="24"/>
        </w:rPr>
        <w:t xml:space="preserve">struggle to emerge after the recent financial crisis and to </w:t>
      </w:r>
      <w:r w:rsidR="003411FC" w:rsidRPr="00B92144">
        <w:rPr>
          <w:rFonts w:asciiTheme="majorBidi" w:hAnsiTheme="majorBidi" w:cstheme="majorBidi"/>
          <w:sz w:val="24"/>
          <w:szCs w:val="24"/>
        </w:rPr>
        <w:t xml:space="preserve">continue </w:t>
      </w:r>
      <w:r w:rsidR="00FC361E" w:rsidRPr="00B92144">
        <w:rPr>
          <w:rFonts w:asciiTheme="majorBidi" w:hAnsiTheme="majorBidi" w:cstheme="majorBidi"/>
          <w:sz w:val="24"/>
          <w:szCs w:val="24"/>
        </w:rPr>
        <w:t>their</w:t>
      </w:r>
      <w:r w:rsidR="003411FC" w:rsidRPr="00B92144">
        <w:rPr>
          <w:rFonts w:asciiTheme="majorBidi" w:hAnsiTheme="majorBidi" w:cstheme="majorBidi"/>
          <w:sz w:val="24"/>
          <w:szCs w:val="24"/>
        </w:rPr>
        <w:t xml:space="preserve"> integration into</w:t>
      </w:r>
      <w:r w:rsidR="003411FC" w:rsidRPr="00B92144">
        <w:rPr>
          <w:rFonts w:asciiTheme="majorBidi" w:hAnsiTheme="majorBidi" w:cstheme="majorBidi"/>
          <w:bCs/>
          <w:sz w:val="24"/>
          <w:szCs w:val="24"/>
        </w:rPr>
        <w:t xml:space="preserve"> </w:t>
      </w:r>
      <w:r w:rsidR="003411FC" w:rsidRPr="00B92144">
        <w:rPr>
          <w:rFonts w:asciiTheme="majorBidi" w:hAnsiTheme="majorBidi" w:cstheme="majorBidi"/>
          <w:sz w:val="24"/>
          <w:szCs w:val="24"/>
        </w:rPr>
        <w:t xml:space="preserve">the global </w:t>
      </w:r>
      <w:r w:rsidR="00FC361E" w:rsidRPr="00B92144">
        <w:rPr>
          <w:rFonts w:asciiTheme="majorBidi" w:hAnsiTheme="majorBidi" w:cstheme="majorBidi"/>
          <w:sz w:val="24"/>
          <w:szCs w:val="24"/>
        </w:rPr>
        <w:t>financial</w:t>
      </w:r>
      <w:r w:rsidR="003411FC" w:rsidRPr="00B92144">
        <w:rPr>
          <w:rFonts w:asciiTheme="majorBidi" w:hAnsiTheme="majorBidi" w:cstheme="majorBidi"/>
          <w:sz w:val="24"/>
          <w:szCs w:val="24"/>
        </w:rPr>
        <w:t xml:space="preserve"> system. </w:t>
      </w:r>
    </w:p>
    <w:p w14:paraId="5269D185" w14:textId="77777777" w:rsidR="00E92741" w:rsidRPr="00B92144" w:rsidRDefault="00E92741" w:rsidP="00E92741">
      <w:pPr>
        <w:autoSpaceDE w:val="0"/>
        <w:autoSpaceDN w:val="0"/>
        <w:adjustRightInd w:val="0"/>
        <w:spacing w:before="120" w:after="0" w:line="360" w:lineRule="auto"/>
        <w:jc w:val="both"/>
        <w:rPr>
          <w:rFonts w:asciiTheme="majorBidi" w:hAnsiTheme="majorBidi" w:cstheme="majorBidi"/>
          <w:bCs/>
          <w:sz w:val="24"/>
          <w:szCs w:val="24"/>
        </w:rPr>
      </w:pPr>
    </w:p>
    <w:p w14:paraId="3F087C24" w14:textId="48D35F87" w:rsidR="00A871B6" w:rsidRPr="00B92144" w:rsidRDefault="00E92741" w:rsidP="00977D8F">
      <w:pPr>
        <w:autoSpaceDE w:val="0"/>
        <w:autoSpaceDN w:val="0"/>
        <w:adjustRightInd w:val="0"/>
        <w:spacing w:before="120" w:after="0" w:line="360" w:lineRule="auto"/>
        <w:jc w:val="both"/>
        <w:rPr>
          <w:rFonts w:asciiTheme="majorBidi" w:hAnsiTheme="majorBidi" w:cstheme="majorBidi"/>
          <w:bCs/>
          <w:sz w:val="24"/>
          <w:szCs w:val="24"/>
        </w:rPr>
      </w:pPr>
      <w:r w:rsidRPr="00B92144">
        <w:rPr>
          <w:rFonts w:asciiTheme="majorBidi" w:hAnsiTheme="majorBidi" w:cstheme="majorBidi"/>
          <w:bCs/>
          <w:sz w:val="24"/>
          <w:szCs w:val="24"/>
        </w:rPr>
        <w:lastRenderedPageBreak/>
        <w:t>Although this research is one of the pioneering studies that investigate the determinants of RRD in conventional and Islamic banks, it still suffers from some caveats</w:t>
      </w:r>
      <w:r w:rsidR="004844D5" w:rsidRPr="00B92144">
        <w:rPr>
          <w:rFonts w:asciiTheme="majorBidi" w:hAnsiTheme="majorBidi" w:cstheme="majorBidi"/>
          <w:bCs/>
          <w:sz w:val="24"/>
          <w:szCs w:val="24"/>
        </w:rPr>
        <w:t xml:space="preserve">. </w:t>
      </w:r>
      <w:r w:rsidR="002B59CA" w:rsidRPr="00B92144">
        <w:rPr>
          <w:rFonts w:asciiTheme="majorBidi" w:hAnsiTheme="majorBidi" w:cstheme="majorBidi"/>
          <w:bCs/>
          <w:sz w:val="24"/>
          <w:szCs w:val="24"/>
        </w:rPr>
        <w:t>First</w:t>
      </w:r>
      <w:r w:rsidRPr="00B92144">
        <w:rPr>
          <w:rFonts w:asciiTheme="majorBidi" w:hAnsiTheme="majorBidi" w:cstheme="majorBidi"/>
          <w:bCs/>
          <w:sz w:val="24"/>
          <w:szCs w:val="24"/>
        </w:rPr>
        <w:t xml:space="preserve">, </w:t>
      </w:r>
      <w:r w:rsidR="00317F6A" w:rsidRPr="00B92144">
        <w:rPr>
          <w:rFonts w:asciiTheme="majorBidi" w:hAnsiTheme="majorBidi" w:cstheme="majorBidi"/>
          <w:bCs/>
          <w:sz w:val="24"/>
          <w:szCs w:val="24"/>
        </w:rPr>
        <w:t xml:space="preserve">we scored the annual reports </w:t>
      </w:r>
      <w:r w:rsidR="002A3873" w:rsidRPr="00B92144">
        <w:rPr>
          <w:rFonts w:asciiTheme="majorBidi" w:hAnsiTheme="majorBidi" w:cstheme="majorBidi"/>
          <w:bCs/>
          <w:sz w:val="24"/>
          <w:szCs w:val="24"/>
        </w:rPr>
        <w:t xml:space="preserve">(subjectively) </w:t>
      </w:r>
      <w:r w:rsidR="00317F6A" w:rsidRPr="00B92144">
        <w:rPr>
          <w:rFonts w:asciiTheme="majorBidi" w:hAnsiTheme="majorBidi" w:cstheme="majorBidi"/>
          <w:bCs/>
          <w:sz w:val="24"/>
          <w:szCs w:val="24"/>
        </w:rPr>
        <w:t>manually</w:t>
      </w:r>
      <w:r w:rsidRPr="00B92144">
        <w:rPr>
          <w:rFonts w:asciiTheme="majorBidi" w:hAnsiTheme="majorBidi" w:cstheme="majorBidi"/>
          <w:bCs/>
          <w:sz w:val="24"/>
          <w:szCs w:val="24"/>
        </w:rPr>
        <w:t>.</w:t>
      </w:r>
      <w:r w:rsidR="00317F6A" w:rsidRPr="00B92144">
        <w:rPr>
          <w:rFonts w:asciiTheme="majorBidi" w:hAnsiTheme="majorBidi" w:cstheme="majorBidi"/>
          <w:bCs/>
          <w:sz w:val="24"/>
          <w:szCs w:val="24"/>
        </w:rPr>
        <w:t xml:space="preserve"> </w:t>
      </w:r>
      <w:r w:rsidR="00A871B6" w:rsidRPr="00B92144">
        <w:rPr>
          <w:rFonts w:asciiTheme="majorBidi" w:hAnsiTheme="majorBidi" w:cstheme="majorBidi"/>
          <w:bCs/>
          <w:sz w:val="24"/>
          <w:szCs w:val="24"/>
        </w:rPr>
        <w:t xml:space="preserve">Second, since </w:t>
      </w:r>
      <w:r w:rsidRPr="00B92144">
        <w:rPr>
          <w:rFonts w:asciiTheme="majorBidi" w:hAnsiTheme="majorBidi" w:cstheme="majorBidi"/>
          <w:bCs/>
          <w:sz w:val="24"/>
          <w:szCs w:val="24"/>
        </w:rPr>
        <w:t xml:space="preserve">corporate governance definition of best practices is still ambiguous and unresolved (Brickley &amp; Zimmerman, 2010), the internal </w:t>
      </w:r>
      <w:r w:rsidR="009E4A17" w:rsidRPr="00B92144">
        <w:rPr>
          <w:rFonts w:asciiTheme="majorBidi" w:hAnsiTheme="majorBidi" w:cstheme="majorBidi"/>
          <w:bCs/>
          <w:sz w:val="24"/>
          <w:szCs w:val="24"/>
        </w:rPr>
        <w:t>governance</w:t>
      </w:r>
      <w:r w:rsidR="00A871B6" w:rsidRPr="00B92144">
        <w:rPr>
          <w:rFonts w:asciiTheme="majorBidi" w:hAnsiTheme="majorBidi" w:cstheme="majorBidi"/>
          <w:bCs/>
          <w:sz w:val="24"/>
          <w:szCs w:val="24"/>
        </w:rPr>
        <w:t xml:space="preserve"> attributes</w:t>
      </w:r>
      <w:r w:rsidR="00977D8F" w:rsidRPr="00B92144">
        <w:rPr>
          <w:rFonts w:asciiTheme="majorBidi" w:hAnsiTheme="majorBidi" w:cstheme="majorBidi"/>
          <w:bCs/>
          <w:sz w:val="24"/>
          <w:szCs w:val="24"/>
        </w:rPr>
        <w:t>, which</w:t>
      </w:r>
      <w:r w:rsidR="009E4A17" w:rsidRPr="00B92144">
        <w:rPr>
          <w:rFonts w:asciiTheme="majorBidi" w:hAnsiTheme="majorBidi" w:cstheme="majorBidi"/>
          <w:bCs/>
          <w:sz w:val="24"/>
          <w:szCs w:val="24"/>
        </w:rPr>
        <w:t xml:space="preserve"> departs from the commonly used</w:t>
      </w:r>
      <w:r w:rsidR="00B025E8" w:rsidRPr="00B92144">
        <w:rPr>
          <w:rFonts w:asciiTheme="majorBidi" w:hAnsiTheme="majorBidi" w:cstheme="majorBidi"/>
          <w:bCs/>
          <w:sz w:val="24"/>
          <w:szCs w:val="24"/>
        </w:rPr>
        <w:t xml:space="preserve"> measure</w:t>
      </w:r>
      <w:r w:rsidR="009E4A17" w:rsidRPr="00B92144">
        <w:rPr>
          <w:rFonts w:asciiTheme="majorBidi" w:hAnsiTheme="majorBidi" w:cstheme="majorBidi"/>
          <w:bCs/>
          <w:sz w:val="24"/>
          <w:szCs w:val="24"/>
        </w:rPr>
        <w:t xml:space="preserve"> in the literature</w:t>
      </w:r>
      <w:r w:rsidR="00977D8F" w:rsidRPr="00B92144">
        <w:rPr>
          <w:rFonts w:asciiTheme="majorBidi" w:hAnsiTheme="majorBidi" w:cstheme="majorBidi"/>
          <w:bCs/>
          <w:sz w:val="24"/>
          <w:szCs w:val="24"/>
        </w:rPr>
        <w:t>,</w:t>
      </w:r>
      <w:r w:rsidR="00977D8F" w:rsidRPr="00B92144">
        <w:rPr>
          <w:rFonts w:asciiTheme="majorBidi" w:hAnsiTheme="majorBidi" w:cstheme="majorBidi"/>
          <w:sz w:val="24"/>
          <w:szCs w:val="24"/>
        </w:rPr>
        <w:t xml:space="preserve"> </w:t>
      </w:r>
      <w:r w:rsidR="00977D8F" w:rsidRPr="00B92144">
        <w:rPr>
          <w:rFonts w:asciiTheme="majorBidi" w:hAnsiTheme="majorBidi" w:cstheme="majorBidi"/>
          <w:bCs/>
          <w:sz w:val="24"/>
          <w:szCs w:val="24"/>
        </w:rPr>
        <w:t>might suffer from measurement bias</w:t>
      </w:r>
      <w:r w:rsidR="009E4A17" w:rsidRPr="00B92144">
        <w:rPr>
          <w:rFonts w:asciiTheme="majorBidi" w:hAnsiTheme="majorBidi" w:cstheme="majorBidi"/>
          <w:bCs/>
          <w:sz w:val="24"/>
          <w:szCs w:val="24"/>
        </w:rPr>
        <w:t xml:space="preserve">. </w:t>
      </w:r>
      <w:r w:rsidR="00A871B6" w:rsidRPr="00B92144">
        <w:rPr>
          <w:rFonts w:asciiTheme="majorBidi" w:hAnsiTheme="majorBidi" w:cstheme="majorBidi"/>
          <w:bCs/>
          <w:sz w:val="24"/>
          <w:szCs w:val="24"/>
        </w:rPr>
        <w:t>Finally, cross-country differences in risk reporting informativeness within emerging</w:t>
      </w:r>
      <w:r w:rsidR="00FD6F2A" w:rsidRPr="00B92144">
        <w:rPr>
          <w:rFonts w:asciiTheme="majorBidi" w:hAnsiTheme="majorBidi" w:cstheme="majorBidi"/>
          <w:bCs/>
          <w:sz w:val="24"/>
          <w:szCs w:val="24"/>
        </w:rPr>
        <w:t xml:space="preserve"> markets are uncovered by this research</w:t>
      </w:r>
      <w:r w:rsidR="00A871B6" w:rsidRPr="00B92144">
        <w:rPr>
          <w:rFonts w:asciiTheme="majorBidi" w:hAnsiTheme="majorBidi" w:cstheme="majorBidi"/>
          <w:bCs/>
          <w:sz w:val="24"/>
          <w:szCs w:val="24"/>
        </w:rPr>
        <w:t xml:space="preserve">. Future research may fill this gap and empirically </w:t>
      </w:r>
      <w:r w:rsidR="00FD6F2A" w:rsidRPr="00B92144">
        <w:rPr>
          <w:rFonts w:asciiTheme="majorBidi" w:hAnsiTheme="majorBidi" w:cstheme="majorBidi"/>
          <w:bCs/>
          <w:sz w:val="24"/>
          <w:szCs w:val="24"/>
        </w:rPr>
        <w:t>studying</w:t>
      </w:r>
      <w:r w:rsidR="00A871B6" w:rsidRPr="00B92144">
        <w:rPr>
          <w:rFonts w:asciiTheme="majorBidi" w:hAnsiTheme="majorBidi" w:cstheme="majorBidi"/>
          <w:bCs/>
          <w:sz w:val="24"/>
          <w:szCs w:val="24"/>
        </w:rPr>
        <w:t xml:space="preserve"> country-level governance factors that explain these differences.</w:t>
      </w:r>
    </w:p>
    <w:p w14:paraId="52044F02" w14:textId="08C8F57A" w:rsidR="00877BEF" w:rsidRPr="00B92144" w:rsidRDefault="00BB6824" w:rsidP="00145E7E">
      <w:pPr>
        <w:autoSpaceDE w:val="0"/>
        <w:autoSpaceDN w:val="0"/>
        <w:adjustRightInd w:val="0"/>
        <w:spacing w:before="120" w:after="0" w:line="360" w:lineRule="auto"/>
        <w:jc w:val="both"/>
        <w:rPr>
          <w:rFonts w:asciiTheme="majorBidi" w:hAnsiTheme="majorBidi" w:cstheme="majorBidi"/>
          <w:color w:val="2E2E2E"/>
          <w:sz w:val="24"/>
          <w:szCs w:val="24"/>
        </w:rPr>
      </w:pPr>
      <w:r w:rsidRPr="00B92144">
        <w:rPr>
          <w:rFonts w:asciiTheme="majorBidi" w:hAnsiTheme="majorBidi" w:cstheme="majorBidi"/>
          <w:color w:val="2E2E2E"/>
          <w:sz w:val="24"/>
          <w:szCs w:val="24"/>
        </w:rPr>
        <w:t xml:space="preserve">Despite the aforementioned limitations, </w:t>
      </w:r>
      <w:r w:rsidR="00977D8F" w:rsidRPr="00B92144">
        <w:rPr>
          <w:rFonts w:asciiTheme="majorBidi" w:hAnsiTheme="majorBidi" w:cstheme="majorBidi"/>
          <w:color w:val="2E2E2E"/>
          <w:sz w:val="24"/>
          <w:szCs w:val="24"/>
        </w:rPr>
        <w:t>our research</w:t>
      </w:r>
      <w:r w:rsidR="00964FDC" w:rsidRPr="00B92144">
        <w:rPr>
          <w:rFonts w:asciiTheme="majorBidi" w:hAnsiTheme="majorBidi" w:cstheme="majorBidi"/>
          <w:color w:val="2E2E2E"/>
          <w:sz w:val="24"/>
          <w:szCs w:val="24"/>
        </w:rPr>
        <w:t xml:space="preserve"> findings are also expected to provide regulatory bodies with useful information about factors that influences the perceived relevance of risk disclosure.</w:t>
      </w:r>
      <w:r w:rsidR="00877BEF" w:rsidRPr="00B92144">
        <w:rPr>
          <w:rFonts w:asciiTheme="majorBidi" w:hAnsiTheme="majorBidi" w:cstheme="majorBidi"/>
          <w:sz w:val="24"/>
          <w:szCs w:val="24"/>
        </w:rPr>
        <w:t xml:space="preserve"> </w:t>
      </w:r>
      <w:r w:rsidR="00B12F8E" w:rsidRPr="00B92144">
        <w:rPr>
          <w:rFonts w:asciiTheme="majorBidi" w:hAnsiTheme="majorBidi" w:cstheme="majorBidi"/>
          <w:color w:val="2E2E2E"/>
          <w:sz w:val="24"/>
          <w:szCs w:val="24"/>
        </w:rPr>
        <w:t>Our</w:t>
      </w:r>
      <w:r w:rsidR="00877BEF" w:rsidRPr="00B92144">
        <w:rPr>
          <w:rFonts w:asciiTheme="majorBidi" w:hAnsiTheme="majorBidi" w:cstheme="majorBidi"/>
          <w:color w:val="2E2E2E"/>
          <w:sz w:val="24"/>
          <w:szCs w:val="24"/>
        </w:rPr>
        <w:t xml:space="preserve"> results show that better quality corporate governance has a direct impact on the extent to which agency problems may be reduced. </w:t>
      </w:r>
      <w:r w:rsidR="00B12F8E" w:rsidRPr="00B92144">
        <w:rPr>
          <w:rFonts w:asciiTheme="majorBidi" w:hAnsiTheme="majorBidi" w:cstheme="majorBidi"/>
          <w:color w:val="2E2E2E"/>
          <w:sz w:val="24"/>
          <w:szCs w:val="24"/>
        </w:rPr>
        <w:t>Regulators</w:t>
      </w:r>
      <w:r w:rsidR="00877BEF" w:rsidRPr="00B92144">
        <w:rPr>
          <w:rFonts w:asciiTheme="majorBidi" w:hAnsiTheme="majorBidi" w:cstheme="majorBidi"/>
          <w:color w:val="2E2E2E"/>
          <w:sz w:val="24"/>
          <w:szCs w:val="24"/>
        </w:rPr>
        <w:t xml:space="preserve"> should continue their efforts toward the implementation of emerging international standards of corporate governance.</w:t>
      </w:r>
      <w:r w:rsidR="00145E7E" w:rsidRPr="00B92144">
        <w:rPr>
          <w:rFonts w:asciiTheme="majorBidi" w:hAnsiTheme="majorBidi" w:cstheme="majorBidi"/>
          <w:color w:val="2E2E2E"/>
          <w:sz w:val="24"/>
          <w:szCs w:val="24"/>
        </w:rPr>
        <w:t xml:space="preserve"> Moreover, </w:t>
      </w:r>
      <w:r w:rsidR="00877BEF" w:rsidRPr="00B92144">
        <w:rPr>
          <w:rFonts w:asciiTheme="majorBidi" w:hAnsiTheme="majorBidi" w:cstheme="majorBidi"/>
          <w:sz w:val="24"/>
          <w:szCs w:val="24"/>
        </w:rPr>
        <w:t xml:space="preserve">in order to promote transparency and disclosure, regulators have to improve </w:t>
      </w:r>
      <w:r w:rsidR="00145E7E" w:rsidRPr="00B92144">
        <w:rPr>
          <w:rFonts w:asciiTheme="majorBidi" w:hAnsiTheme="majorBidi" w:cstheme="majorBidi"/>
          <w:sz w:val="24"/>
          <w:szCs w:val="24"/>
        </w:rPr>
        <w:t>corporate governance</w:t>
      </w:r>
      <w:r w:rsidR="00877BEF" w:rsidRPr="00B92144">
        <w:rPr>
          <w:rFonts w:asciiTheme="majorBidi" w:hAnsiTheme="majorBidi" w:cstheme="majorBidi"/>
          <w:sz w:val="24"/>
          <w:szCs w:val="24"/>
        </w:rPr>
        <w:t xml:space="preserve"> mechanisms in the banking system through the optimisation of ownership structure (dispersed ownership) and the characteristics of the board (board size</w:t>
      </w:r>
      <w:r w:rsidR="00145E7E" w:rsidRPr="00B92144">
        <w:rPr>
          <w:rFonts w:asciiTheme="majorBidi" w:hAnsiTheme="majorBidi" w:cstheme="majorBidi"/>
          <w:sz w:val="24"/>
          <w:szCs w:val="24"/>
        </w:rPr>
        <w:t>,</w:t>
      </w:r>
      <w:r w:rsidR="00877BEF" w:rsidRPr="00B92144">
        <w:rPr>
          <w:rFonts w:asciiTheme="majorBidi" w:hAnsiTheme="majorBidi" w:cstheme="majorBidi"/>
          <w:sz w:val="24"/>
          <w:szCs w:val="24"/>
        </w:rPr>
        <w:t xml:space="preserve"> board </w:t>
      </w:r>
      <w:r w:rsidR="00145E7E" w:rsidRPr="00B92144">
        <w:rPr>
          <w:rFonts w:asciiTheme="majorBidi" w:hAnsiTheme="majorBidi" w:cstheme="majorBidi"/>
          <w:sz w:val="24"/>
          <w:szCs w:val="24"/>
        </w:rPr>
        <w:t xml:space="preserve">composition and </w:t>
      </w:r>
      <w:r w:rsidR="00877BEF" w:rsidRPr="00B92144">
        <w:rPr>
          <w:rFonts w:asciiTheme="majorBidi" w:hAnsiTheme="majorBidi" w:cstheme="majorBidi"/>
          <w:sz w:val="24"/>
          <w:szCs w:val="24"/>
        </w:rPr>
        <w:t>independence).</w:t>
      </w:r>
    </w:p>
    <w:p w14:paraId="32D5DDEF" w14:textId="77777777" w:rsidR="00A50D96" w:rsidRPr="00B92144" w:rsidRDefault="00A50D96" w:rsidP="00FC361E">
      <w:pPr>
        <w:autoSpaceDE w:val="0"/>
        <w:autoSpaceDN w:val="0"/>
        <w:adjustRightInd w:val="0"/>
        <w:spacing w:before="120" w:after="0" w:line="360" w:lineRule="auto"/>
        <w:jc w:val="both"/>
        <w:rPr>
          <w:rFonts w:asciiTheme="majorBidi" w:hAnsiTheme="majorBidi" w:cstheme="majorBidi"/>
          <w:bCs/>
          <w:sz w:val="24"/>
          <w:szCs w:val="24"/>
        </w:rPr>
      </w:pPr>
    </w:p>
    <w:p w14:paraId="43DAD5C0" w14:textId="77777777" w:rsidR="00145E7E" w:rsidRPr="00B92144" w:rsidRDefault="00145E7E">
      <w:pPr>
        <w:rPr>
          <w:rFonts w:asciiTheme="majorBidi" w:hAnsiTheme="majorBidi" w:cstheme="majorBidi"/>
          <w:b/>
          <w:bCs/>
          <w:sz w:val="24"/>
          <w:szCs w:val="24"/>
        </w:rPr>
      </w:pPr>
      <w:r w:rsidRPr="00B92144">
        <w:rPr>
          <w:rFonts w:asciiTheme="majorBidi" w:hAnsiTheme="majorBidi" w:cstheme="majorBidi"/>
          <w:b/>
          <w:bCs/>
          <w:sz w:val="24"/>
          <w:szCs w:val="24"/>
        </w:rPr>
        <w:br w:type="page"/>
      </w:r>
    </w:p>
    <w:p w14:paraId="4322256A" w14:textId="30C2FFC4" w:rsidR="00FD5196" w:rsidRPr="00B92144" w:rsidRDefault="00D238A2" w:rsidP="00FD5196">
      <w:pPr>
        <w:autoSpaceDE w:val="0"/>
        <w:autoSpaceDN w:val="0"/>
        <w:adjustRightInd w:val="0"/>
        <w:spacing w:before="120" w:after="0" w:line="360" w:lineRule="auto"/>
        <w:jc w:val="both"/>
        <w:rPr>
          <w:rFonts w:asciiTheme="majorBidi" w:hAnsiTheme="majorBidi" w:cstheme="majorBidi"/>
          <w:b/>
          <w:bCs/>
          <w:sz w:val="24"/>
          <w:szCs w:val="24"/>
        </w:rPr>
      </w:pPr>
      <w:r w:rsidRPr="00B92144">
        <w:rPr>
          <w:rFonts w:asciiTheme="majorBidi" w:hAnsiTheme="majorBidi" w:cstheme="majorBidi"/>
          <w:b/>
          <w:bCs/>
          <w:sz w:val="24"/>
          <w:szCs w:val="24"/>
        </w:rPr>
        <w:lastRenderedPageBreak/>
        <w:t>REFERENCES</w:t>
      </w:r>
    </w:p>
    <w:p w14:paraId="5F285C1F"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Abdallah, A. A.-N., Hassan, M. K., &amp; McClelland, P. L. (2015). Islamic financial institutions, corporate governance, and corporate risk disclosure in Gulf Cooperation Council countries. </w:t>
      </w:r>
      <w:r w:rsidRPr="00B92144">
        <w:rPr>
          <w:rFonts w:asciiTheme="majorBidi" w:hAnsiTheme="majorBidi" w:cstheme="majorBidi"/>
          <w:i/>
          <w:iCs/>
        </w:rPr>
        <w:t>Journal of Multinational Financial Management</w:t>
      </w:r>
      <w:r w:rsidRPr="00B92144">
        <w:rPr>
          <w:rFonts w:asciiTheme="majorBidi" w:hAnsiTheme="majorBidi" w:cstheme="majorBidi"/>
        </w:rPr>
        <w:t xml:space="preserve">, </w:t>
      </w:r>
      <w:r w:rsidRPr="00B92144">
        <w:rPr>
          <w:rFonts w:asciiTheme="majorBidi" w:hAnsiTheme="majorBidi" w:cstheme="majorBidi"/>
          <w:i/>
          <w:iCs/>
        </w:rPr>
        <w:t>31</w:t>
      </w:r>
      <w:r w:rsidRPr="00B92144">
        <w:rPr>
          <w:rFonts w:asciiTheme="majorBidi" w:hAnsiTheme="majorBidi" w:cstheme="majorBidi"/>
        </w:rPr>
        <w:t>, 63‑82.</w:t>
      </w:r>
    </w:p>
    <w:p w14:paraId="2A6303AE"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Abdul hamid, F. Z. (2004). Corporate social disclosure by banks and finance companies: Malaysian evidence. </w:t>
      </w:r>
      <w:r w:rsidRPr="00B92144">
        <w:rPr>
          <w:rFonts w:asciiTheme="majorBidi" w:hAnsiTheme="majorBidi" w:cstheme="majorBidi"/>
          <w:i/>
          <w:iCs/>
        </w:rPr>
        <w:t>Corporate Ownership and Control</w:t>
      </w:r>
      <w:r w:rsidRPr="00B92144">
        <w:rPr>
          <w:rFonts w:asciiTheme="majorBidi" w:hAnsiTheme="majorBidi" w:cstheme="majorBidi"/>
        </w:rPr>
        <w:t xml:space="preserve">, </w:t>
      </w:r>
      <w:r w:rsidRPr="00B92144">
        <w:rPr>
          <w:rFonts w:asciiTheme="majorBidi" w:hAnsiTheme="majorBidi" w:cstheme="majorBidi"/>
          <w:i/>
          <w:iCs/>
        </w:rPr>
        <w:t>1</w:t>
      </w:r>
      <w:r w:rsidRPr="00B92144">
        <w:rPr>
          <w:rFonts w:asciiTheme="majorBidi" w:hAnsiTheme="majorBidi" w:cstheme="majorBidi"/>
        </w:rPr>
        <w:t xml:space="preserve">, 118‑130. </w:t>
      </w:r>
    </w:p>
    <w:p w14:paraId="3390EBB3"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Abraham, S., &amp; Cox, P. (2007). Analysing the Determinants of Narrative Risk Information in UK FTSE 100 Annual Reports. </w:t>
      </w:r>
      <w:r w:rsidRPr="00B92144">
        <w:rPr>
          <w:rFonts w:asciiTheme="majorBidi" w:hAnsiTheme="majorBidi" w:cstheme="majorBidi"/>
          <w:i/>
          <w:iCs/>
        </w:rPr>
        <w:t>The British Accounting Review</w:t>
      </w:r>
      <w:r w:rsidRPr="00B92144">
        <w:rPr>
          <w:rFonts w:asciiTheme="majorBidi" w:hAnsiTheme="majorBidi" w:cstheme="majorBidi"/>
        </w:rPr>
        <w:t xml:space="preserve">, </w:t>
      </w:r>
      <w:r w:rsidRPr="00B92144">
        <w:rPr>
          <w:rFonts w:asciiTheme="majorBidi" w:hAnsiTheme="majorBidi" w:cstheme="majorBidi"/>
          <w:i/>
          <w:iCs/>
        </w:rPr>
        <w:t>39</w:t>
      </w:r>
      <w:r w:rsidRPr="00B92144">
        <w:rPr>
          <w:rFonts w:asciiTheme="majorBidi" w:hAnsiTheme="majorBidi" w:cstheme="majorBidi"/>
        </w:rPr>
        <w:t xml:space="preserve">, 227‑248. </w:t>
      </w:r>
    </w:p>
    <w:p w14:paraId="59AF026D"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Al-Hadi Ahmed, Hasa’n Mostafa Monzur, &amp; Habib Ahsan. (2015). Risk Committee, Firm Life Cycle, and Market Risk Disclosures. </w:t>
      </w:r>
      <w:r w:rsidRPr="00B92144">
        <w:rPr>
          <w:rFonts w:asciiTheme="majorBidi" w:hAnsiTheme="majorBidi" w:cstheme="majorBidi"/>
          <w:i/>
          <w:iCs/>
        </w:rPr>
        <w:t>Corporate Governance: An International Review</w:t>
      </w:r>
      <w:r w:rsidRPr="00B92144">
        <w:rPr>
          <w:rFonts w:asciiTheme="majorBidi" w:hAnsiTheme="majorBidi" w:cstheme="majorBidi"/>
        </w:rPr>
        <w:t xml:space="preserve">, </w:t>
      </w:r>
      <w:r w:rsidRPr="00B92144">
        <w:rPr>
          <w:rFonts w:asciiTheme="majorBidi" w:hAnsiTheme="majorBidi" w:cstheme="majorBidi"/>
          <w:i/>
          <w:iCs/>
        </w:rPr>
        <w:t>24</w:t>
      </w:r>
      <w:r w:rsidRPr="00B92144">
        <w:rPr>
          <w:rFonts w:asciiTheme="majorBidi" w:hAnsiTheme="majorBidi" w:cstheme="majorBidi"/>
        </w:rPr>
        <w:t xml:space="preserve">(2), 145‑170. </w:t>
      </w:r>
    </w:p>
    <w:p w14:paraId="29FCE59E"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Al-Hadi, A., Al-Yahyaee, K. H., Hussain, S. M., &amp; Taylor, G. (2017). Market risk disclosures and corporate governance structure: Evidence from GCC financial firms. </w:t>
      </w:r>
      <w:r w:rsidRPr="00B92144">
        <w:rPr>
          <w:rFonts w:asciiTheme="majorBidi" w:hAnsiTheme="majorBidi" w:cstheme="majorBidi"/>
          <w:i/>
          <w:iCs/>
        </w:rPr>
        <w:t>The Quarterly Review of Economics and Finance</w:t>
      </w:r>
      <w:r w:rsidRPr="00B92144">
        <w:rPr>
          <w:rFonts w:asciiTheme="majorBidi" w:hAnsiTheme="majorBidi" w:cstheme="majorBidi"/>
        </w:rPr>
        <w:t xml:space="preserve">. </w:t>
      </w:r>
    </w:p>
    <w:p w14:paraId="6601A5F4"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Alfraih, M., &amp; M. Almutawa, A. (2014). Firm-Specific Characteristics and Corporate Financial Disclosure: Evidence from an Emerging Market. International Journal of Accounting and Taxation, 2 (4), 55-78.</w:t>
      </w:r>
    </w:p>
    <w:p w14:paraId="68486D63" w14:textId="77777777" w:rsidR="00291449" w:rsidRPr="00B92144" w:rsidRDefault="00291449" w:rsidP="00291449">
      <w:pPr>
        <w:autoSpaceDE w:val="0"/>
        <w:autoSpaceDN w:val="0"/>
        <w:adjustRightInd w:val="0"/>
        <w:spacing w:after="0" w:line="240" w:lineRule="auto"/>
        <w:ind w:left="720" w:hanging="720"/>
        <w:jc w:val="both"/>
        <w:rPr>
          <w:rFonts w:asciiTheme="majorBidi" w:hAnsiTheme="majorBidi" w:cstheme="majorBidi"/>
          <w:shd w:val="clear" w:color="auto" w:fill="FFFFFF"/>
        </w:rPr>
      </w:pPr>
      <w:r w:rsidRPr="00B92144">
        <w:rPr>
          <w:rFonts w:asciiTheme="majorBidi" w:hAnsiTheme="majorBidi" w:cstheme="majorBidi"/>
          <w:shd w:val="clear" w:color="auto" w:fill="FFFFFF"/>
        </w:rPr>
        <w:t>Aljifri, K., Alzarouni, A.k., Chew Ng, and Tahir, M. I (2014) The Association between Firm Characteristics and Corporate Financial Disclosures: Evidence from UAE Companies (2014</w:t>
      </w:r>
      <w:r w:rsidRPr="00B92144">
        <w:rPr>
          <w:rFonts w:asciiTheme="majorBidi" w:hAnsiTheme="majorBidi" w:cstheme="majorBidi"/>
          <w:i/>
          <w:iCs/>
          <w:shd w:val="clear" w:color="auto" w:fill="FFFFFF"/>
        </w:rPr>
        <w:t>). The International Journal of Business and Finance Research</w:t>
      </w:r>
      <w:r w:rsidRPr="00B92144">
        <w:rPr>
          <w:rFonts w:asciiTheme="majorBidi" w:hAnsiTheme="majorBidi" w:cstheme="majorBidi"/>
          <w:shd w:val="clear" w:color="auto" w:fill="FFFFFF"/>
        </w:rPr>
        <w:t>, Vol. 8 (2) pp. 101-123.</w:t>
      </w:r>
    </w:p>
    <w:p w14:paraId="3D995072"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lang w:val="fr-FR"/>
        </w:rPr>
        <w:t xml:space="preserve">Allini, A., Rossi, F. M., &amp; Hussainey, K. (2016). </w:t>
      </w:r>
      <w:r w:rsidRPr="00B92144">
        <w:rPr>
          <w:rFonts w:asciiTheme="majorBidi" w:hAnsiTheme="majorBidi" w:cstheme="majorBidi"/>
        </w:rPr>
        <w:t xml:space="preserve">The board’s role in risk disclosure: an exploratory study of Italian listed state-owned enterprises. </w:t>
      </w:r>
      <w:r w:rsidRPr="00B92144">
        <w:rPr>
          <w:rFonts w:asciiTheme="majorBidi" w:hAnsiTheme="majorBidi" w:cstheme="majorBidi"/>
          <w:i/>
          <w:iCs/>
        </w:rPr>
        <w:t>Public Money &amp; Management</w:t>
      </w:r>
      <w:r w:rsidRPr="00B92144">
        <w:rPr>
          <w:rFonts w:asciiTheme="majorBidi" w:hAnsiTheme="majorBidi" w:cstheme="majorBidi"/>
        </w:rPr>
        <w:t xml:space="preserve">, </w:t>
      </w:r>
      <w:r w:rsidRPr="00B92144">
        <w:rPr>
          <w:rFonts w:asciiTheme="majorBidi" w:hAnsiTheme="majorBidi" w:cstheme="majorBidi"/>
          <w:i/>
          <w:iCs/>
        </w:rPr>
        <w:t>36</w:t>
      </w:r>
      <w:r w:rsidRPr="00B92144">
        <w:rPr>
          <w:rFonts w:asciiTheme="majorBidi" w:hAnsiTheme="majorBidi" w:cstheme="majorBidi"/>
        </w:rPr>
        <w:t xml:space="preserve">(2), 113‑120. </w:t>
      </w:r>
    </w:p>
    <w:p w14:paraId="3DB00B51"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Al-Maghzom, A. (2016). </w:t>
      </w:r>
      <w:r w:rsidRPr="00B92144">
        <w:rPr>
          <w:rFonts w:asciiTheme="majorBidi" w:hAnsiTheme="majorBidi" w:cstheme="majorBidi"/>
          <w:i/>
          <w:iCs/>
        </w:rPr>
        <w:t>The Determinants and Consequences of Risk Disclosure in Saudi Banks</w:t>
      </w:r>
      <w:r w:rsidRPr="00B92144">
        <w:rPr>
          <w:rFonts w:asciiTheme="majorBidi" w:hAnsiTheme="majorBidi" w:cstheme="majorBidi"/>
        </w:rPr>
        <w:t xml:space="preserve"> (phd). University of Gloucestershire. </w:t>
      </w:r>
      <w:hyperlink r:id="rId17" w:history="1">
        <w:r w:rsidRPr="00B92144">
          <w:rPr>
            <w:rStyle w:val="Hyperlink"/>
            <w:rFonts w:asciiTheme="majorBidi" w:hAnsiTheme="majorBidi" w:cstheme="majorBidi"/>
          </w:rPr>
          <w:t>http://eprints.glos.ac.uk/4135/</w:t>
        </w:r>
      </w:hyperlink>
    </w:p>
    <w:p w14:paraId="25AEFD77"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Al-Najjar, B., &amp; Hussainey, K. (2011). Future-oriented narrative reporting: Determinants and use. </w:t>
      </w:r>
      <w:r w:rsidRPr="00B92144">
        <w:rPr>
          <w:rFonts w:asciiTheme="majorBidi" w:hAnsiTheme="majorBidi" w:cstheme="majorBidi"/>
          <w:i/>
          <w:iCs/>
        </w:rPr>
        <w:t>Journal of Applied Accounting Research</w:t>
      </w:r>
      <w:r w:rsidRPr="00B92144">
        <w:rPr>
          <w:rFonts w:asciiTheme="majorBidi" w:hAnsiTheme="majorBidi" w:cstheme="majorBidi"/>
        </w:rPr>
        <w:t xml:space="preserve">, </w:t>
      </w:r>
      <w:r w:rsidRPr="00B92144">
        <w:rPr>
          <w:rFonts w:asciiTheme="majorBidi" w:hAnsiTheme="majorBidi" w:cstheme="majorBidi"/>
          <w:i/>
          <w:iCs/>
        </w:rPr>
        <w:t>12</w:t>
      </w:r>
      <w:r w:rsidRPr="00B92144">
        <w:rPr>
          <w:rFonts w:asciiTheme="majorBidi" w:hAnsiTheme="majorBidi" w:cstheme="majorBidi"/>
        </w:rPr>
        <w:t xml:space="preserve">, 123‑138. </w:t>
      </w:r>
    </w:p>
    <w:p w14:paraId="453E8C4E"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Alsaeed, K. (2006). The association between firm‐specific characteristics and disclosure: The case of Saudi Arabia. </w:t>
      </w:r>
      <w:r w:rsidRPr="00B92144">
        <w:rPr>
          <w:rFonts w:asciiTheme="majorBidi" w:hAnsiTheme="majorBidi" w:cstheme="majorBidi"/>
          <w:i/>
          <w:iCs/>
        </w:rPr>
        <w:t>Managerial Auditing Journal</w:t>
      </w:r>
      <w:r w:rsidRPr="00B92144">
        <w:rPr>
          <w:rFonts w:asciiTheme="majorBidi" w:hAnsiTheme="majorBidi" w:cstheme="majorBidi"/>
        </w:rPr>
        <w:t xml:space="preserve">, </w:t>
      </w:r>
      <w:r w:rsidRPr="00B92144">
        <w:rPr>
          <w:rFonts w:asciiTheme="majorBidi" w:hAnsiTheme="majorBidi" w:cstheme="majorBidi"/>
          <w:i/>
          <w:iCs/>
        </w:rPr>
        <w:t>21</w:t>
      </w:r>
      <w:r w:rsidRPr="00B92144">
        <w:rPr>
          <w:rFonts w:asciiTheme="majorBidi" w:hAnsiTheme="majorBidi" w:cstheme="majorBidi"/>
        </w:rPr>
        <w:t xml:space="preserve">(5), 476‑496. </w:t>
      </w:r>
    </w:p>
    <w:p w14:paraId="0B997085"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Amran, A., Bin, A. M. R., &amp; Hassan, B. C. H. M. (2009). Risk reporting: An exploratory study on risk management disclosure in Malaysian annual reports. </w:t>
      </w:r>
      <w:r w:rsidRPr="00B92144">
        <w:rPr>
          <w:rFonts w:asciiTheme="majorBidi" w:hAnsiTheme="majorBidi" w:cstheme="majorBidi"/>
          <w:i/>
          <w:iCs/>
        </w:rPr>
        <w:t>Managerial auditing journal</w:t>
      </w:r>
      <w:r w:rsidRPr="00B92144">
        <w:rPr>
          <w:rFonts w:asciiTheme="majorBidi" w:hAnsiTheme="majorBidi" w:cstheme="majorBidi"/>
        </w:rPr>
        <w:t xml:space="preserve">, </w:t>
      </w:r>
      <w:r w:rsidRPr="00B92144">
        <w:rPr>
          <w:rFonts w:asciiTheme="majorBidi" w:hAnsiTheme="majorBidi" w:cstheme="majorBidi"/>
          <w:i/>
          <w:iCs/>
        </w:rPr>
        <w:t>24</w:t>
      </w:r>
      <w:r w:rsidRPr="00B92144">
        <w:rPr>
          <w:rFonts w:asciiTheme="majorBidi" w:hAnsiTheme="majorBidi" w:cstheme="majorBidi"/>
        </w:rPr>
        <w:t>(1).</w:t>
      </w:r>
    </w:p>
    <w:p w14:paraId="187E4C2D"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Ashforth, B. E., &amp; Gibbs, B. W. (1990). The Double-Edge of Organizational Legitimation. </w:t>
      </w:r>
      <w:r w:rsidRPr="00B92144">
        <w:rPr>
          <w:rFonts w:asciiTheme="majorBidi" w:hAnsiTheme="majorBidi" w:cstheme="majorBidi"/>
          <w:i/>
          <w:iCs/>
        </w:rPr>
        <w:t>Organization Science</w:t>
      </w:r>
      <w:r w:rsidRPr="00B92144">
        <w:rPr>
          <w:rFonts w:asciiTheme="majorBidi" w:hAnsiTheme="majorBidi" w:cstheme="majorBidi"/>
        </w:rPr>
        <w:t xml:space="preserve">, </w:t>
      </w:r>
      <w:r w:rsidRPr="00B92144">
        <w:rPr>
          <w:rFonts w:asciiTheme="majorBidi" w:hAnsiTheme="majorBidi" w:cstheme="majorBidi"/>
          <w:i/>
          <w:iCs/>
        </w:rPr>
        <w:t>1</w:t>
      </w:r>
      <w:r w:rsidRPr="00B92144">
        <w:rPr>
          <w:rFonts w:asciiTheme="majorBidi" w:hAnsiTheme="majorBidi" w:cstheme="majorBidi"/>
        </w:rPr>
        <w:t xml:space="preserve">(2), 177‑194. </w:t>
      </w:r>
    </w:p>
    <w:p w14:paraId="403D141E"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Bamber, M., &amp; McMeeking, K. (2015). An examination of international accounting standard-setting due process and the implications for legitimacy. The British Accounting Review, 48(1), 59-73.</w:t>
      </w:r>
    </w:p>
    <w:p w14:paraId="02399E77"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Barakat, A., &amp; Hussainey, K. (2013). Bank governance, regulation, supervision, and risk reporting: Evidence from operational risk disclosures in European banks. </w:t>
      </w:r>
      <w:r w:rsidRPr="00B92144">
        <w:rPr>
          <w:rFonts w:asciiTheme="majorBidi" w:hAnsiTheme="majorBidi" w:cstheme="majorBidi"/>
          <w:i/>
          <w:iCs/>
        </w:rPr>
        <w:t>International Review of Financial Analysis</w:t>
      </w:r>
      <w:r w:rsidRPr="00B92144">
        <w:rPr>
          <w:rFonts w:asciiTheme="majorBidi" w:hAnsiTheme="majorBidi" w:cstheme="majorBidi"/>
        </w:rPr>
        <w:t xml:space="preserve">, </w:t>
      </w:r>
      <w:r w:rsidRPr="00B92144">
        <w:rPr>
          <w:rFonts w:asciiTheme="majorBidi" w:hAnsiTheme="majorBidi" w:cstheme="majorBidi"/>
          <w:i/>
          <w:iCs/>
        </w:rPr>
        <w:t>30</w:t>
      </w:r>
      <w:r w:rsidRPr="00B92144">
        <w:rPr>
          <w:rFonts w:asciiTheme="majorBidi" w:hAnsiTheme="majorBidi" w:cstheme="majorBidi"/>
        </w:rPr>
        <w:t xml:space="preserve">, 254‑273. </w:t>
      </w:r>
    </w:p>
    <w:p w14:paraId="7780ED5B"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Barako, D. G., et al. (2006.). Factors Influencing Voluntary Corporate Disclosure by Kenyan Companies. </w:t>
      </w:r>
      <w:r w:rsidRPr="00B92144">
        <w:rPr>
          <w:rFonts w:asciiTheme="majorBidi" w:hAnsiTheme="majorBidi" w:cstheme="majorBidi"/>
          <w:i/>
          <w:iCs/>
        </w:rPr>
        <w:t>Corporate Governance: An International Review</w:t>
      </w:r>
      <w:r w:rsidRPr="00B92144">
        <w:rPr>
          <w:rFonts w:asciiTheme="majorBidi" w:hAnsiTheme="majorBidi" w:cstheme="majorBidi"/>
        </w:rPr>
        <w:t xml:space="preserve">, </w:t>
      </w:r>
      <w:r w:rsidRPr="00B92144">
        <w:rPr>
          <w:rFonts w:asciiTheme="majorBidi" w:hAnsiTheme="majorBidi" w:cstheme="majorBidi"/>
          <w:i/>
          <w:iCs/>
        </w:rPr>
        <w:t>14</w:t>
      </w:r>
      <w:r w:rsidRPr="00B92144">
        <w:rPr>
          <w:rFonts w:asciiTheme="majorBidi" w:hAnsiTheme="majorBidi" w:cstheme="majorBidi"/>
        </w:rPr>
        <w:t xml:space="preserve">(2), 107‑125. </w:t>
      </w:r>
    </w:p>
    <w:p w14:paraId="281EA9C2"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Beck, T., &amp; al. (2013). Islamic vs. conventional banking: Business model, efficiency and stability. </w:t>
      </w:r>
      <w:r w:rsidRPr="00B92144">
        <w:rPr>
          <w:rFonts w:asciiTheme="majorBidi" w:hAnsiTheme="majorBidi" w:cstheme="majorBidi"/>
          <w:i/>
          <w:iCs/>
        </w:rPr>
        <w:t>Journal of Banking &amp; Finance</w:t>
      </w:r>
      <w:r w:rsidRPr="00B92144">
        <w:rPr>
          <w:rFonts w:asciiTheme="majorBidi" w:hAnsiTheme="majorBidi" w:cstheme="majorBidi"/>
        </w:rPr>
        <w:t xml:space="preserve">, </w:t>
      </w:r>
      <w:r w:rsidRPr="00B92144">
        <w:rPr>
          <w:rFonts w:asciiTheme="majorBidi" w:hAnsiTheme="majorBidi" w:cstheme="majorBidi"/>
          <w:i/>
          <w:iCs/>
        </w:rPr>
        <w:t>37</w:t>
      </w:r>
      <w:r w:rsidRPr="00B92144">
        <w:rPr>
          <w:rFonts w:asciiTheme="majorBidi" w:hAnsiTheme="majorBidi" w:cstheme="majorBidi"/>
        </w:rPr>
        <w:t xml:space="preserve">(2), 433‑447. </w:t>
      </w:r>
    </w:p>
    <w:p w14:paraId="3B633F09"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Beiner, S., Drobetz, W., Schmid, M. M., &amp; Zimmermann, H. (2006). An Integrated Framework of Corporate Governance and Firm Valuation. </w:t>
      </w:r>
      <w:r w:rsidRPr="00B92144">
        <w:rPr>
          <w:rFonts w:asciiTheme="majorBidi" w:hAnsiTheme="majorBidi" w:cstheme="majorBidi"/>
          <w:i/>
          <w:iCs/>
        </w:rPr>
        <w:t>European Financial Management</w:t>
      </w:r>
      <w:r w:rsidRPr="00B92144">
        <w:rPr>
          <w:rFonts w:asciiTheme="majorBidi" w:hAnsiTheme="majorBidi" w:cstheme="majorBidi"/>
        </w:rPr>
        <w:t xml:space="preserve">, </w:t>
      </w:r>
      <w:r w:rsidRPr="00B92144">
        <w:rPr>
          <w:rFonts w:asciiTheme="majorBidi" w:hAnsiTheme="majorBidi" w:cstheme="majorBidi"/>
          <w:i/>
          <w:iCs/>
        </w:rPr>
        <w:t>12</w:t>
      </w:r>
      <w:r w:rsidRPr="00B92144">
        <w:rPr>
          <w:rFonts w:asciiTheme="majorBidi" w:hAnsiTheme="majorBidi" w:cstheme="majorBidi"/>
        </w:rPr>
        <w:t xml:space="preserve">(2), 249‑283. </w:t>
      </w:r>
    </w:p>
    <w:p w14:paraId="697601A7"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Beretta, S., &amp; Bozzolan, S. (2004). A framework for the analysis of firm risk communication. </w:t>
      </w:r>
      <w:r w:rsidRPr="00B92144">
        <w:rPr>
          <w:rFonts w:asciiTheme="majorBidi" w:hAnsiTheme="majorBidi" w:cstheme="majorBidi"/>
          <w:i/>
          <w:iCs/>
        </w:rPr>
        <w:t>The International Journal of Accounting</w:t>
      </w:r>
      <w:r w:rsidRPr="00B92144">
        <w:rPr>
          <w:rFonts w:asciiTheme="majorBidi" w:hAnsiTheme="majorBidi" w:cstheme="majorBidi"/>
        </w:rPr>
        <w:t xml:space="preserve">, </w:t>
      </w:r>
      <w:r w:rsidRPr="00B92144">
        <w:rPr>
          <w:rFonts w:asciiTheme="majorBidi" w:hAnsiTheme="majorBidi" w:cstheme="majorBidi"/>
          <w:i/>
          <w:iCs/>
        </w:rPr>
        <w:t>39</w:t>
      </w:r>
      <w:r w:rsidRPr="00B92144">
        <w:rPr>
          <w:rFonts w:asciiTheme="majorBidi" w:hAnsiTheme="majorBidi" w:cstheme="majorBidi"/>
        </w:rPr>
        <w:t>(3), 265‑288.</w:t>
      </w:r>
    </w:p>
    <w:p w14:paraId="6F2A4526"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lastRenderedPageBreak/>
        <w:t xml:space="preserve">Birt, J. L., Bilson, C. M., Smith, T., &amp; Whaley, R. E. (2006). Ownership, Competition, and Financial Disclosure. </w:t>
      </w:r>
      <w:r w:rsidRPr="00B92144">
        <w:rPr>
          <w:rFonts w:asciiTheme="majorBidi" w:hAnsiTheme="majorBidi" w:cstheme="majorBidi"/>
          <w:i/>
          <w:iCs/>
        </w:rPr>
        <w:t>Australian Journal of Management</w:t>
      </w:r>
      <w:r w:rsidRPr="00B92144">
        <w:rPr>
          <w:rFonts w:asciiTheme="majorBidi" w:hAnsiTheme="majorBidi" w:cstheme="majorBidi"/>
        </w:rPr>
        <w:t xml:space="preserve">, </w:t>
      </w:r>
      <w:r w:rsidRPr="00B92144">
        <w:rPr>
          <w:rFonts w:asciiTheme="majorBidi" w:hAnsiTheme="majorBidi" w:cstheme="majorBidi"/>
          <w:i/>
          <w:iCs/>
        </w:rPr>
        <w:t>31</w:t>
      </w:r>
      <w:r w:rsidRPr="00B92144">
        <w:rPr>
          <w:rFonts w:asciiTheme="majorBidi" w:hAnsiTheme="majorBidi" w:cstheme="majorBidi"/>
        </w:rPr>
        <w:t xml:space="preserve">(2), 235‑263. </w:t>
      </w:r>
    </w:p>
    <w:p w14:paraId="43ABA8B5"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Bischof, J. (2009). The Effects of IFRS 7 Adoption on Bank Disclosure in Europe. </w:t>
      </w:r>
      <w:r w:rsidRPr="00B92144">
        <w:rPr>
          <w:rFonts w:asciiTheme="majorBidi" w:hAnsiTheme="majorBidi" w:cstheme="majorBidi"/>
          <w:i/>
          <w:iCs/>
        </w:rPr>
        <w:t>Accounting in Europe</w:t>
      </w:r>
      <w:r w:rsidRPr="00B92144">
        <w:rPr>
          <w:rFonts w:asciiTheme="majorBidi" w:hAnsiTheme="majorBidi" w:cstheme="majorBidi"/>
        </w:rPr>
        <w:t xml:space="preserve">, </w:t>
      </w:r>
      <w:r w:rsidRPr="00B92144">
        <w:rPr>
          <w:rFonts w:asciiTheme="majorBidi" w:hAnsiTheme="majorBidi" w:cstheme="majorBidi"/>
          <w:i/>
          <w:iCs/>
        </w:rPr>
        <w:t>6</w:t>
      </w:r>
      <w:r w:rsidRPr="00B92144">
        <w:rPr>
          <w:rFonts w:asciiTheme="majorBidi" w:hAnsiTheme="majorBidi" w:cstheme="majorBidi"/>
        </w:rPr>
        <w:t xml:space="preserve">(2), 167‑194. </w:t>
      </w:r>
    </w:p>
    <w:p w14:paraId="2B7402CB"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Bliss, R. R., &amp; Flannery, M. J. (2002). Market Discipline in the Governance of U.S. Bank Holding Companies: Monitoring vs. Influencing. </w:t>
      </w:r>
      <w:r w:rsidRPr="00B92144">
        <w:rPr>
          <w:rFonts w:asciiTheme="majorBidi" w:hAnsiTheme="majorBidi" w:cstheme="majorBidi"/>
          <w:i/>
          <w:iCs/>
        </w:rPr>
        <w:t>Review of Finance</w:t>
      </w:r>
      <w:r w:rsidRPr="00B92144">
        <w:rPr>
          <w:rFonts w:asciiTheme="majorBidi" w:hAnsiTheme="majorBidi" w:cstheme="majorBidi"/>
        </w:rPr>
        <w:t xml:space="preserve">, </w:t>
      </w:r>
      <w:r w:rsidRPr="00B92144">
        <w:rPr>
          <w:rFonts w:asciiTheme="majorBidi" w:hAnsiTheme="majorBidi" w:cstheme="majorBidi"/>
          <w:i/>
          <w:iCs/>
        </w:rPr>
        <w:t>6</w:t>
      </w:r>
      <w:r w:rsidRPr="00B92144">
        <w:rPr>
          <w:rFonts w:asciiTheme="majorBidi" w:hAnsiTheme="majorBidi" w:cstheme="majorBidi"/>
        </w:rPr>
        <w:t>(3), 361‑396.</w:t>
      </w:r>
    </w:p>
    <w:p w14:paraId="1C9BF3D3"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lang w:val="fr-FR"/>
        </w:rPr>
      </w:pPr>
      <w:r w:rsidRPr="00B92144">
        <w:rPr>
          <w:rFonts w:asciiTheme="majorBidi" w:hAnsiTheme="majorBidi" w:cstheme="majorBidi"/>
        </w:rPr>
        <w:t xml:space="preserve">Bozec, R., &amp; Bozec, Y. (2012). The Use of Governance Indexes in the Governance-Performance Relationship Literature: International Evidence. </w:t>
      </w:r>
      <w:r w:rsidRPr="00B92144">
        <w:rPr>
          <w:rFonts w:asciiTheme="majorBidi" w:hAnsiTheme="majorBidi" w:cstheme="majorBidi"/>
          <w:i/>
          <w:iCs/>
          <w:lang w:val="fr-FR"/>
        </w:rPr>
        <w:t>Canadian Journal of Administrative Sciences</w:t>
      </w:r>
      <w:r w:rsidRPr="00B92144">
        <w:rPr>
          <w:rFonts w:asciiTheme="majorBidi" w:hAnsiTheme="majorBidi" w:cstheme="majorBidi"/>
          <w:lang w:val="fr-FR"/>
        </w:rPr>
        <w:t xml:space="preserve">, </w:t>
      </w:r>
      <w:r w:rsidRPr="00B92144">
        <w:rPr>
          <w:rFonts w:asciiTheme="majorBidi" w:hAnsiTheme="majorBidi" w:cstheme="majorBidi"/>
          <w:i/>
          <w:iCs/>
          <w:lang w:val="fr-FR"/>
        </w:rPr>
        <w:t>29</w:t>
      </w:r>
      <w:r w:rsidRPr="00B92144">
        <w:rPr>
          <w:rFonts w:asciiTheme="majorBidi" w:hAnsiTheme="majorBidi" w:cstheme="majorBidi"/>
          <w:lang w:val="fr-FR"/>
        </w:rPr>
        <w:t xml:space="preserve">(1), 79‑98. </w:t>
      </w:r>
    </w:p>
    <w:p w14:paraId="25E5A378"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Brammer, S., &amp; Millington, A. (2006). Firm size, organizational visibility and corporate philanthropy: an empirical analysis. </w:t>
      </w:r>
      <w:r w:rsidRPr="00B92144">
        <w:rPr>
          <w:rFonts w:asciiTheme="majorBidi" w:hAnsiTheme="majorBidi" w:cstheme="majorBidi"/>
          <w:i/>
          <w:iCs/>
        </w:rPr>
        <w:t>Business Ethics: A European Review</w:t>
      </w:r>
      <w:r w:rsidRPr="00B92144">
        <w:rPr>
          <w:rFonts w:asciiTheme="majorBidi" w:hAnsiTheme="majorBidi" w:cstheme="majorBidi"/>
        </w:rPr>
        <w:t xml:space="preserve">, </w:t>
      </w:r>
      <w:r w:rsidRPr="00B92144">
        <w:rPr>
          <w:rFonts w:asciiTheme="majorBidi" w:hAnsiTheme="majorBidi" w:cstheme="majorBidi"/>
          <w:i/>
          <w:iCs/>
        </w:rPr>
        <w:t>15</w:t>
      </w:r>
      <w:r w:rsidRPr="00B92144">
        <w:rPr>
          <w:rFonts w:asciiTheme="majorBidi" w:hAnsiTheme="majorBidi" w:cstheme="majorBidi"/>
        </w:rPr>
        <w:t xml:space="preserve">(1), 6‑18. </w:t>
      </w:r>
    </w:p>
    <w:p w14:paraId="75BD06CF"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lang w:val="fr-FR"/>
        </w:rPr>
        <w:t xml:space="preserve">Brammer, S., &amp; Pavelin, S. (2008). </w:t>
      </w:r>
      <w:r w:rsidRPr="00B92144">
        <w:rPr>
          <w:rFonts w:asciiTheme="majorBidi" w:hAnsiTheme="majorBidi" w:cstheme="majorBidi"/>
        </w:rPr>
        <w:t xml:space="preserve">Factors influencing the quality of corporate environmental disclosure. </w:t>
      </w:r>
      <w:r w:rsidRPr="00B92144">
        <w:rPr>
          <w:rFonts w:asciiTheme="majorBidi" w:hAnsiTheme="majorBidi" w:cstheme="majorBidi"/>
          <w:i/>
          <w:iCs/>
        </w:rPr>
        <w:t>Business Strategy and the Environment</w:t>
      </w:r>
      <w:r w:rsidRPr="00B92144">
        <w:rPr>
          <w:rFonts w:asciiTheme="majorBidi" w:hAnsiTheme="majorBidi" w:cstheme="majorBidi"/>
        </w:rPr>
        <w:t xml:space="preserve">, </w:t>
      </w:r>
      <w:r w:rsidRPr="00B92144">
        <w:rPr>
          <w:rFonts w:asciiTheme="majorBidi" w:hAnsiTheme="majorBidi" w:cstheme="majorBidi"/>
          <w:i/>
          <w:iCs/>
        </w:rPr>
        <w:t>17</w:t>
      </w:r>
      <w:r w:rsidRPr="00B92144">
        <w:rPr>
          <w:rFonts w:asciiTheme="majorBidi" w:hAnsiTheme="majorBidi" w:cstheme="majorBidi"/>
        </w:rPr>
        <w:t xml:space="preserve">(2), 120‑136. </w:t>
      </w:r>
    </w:p>
    <w:p w14:paraId="6FBB39B1"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lang w:val="fr-FR"/>
        </w:rPr>
        <w:t xml:space="preserve">Branco, M. C., &amp; Rodrigues, L. L. (2006). </w:t>
      </w:r>
      <w:r w:rsidRPr="00B92144">
        <w:rPr>
          <w:rFonts w:asciiTheme="majorBidi" w:hAnsiTheme="majorBidi" w:cstheme="majorBidi"/>
        </w:rPr>
        <w:t xml:space="preserve">Corporate Social Responsibility and Resource-Based Perspectives. </w:t>
      </w:r>
      <w:r w:rsidRPr="00B92144">
        <w:rPr>
          <w:rFonts w:asciiTheme="majorBidi" w:hAnsiTheme="majorBidi" w:cstheme="majorBidi"/>
          <w:i/>
          <w:iCs/>
        </w:rPr>
        <w:t>Journal of Business Ethics</w:t>
      </w:r>
      <w:r w:rsidRPr="00B92144">
        <w:rPr>
          <w:rFonts w:asciiTheme="majorBidi" w:hAnsiTheme="majorBidi" w:cstheme="majorBidi"/>
        </w:rPr>
        <w:t xml:space="preserve">, </w:t>
      </w:r>
      <w:r w:rsidRPr="00B92144">
        <w:rPr>
          <w:rFonts w:asciiTheme="majorBidi" w:hAnsiTheme="majorBidi" w:cstheme="majorBidi"/>
          <w:i/>
          <w:iCs/>
        </w:rPr>
        <w:t>69</w:t>
      </w:r>
      <w:r w:rsidRPr="00B92144">
        <w:rPr>
          <w:rFonts w:asciiTheme="majorBidi" w:hAnsiTheme="majorBidi" w:cstheme="majorBidi"/>
        </w:rPr>
        <w:t xml:space="preserve">(2), 111‑132. </w:t>
      </w:r>
    </w:p>
    <w:p w14:paraId="7CA13D4C"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lang w:val="fr-FR"/>
        </w:rPr>
        <w:t xml:space="preserve">Breusch, T. S., &amp; Pagan, A. R. (1980). </w:t>
      </w:r>
      <w:r w:rsidRPr="00B92144">
        <w:rPr>
          <w:rFonts w:asciiTheme="majorBidi" w:hAnsiTheme="majorBidi" w:cstheme="majorBidi"/>
        </w:rPr>
        <w:t xml:space="preserve">The Lagrange Multiplier Test and its Applications to Model Specification in Econometrics. </w:t>
      </w:r>
      <w:r w:rsidRPr="00B92144">
        <w:rPr>
          <w:rFonts w:asciiTheme="majorBidi" w:hAnsiTheme="majorBidi" w:cstheme="majorBidi"/>
          <w:i/>
          <w:iCs/>
        </w:rPr>
        <w:t>The Review of Economic Studies</w:t>
      </w:r>
      <w:r w:rsidRPr="00B92144">
        <w:rPr>
          <w:rFonts w:asciiTheme="majorBidi" w:hAnsiTheme="majorBidi" w:cstheme="majorBidi"/>
        </w:rPr>
        <w:t xml:space="preserve">, </w:t>
      </w:r>
      <w:r w:rsidRPr="00B92144">
        <w:rPr>
          <w:rFonts w:asciiTheme="majorBidi" w:hAnsiTheme="majorBidi" w:cstheme="majorBidi"/>
          <w:i/>
          <w:iCs/>
        </w:rPr>
        <w:t>47</w:t>
      </w:r>
      <w:r w:rsidRPr="00B92144">
        <w:rPr>
          <w:rFonts w:asciiTheme="majorBidi" w:hAnsiTheme="majorBidi" w:cstheme="majorBidi"/>
        </w:rPr>
        <w:t xml:space="preserve">(1), 239‑253. </w:t>
      </w:r>
    </w:p>
    <w:p w14:paraId="50B99281"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Brown, S. V., &amp; Tucker, J. W. (2011). Large-Sample Evidence on Firms’ Year-over-Year MD&amp;A Modifications. </w:t>
      </w:r>
      <w:r w:rsidRPr="00B92144">
        <w:rPr>
          <w:rFonts w:asciiTheme="majorBidi" w:hAnsiTheme="majorBidi" w:cstheme="majorBidi"/>
          <w:i/>
          <w:iCs/>
        </w:rPr>
        <w:t>Journal of Accounting Research</w:t>
      </w:r>
      <w:r w:rsidRPr="00B92144">
        <w:rPr>
          <w:rFonts w:asciiTheme="majorBidi" w:hAnsiTheme="majorBidi" w:cstheme="majorBidi"/>
        </w:rPr>
        <w:t xml:space="preserve">, </w:t>
      </w:r>
      <w:r w:rsidRPr="00B92144">
        <w:rPr>
          <w:rFonts w:asciiTheme="majorBidi" w:hAnsiTheme="majorBidi" w:cstheme="majorBidi"/>
          <w:i/>
          <w:iCs/>
        </w:rPr>
        <w:t>49</w:t>
      </w:r>
      <w:r w:rsidRPr="00B92144">
        <w:rPr>
          <w:rFonts w:asciiTheme="majorBidi" w:hAnsiTheme="majorBidi" w:cstheme="majorBidi"/>
        </w:rPr>
        <w:t xml:space="preserve">(2), 309‑346. </w:t>
      </w:r>
    </w:p>
    <w:p w14:paraId="2B9B4963" w14:textId="02908580" w:rsidR="00A41551" w:rsidRPr="00B92144" w:rsidRDefault="00A41551" w:rsidP="00DC3ED1">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Brickley, J.A. &amp; J.L. Zimmerman (2010). Corporate governance myths: Comments on Armstrong, Guay, and Weber. </w:t>
      </w:r>
      <w:r w:rsidRPr="00B92144">
        <w:rPr>
          <w:rFonts w:asciiTheme="majorBidi" w:hAnsiTheme="majorBidi" w:cstheme="majorBidi"/>
          <w:i/>
          <w:iCs/>
        </w:rPr>
        <w:t>Journal of Accounting and Economics</w:t>
      </w:r>
      <w:r w:rsidRPr="00B92144">
        <w:rPr>
          <w:rFonts w:asciiTheme="majorBidi" w:hAnsiTheme="majorBidi" w:cstheme="majorBidi"/>
        </w:rPr>
        <w:t>, 50 (2–3), 235-245.</w:t>
      </w:r>
    </w:p>
    <w:p w14:paraId="7A364F7A" w14:textId="469A6180"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BSCB (2012) “Core principles for effective banking supervision”. </w:t>
      </w:r>
      <w:hyperlink r:id="rId18" w:history="1">
        <w:r w:rsidRPr="00B92144">
          <w:rPr>
            <w:rStyle w:val="Hyperlink"/>
            <w:rFonts w:asciiTheme="majorBidi" w:hAnsiTheme="majorBidi" w:cstheme="majorBidi"/>
          </w:rPr>
          <w:t>https://www.bis.org/publ/bcbs230.htm</w:t>
        </w:r>
      </w:hyperlink>
    </w:p>
    <w:p w14:paraId="1093FBC0"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Bushman, R. M. (2014). Thoughts on financial accounting and the banking industry. </w:t>
      </w:r>
      <w:r w:rsidRPr="00B92144">
        <w:rPr>
          <w:rFonts w:asciiTheme="majorBidi" w:hAnsiTheme="majorBidi" w:cstheme="majorBidi"/>
          <w:i/>
          <w:iCs/>
        </w:rPr>
        <w:t>Journal of Accounting and Economics</w:t>
      </w:r>
      <w:r w:rsidRPr="00B92144">
        <w:rPr>
          <w:rFonts w:asciiTheme="majorBidi" w:hAnsiTheme="majorBidi" w:cstheme="majorBidi"/>
        </w:rPr>
        <w:t xml:space="preserve">, </w:t>
      </w:r>
      <w:r w:rsidRPr="00B92144">
        <w:rPr>
          <w:rFonts w:asciiTheme="majorBidi" w:hAnsiTheme="majorBidi" w:cstheme="majorBidi"/>
          <w:i/>
          <w:iCs/>
        </w:rPr>
        <w:t>58</w:t>
      </w:r>
      <w:r w:rsidRPr="00B92144">
        <w:rPr>
          <w:rFonts w:asciiTheme="majorBidi" w:hAnsiTheme="majorBidi" w:cstheme="majorBidi"/>
        </w:rPr>
        <w:t xml:space="preserve">(2), 384‑395. </w:t>
      </w:r>
    </w:p>
    <w:p w14:paraId="182DB51E"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Cabedo, J. D., &amp; Tirado, J. M. (2004). The disclosure of risk in financial statements. </w:t>
      </w:r>
      <w:r w:rsidRPr="00B92144">
        <w:rPr>
          <w:rFonts w:asciiTheme="majorBidi" w:hAnsiTheme="majorBidi" w:cstheme="majorBidi"/>
          <w:i/>
          <w:iCs/>
        </w:rPr>
        <w:t>Accounting Forum</w:t>
      </w:r>
      <w:r w:rsidRPr="00B92144">
        <w:rPr>
          <w:rFonts w:asciiTheme="majorBidi" w:hAnsiTheme="majorBidi" w:cstheme="majorBidi"/>
        </w:rPr>
        <w:t xml:space="preserve">, </w:t>
      </w:r>
      <w:r w:rsidRPr="00B92144">
        <w:rPr>
          <w:rFonts w:asciiTheme="majorBidi" w:hAnsiTheme="majorBidi" w:cstheme="majorBidi"/>
          <w:i/>
          <w:iCs/>
        </w:rPr>
        <w:t>28</w:t>
      </w:r>
      <w:r w:rsidRPr="00B92144">
        <w:rPr>
          <w:rFonts w:asciiTheme="majorBidi" w:hAnsiTheme="majorBidi" w:cstheme="majorBidi"/>
        </w:rPr>
        <w:t xml:space="preserve">(2), 181‑200. </w:t>
      </w:r>
    </w:p>
    <w:p w14:paraId="2C89F480"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Carpenter, V. L., &amp; Feroz, E. H. (2001). Institutional theory and accounting rule choice: an analysis of four US state governments’ decisions to adopt generally accepted accounting principles. </w:t>
      </w:r>
      <w:r w:rsidRPr="00B92144">
        <w:rPr>
          <w:rFonts w:asciiTheme="majorBidi" w:hAnsiTheme="majorBidi" w:cstheme="majorBidi"/>
          <w:i/>
          <w:iCs/>
        </w:rPr>
        <w:t>Accounting, Organizations and Society</w:t>
      </w:r>
      <w:r w:rsidRPr="00B92144">
        <w:rPr>
          <w:rFonts w:asciiTheme="majorBidi" w:hAnsiTheme="majorBidi" w:cstheme="majorBidi"/>
        </w:rPr>
        <w:t xml:space="preserve">, </w:t>
      </w:r>
      <w:r w:rsidRPr="00B92144">
        <w:rPr>
          <w:rFonts w:asciiTheme="majorBidi" w:hAnsiTheme="majorBidi" w:cstheme="majorBidi"/>
          <w:i/>
          <w:iCs/>
        </w:rPr>
        <w:t>26</w:t>
      </w:r>
      <w:r w:rsidRPr="00B92144">
        <w:rPr>
          <w:rFonts w:asciiTheme="majorBidi" w:hAnsiTheme="majorBidi" w:cstheme="majorBidi"/>
        </w:rPr>
        <w:t xml:space="preserve">(7), 565‑596. </w:t>
      </w:r>
    </w:p>
    <w:p w14:paraId="4375999B"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Chatterjee, B., Tooley, S., Fatseas, V., &amp; Brown, A. (2012). An Analysis of the Qualitative Characteristics of Management Commentary Reporting by New Zealand Companies. </w:t>
      </w:r>
      <w:r w:rsidRPr="00B92144">
        <w:rPr>
          <w:rFonts w:asciiTheme="majorBidi" w:hAnsiTheme="majorBidi" w:cstheme="majorBidi"/>
          <w:i/>
          <w:iCs/>
        </w:rPr>
        <w:t>Australasian Accounting, Business and Finance Journal</w:t>
      </w:r>
      <w:r w:rsidRPr="00B92144">
        <w:rPr>
          <w:rFonts w:asciiTheme="majorBidi" w:hAnsiTheme="majorBidi" w:cstheme="majorBidi"/>
        </w:rPr>
        <w:t xml:space="preserve">, </w:t>
      </w:r>
      <w:r w:rsidRPr="00B92144">
        <w:rPr>
          <w:rFonts w:asciiTheme="majorBidi" w:hAnsiTheme="majorBidi" w:cstheme="majorBidi"/>
          <w:i/>
          <w:iCs/>
        </w:rPr>
        <w:t>5</w:t>
      </w:r>
      <w:r w:rsidRPr="00B92144">
        <w:rPr>
          <w:rFonts w:asciiTheme="majorBidi" w:hAnsiTheme="majorBidi" w:cstheme="majorBidi"/>
        </w:rPr>
        <w:t>(4), 43‑64.</w:t>
      </w:r>
    </w:p>
    <w:p w14:paraId="1192B79D"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Chen, J. C., &amp; Roberts, R. W. (2010). Toward a More Coherent Understanding of the Organization–Society Relationship: A Theoretical Consideration for Social and Environmental Accounting Research. </w:t>
      </w:r>
      <w:r w:rsidRPr="00B92144">
        <w:rPr>
          <w:rFonts w:asciiTheme="majorBidi" w:hAnsiTheme="majorBidi" w:cstheme="majorBidi"/>
          <w:i/>
          <w:iCs/>
        </w:rPr>
        <w:t>Journal of Business Ethics</w:t>
      </w:r>
      <w:r w:rsidRPr="00B92144">
        <w:rPr>
          <w:rFonts w:asciiTheme="majorBidi" w:hAnsiTheme="majorBidi" w:cstheme="majorBidi"/>
        </w:rPr>
        <w:t xml:space="preserve">, </w:t>
      </w:r>
      <w:r w:rsidRPr="00B92144">
        <w:rPr>
          <w:rFonts w:asciiTheme="majorBidi" w:hAnsiTheme="majorBidi" w:cstheme="majorBidi"/>
          <w:i/>
          <w:iCs/>
        </w:rPr>
        <w:t>97</w:t>
      </w:r>
      <w:r w:rsidRPr="00B92144">
        <w:rPr>
          <w:rFonts w:asciiTheme="majorBidi" w:hAnsiTheme="majorBidi" w:cstheme="majorBidi"/>
        </w:rPr>
        <w:t xml:space="preserve">(4), 651‑665. </w:t>
      </w:r>
    </w:p>
    <w:p w14:paraId="449AAF84"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Choe, H., et al. (2005). Do Domestic Investors Have an Edge? The Trading Experience of Foreign Investors in Korea. </w:t>
      </w:r>
      <w:r w:rsidRPr="00B92144">
        <w:rPr>
          <w:rFonts w:asciiTheme="majorBidi" w:hAnsiTheme="majorBidi" w:cstheme="majorBidi"/>
          <w:i/>
          <w:iCs/>
        </w:rPr>
        <w:t>The Review of Financial Studies</w:t>
      </w:r>
      <w:r w:rsidRPr="00B92144">
        <w:rPr>
          <w:rFonts w:asciiTheme="majorBidi" w:hAnsiTheme="majorBidi" w:cstheme="majorBidi"/>
        </w:rPr>
        <w:t xml:space="preserve">, </w:t>
      </w:r>
      <w:r w:rsidRPr="00B92144">
        <w:rPr>
          <w:rFonts w:asciiTheme="majorBidi" w:hAnsiTheme="majorBidi" w:cstheme="majorBidi"/>
          <w:i/>
          <w:iCs/>
        </w:rPr>
        <w:t>18</w:t>
      </w:r>
      <w:r w:rsidRPr="00B92144">
        <w:rPr>
          <w:rFonts w:asciiTheme="majorBidi" w:hAnsiTheme="majorBidi" w:cstheme="majorBidi"/>
        </w:rPr>
        <w:t>(3), 795‑829.</w:t>
      </w:r>
    </w:p>
    <w:p w14:paraId="7D4C3E9B"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Choi, J. J., et al. (2013). Foreign Ownership and Information Asymmetry. </w:t>
      </w:r>
      <w:r w:rsidRPr="00B92144">
        <w:rPr>
          <w:rFonts w:asciiTheme="majorBidi" w:hAnsiTheme="majorBidi" w:cstheme="majorBidi"/>
          <w:i/>
          <w:iCs/>
        </w:rPr>
        <w:t>Asia-Pacific Journal of Financial Studies</w:t>
      </w:r>
      <w:r w:rsidRPr="00B92144">
        <w:rPr>
          <w:rFonts w:asciiTheme="majorBidi" w:hAnsiTheme="majorBidi" w:cstheme="majorBidi"/>
        </w:rPr>
        <w:t xml:space="preserve">, </w:t>
      </w:r>
      <w:r w:rsidRPr="00B92144">
        <w:rPr>
          <w:rFonts w:asciiTheme="majorBidi" w:hAnsiTheme="majorBidi" w:cstheme="majorBidi"/>
          <w:i/>
          <w:iCs/>
        </w:rPr>
        <w:t>42</w:t>
      </w:r>
      <w:r w:rsidRPr="00B92144">
        <w:rPr>
          <w:rFonts w:asciiTheme="majorBidi" w:hAnsiTheme="majorBidi" w:cstheme="majorBidi"/>
        </w:rPr>
        <w:t xml:space="preserve">(2), 141‑166. </w:t>
      </w:r>
    </w:p>
    <w:p w14:paraId="710AB079"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Cooke, T. E. (1989). Voluntary Corporate Disclosure by Swedish Companies. </w:t>
      </w:r>
      <w:r w:rsidRPr="00B92144">
        <w:rPr>
          <w:rFonts w:asciiTheme="majorBidi" w:hAnsiTheme="majorBidi" w:cstheme="majorBidi"/>
          <w:i/>
          <w:iCs/>
        </w:rPr>
        <w:t>Journal of International Financial Management &amp; Accounting</w:t>
      </w:r>
      <w:r w:rsidRPr="00B92144">
        <w:rPr>
          <w:rFonts w:asciiTheme="majorBidi" w:hAnsiTheme="majorBidi" w:cstheme="majorBidi"/>
        </w:rPr>
        <w:t xml:space="preserve">, </w:t>
      </w:r>
      <w:r w:rsidRPr="00B92144">
        <w:rPr>
          <w:rFonts w:asciiTheme="majorBidi" w:hAnsiTheme="majorBidi" w:cstheme="majorBidi"/>
          <w:i/>
          <w:iCs/>
        </w:rPr>
        <w:t>1</w:t>
      </w:r>
      <w:r w:rsidRPr="00B92144">
        <w:rPr>
          <w:rFonts w:asciiTheme="majorBidi" w:hAnsiTheme="majorBidi" w:cstheme="majorBidi"/>
        </w:rPr>
        <w:t xml:space="preserve">(2), 171‑195. </w:t>
      </w:r>
    </w:p>
    <w:p w14:paraId="42210F03" w14:textId="77777777" w:rsidR="00291449" w:rsidRPr="00B92144" w:rsidRDefault="00291449" w:rsidP="00291449">
      <w:pPr>
        <w:widowControl w:val="0"/>
        <w:autoSpaceDE w:val="0"/>
        <w:autoSpaceDN w:val="0"/>
        <w:adjustRightInd w:val="0"/>
        <w:spacing w:after="0"/>
        <w:jc w:val="both"/>
        <w:rPr>
          <w:rFonts w:asciiTheme="majorBidi" w:hAnsiTheme="majorBidi" w:cstheme="majorBidi"/>
          <w:lang w:val="fr-FR"/>
        </w:rPr>
      </w:pPr>
      <w:r w:rsidRPr="00B92144">
        <w:rPr>
          <w:rFonts w:asciiTheme="majorBidi" w:hAnsiTheme="majorBidi" w:cstheme="majorBidi"/>
        </w:rPr>
        <w:t xml:space="preserve">Craig, R., Lima Rodrigues, L., &amp; Oliveira, J. (2011a). Risk‐related disclosures by non‐finance companies: Portuguese practices and disclosure characteristics. </w:t>
      </w:r>
      <w:r w:rsidRPr="00B92144">
        <w:rPr>
          <w:rFonts w:asciiTheme="majorBidi" w:hAnsiTheme="majorBidi" w:cstheme="majorBidi"/>
          <w:i/>
          <w:iCs/>
          <w:lang w:val="fr-FR"/>
        </w:rPr>
        <w:t>Managerial Auditing Journal</w:t>
      </w:r>
      <w:r w:rsidRPr="00B92144">
        <w:rPr>
          <w:rFonts w:asciiTheme="majorBidi" w:hAnsiTheme="majorBidi" w:cstheme="majorBidi"/>
          <w:lang w:val="fr-FR"/>
        </w:rPr>
        <w:t xml:space="preserve">, </w:t>
      </w:r>
      <w:r w:rsidRPr="00B92144">
        <w:rPr>
          <w:rFonts w:asciiTheme="majorBidi" w:hAnsiTheme="majorBidi" w:cstheme="majorBidi"/>
          <w:i/>
          <w:iCs/>
          <w:lang w:val="fr-FR"/>
        </w:rPr>
        <w:t>26</w:t>
      </w:r>
      <w:r w:rsidRPr="00B92144">
        <w:rPr>
          <w:rFonts w:asciiTheme="majorBidi" w:hAnsiTheme="majorBidi" w:cstheme="majorBidi"/>
          <w:lang w:val="fr-FR"/>
        </w:rPr>
        <w:t xml:space="preserve">(9), 817‑839. </w:t>
      </w:r>
    </w:p>
    <w:p w14:paraId="0949C614"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lang w:val="fr-FR"/>
        </w:rPr>
        <w:t xml:space="preserve">De la luz Fernández‐Alles, M., &amp; Valle‐Cabrera, R. (2006). </w:t>
      </w:r>
      <w:r w:rsidRPr="00B92144">
        <w:rPr>
          <w:rFonts w:asciiTheme="majorBidi" w:hAnsiTheme="majorBidi" w:cstheme="majorBidi"/>
        </w:rPr>
        <w:t xml:space="preserve">Reconciling institutional theory with </w:t>
      </w:r>
      <w:r w:rsidRPr="00B92144">
        <w:rPr>
          <w:rFonts w:asciiTheme="majorBidi" w:hAnsiTheme="majorBidi" w:cstheme="majorBidi"/>
        </w:rPr>
        <w:lastRenderedPageBreak/>
        <w:t xml:space="preserve">organizational theories: How neoinstitutionalism resolves five paradoxes. </w:t>
      </w:r>
      <w:r w:rsidRPr="00B92144">
        <w:rPr>
          <w:rFonts w:asciiTheme="majorBidi" w:hAnsiTheme="majorBidi" w:cstheme="majorBidi"/>
          <w:i/>
          <w:iCs/>
        </w:rPr>
        <w:t>Journal of Organizational Change Management</w:t>
      </w:r>
      <w:r w:rsidRPr="00B92144">
        <w:rPr>
          <w:rFonts w:asciiTheme="majorBidi" w:hAnsiTheme="majorBidi" w:cstheme="majorBidi"/>
        </w:rPr>
        <w:t xml:space="preserve">, </w:t>
      </w:r>
      <w:r w:rsidRPr="00B92144">
        <w:rPr>
          <w:rFonts w:asciiTheme="majorBidi" w:hAnsiTheme="majorBidi" w:cstheme="majorBidi"/>
          <w:i/>
          <w:iCs/>
        </w:rPr>
        <w:t>19</w:t>
      </w:r>
      <w:r w:rsidRPr="00B92144">
        <w:rPr>
          <w:rFonts w:asciiTheme="majorBidi" w:hAnsiTheme="majorBidi" w:cstheme="majorBidi"/>
        </w:rPr>
        <w:t xml:space="preserve">(4), 503‑517. </w:t>
      </w:r>
    </w:p>
    <w:p w14:paraId="6E409487"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Deegan, C. (2002). Introduction: The legitimising effect of social and environmental disclosures – a theoretical foundation. </w:t>
      </w:r>
      <w:r w:rsidRPr="00B92144">
        <w:rPr>
          <w:rFonts w:asciiTheme="majorBidi" w:hAnsiTheme="majorBidi" w:cstheme="majorBidi"/>
          <w:i/>
          <w:iCs/>
        </w:rPr>
        <w:t>Accounting, Auditing &amp; Accountability Journal</w:t>
      </w:r>
      <w:r w:rsidRPr="00B92144">
        <w:rPr>
          <w:rFonts w:asciiTheme="majorBidi" w:hAnsiTheme="majorBidi" w:cstheme="majorBidi"/>
        </w:rPr>
        <w:t xml:space="preserve">, </w:t>
      </w:r>
      <w:r w:rsidRPr="00B92144">
        <w:rPr>
          <w:rFonts w:asciiTheme="majorBidi" w:hAnsiTheme="majorBidi" w:cstheme="majorBidi"/>
          <w:i/>
          <w:iCs/>
        </w:rPr>
        <w:t>15</w:t>
      </w:r>
      <w:r w:rsidRPr="00B92144">
        <w:rPr>
          <w:rFonts w:asciiTheme="majorBidi" w:hAnsiTheme="majorBidi" w:cstheme="majorBidi"/>
        </w:rPr>
        <w:t xml:space="preserve">(3), 282‑311. </w:t>
      </w:r>
    </w:p>
    <w:p w14:paraId="3E8EDFC7"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Deegan, C., &amp; Gordon, B. (1996). A Study of the Environmental Disclosure Practices of Australian Corporations. </w:t>
      </w:r>
      <w:r w:rsidRPr="00B92144">
        <w:rPr>
          <w:rFonts w:asciiTheme="majorBidi" w:hAnsiTheme="majorBidi" w:cstheme="majorBidi"/>
          <w:i/>
          <w:iCs/>
        </w:rPr>
        <w:t>Accounting and Business Research</w:t>
      </w:r>
      <w:r w:rsidRPr="00B92144">
        <w:rPr>
          <w:rFonts w:asciiTheme="majorBidi" w:hAnsiTheme="majorBidi" w:cstheme="majorBidi"/>
        </w:rPr>
        <w:t xml:space="preserve">, </w:t>
      </w:r>
      <w:r w:rsidRPr="00B92144">
        <w:rPr>
          <w:rFonts w:asciiTheme="majorBidi" w:hAnsiTheme="majorBidi" w:cstheme="majorBidi"/>
          <w:i/>
          <w:iCs/>
        </w:rPr>
        <w:t>26</w:t>
      </w:r>
      <w:r w:rsidRPr="00B92144">
        <w:rPr>
          <w:rFonts w:asciiTheme="majorBidi" w:hAnsiTheme="majorBidi" w:cstheme="majorBidi"/>
        </w:rPr>
        <w:t xml:space="preserve">(3), 187‑199. </w:t>
      </w:r>
    </w:p>
    <w:p w14:paraId="0A2B9BF4"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Demir, V., &amp; Bahadir, O. (2014). An Investigation of Compliance with International Financial Reporting Standards by Listed Companies in Turkey. </w:t>
      </w:r>
      <w:r w:rsidRPr="00B92144">
        <w:rPr>
          <w:rFonts w:asciiTheme="majorBidi" w:hAnsiTheme="majorBidi" w:cstheme="majorBidi"/>
          <w:i/>
          <w:iCs/>
        </w:rPr>
        <w:t>Journal of Accounting and Management Information Systems</w:t>
      </w:r>
      <w:r w:rsidRPr="00B92144">
        <w:rPr>
          <w:rFonts w:asciiTheme="majorBidi" w:hAnsiTheme="majorBidi" w:cstheme="majorBidi"/>
        </w:rPr>
        <w:t xml:space="preserve">, </w:t>
      </w:r>
      <w:r w:rsidRPr="00B92144">
        <w:rPr>
          <w:rFonts w:asciiTheme="majorBidi" w:hAnsiTheme="majorBidi" w:cstheme="majorBidi"/>
          <w:i/>
          <w:iCs/>
        </w:rPr>
        <w:t>13</w:t>
      </w:r>
      <w:r w:rsidRPr="00B92144">
        <w:rPr>
          <w:rFonts w:asciiTheme="majorBidi" w:hAnsiTheme="majorBidi" w:cstheme="majorBidi"/>
        </w:rPr>
        <w:t>(1), 4‑34.</w:t>
      </w:r>
    </w:p>
    <w:p w14:paraId="460A9E21"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lang w:val="fr-FR"/>
        </w:rPr>
        <w:t xml:space="preserve">Deumes, R., &amp; Knechel, W. R. (2008). </w:t>
      </w:r>
      <w:r w:rsidRPr="00B92144">
        <w:rPr>
          <w:rFonts w:asciiTheme="majorBidi" w:hAnsiTheme="majorBidi" w:cstheme="majorBidi"/>
        </w:rPr>
        <w:t xml:space="preserve">Economic Incentives for Voluntary Reporting on Internal Risk Management and Control Systems. </w:t>
      </w:r>
      <w:r w:rsidRPr="00B92144">
        <w:rPr>
          <w:rFonts w:asciiTheme="majorBidi" w:hAnsiTheme="majorBidi" w:cstheme="majorBidi"/>
          <w:i/>
          <w:iCs/>
        </w:rPr>
        <w:t>AUDITING: A Journal of Practice &amp; Theory</w:t>
      </w:r>
      <w:r w:rsidRPr="00B92144">
        <w:rPr>
          <w:rFonts w:asciiTheme="majorBidi" w:hAnsiTheme="majorBidi" w:cstheme="majorBidi"/>
        </w:rPr>
        <w:t xml:space="preserve">, </w:t>
      </w:r>
      <w:r w:rsidRPr="00B92144">
        <w:rPr>
          <w:rFonts w:asciiTheme="majorBidi" w:hAnsiTheme="majorBidi" w:cstheme="majorBidi"/>
          <w:i/>
          <w:iCs/>
        </w:rPr>
        <w:t>27</w:t>
      </w:r>
      <w:r w:rsidRPr="00B92144">
        <w:rPr>
          <w:rFonts w:asciiTheme="majorBidi" w:hAnsiTheme="majorBidi" w:cstheme="majorBidi"/>
        </w:rPr>
        <w:t xml:space="preserve">(1), 35‑66. </w:t>
      </w:r>
    </w:p>
    <w:p w14:paraId="20614490"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lang w:val="fr-FR"/>
        </w:rPr>
        <w:t xml:space="preserve">Dobler, M., Lajili, K., &amp; Zéghal, D. (2011). </w:t>
      </w:r>
      <w:r w:rsidRPr="00B92144">
        <w:rPr>
          <w:rFonts w:asciiTheme="majorBidi" w:hAnsiTheme="majorBidi" w:cstheme="majorBidi"/>
        </w:rPr>
        <w:t xml:space="preserve">Attributes of Corporate Risk Disclosure: An International Investigation in the Manufacturing Sector. </w:t>
      </w:r>
      <w:r w:rsidRPr="00B92144">
        <w:rPr>
          <w:rFonts w:asciiTheme="majorBidi" w:hAnsiTheme="majorBidi" w:cstheme="majorBidi"/>
          <w:i/>
          <w:iCs/>
        </w:rPr>
        <w:t>Journal of International Accounting Research</w:t>
      </w:r>
      <w:r w:rsidRPr="00B92144">
        <w:rPr>
          <w:rFonts w:asciiTheme="majorBidi" w:hAnsiTheme="majorBidi" w:cstheme="majorBidi"/>
        </w:rPr>
        <w:t xml:space="preserve">, </w:t>
      </w:r>
      <w:r w:rsidRPr="00B92144">
        <w:rPr>
          <w:rFonts w:asciiTheme="majorBidi" w:hAnsiTheme="majorBidi" w:cstheme="majorBidi"/>
          <w:i/>
          <w:iCs/>
        </w:rPr>
        <w:t>10</w:t>
      </w:r>
      <w:r w:rsidRPr="00B92144">
        <w:rPr>
          <w:rFonts w:asciiTheme="majorBidi" w:hAnsiTheme="majorBidi" w:cstheme="majorBidi"/>
        </w:rPr>
        <w:t xml:space="preserve">(2), 1‑22. </w:t>
      </w:r>
    </w:p>
    <w:p w14:paraId="4E90035B"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Dowling, J., &amp; Pfeffer, J. (1975). Organizational Legitimacy: Social Values and Organizational Behavior. </w:t>
      </w:r>
      <w:r w:rsidRPr="00B92144">
        <w:rPr>
          <w:rFonts w:asciiTheme="majorBidi" w:hAnsiTheme="majorBidi" w:cstheme="majorBidi"/>
          <w:i/>
          <w:iCs/>
        </w:rPr>
        <w:t>The Pacific Sociological Review</w:t>
      </w:r>
      <w:r w:rsidRPr="00B92144">
        <w:rPr>
          <w:rFonts w:asciiTheme="majorBidi" w:hAnsiTheme="majorBidi" w:cstheme="majorBidi"/>
        </w:rPr>
        <w:t xml:space="preserve">, </w:t>
      </w:r>
      <w:r w:rsidRPr="00B92144">
        <w:rPr>
          <w:rFonts w:asciiTheme="majorBidi" w:hAnsiTheme="majorBidi" w:cstheme="majorBidi"/>
          <w:i/>
          <w:iCs/>
        </w:rPr>
        <w:t>18</w:t>
      </w:r>
      <w:r w:rsidRPr="00B92144">
        <w:rPr>
          <w:rFonts w:asciiTheme="majorBidi" w:hAnsiTheme="majorBidi" w:cstheme="majorBidi"/>
        </w:rPr>
        <w:t xml:space="preserve">(1), 122‑136. </w:t>
      </w:r>
    </w:p>
    <w:p w14:paraId="05DD98FF"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Ebrahim, A., &amp; Fattah, T. A. (2015). Corporate governance and initial compliance with IFRS in emerging markets: The case of income tax accounting in Egypt. </w:t>
      </w:r>
      <w:r w:rsidRPr="00B92144">
        <w:rPr>
          <w:rFonts w:asciiTheme="majorBidi" w:hAnsiTheme="majorBidi" w:cstheme="majorBidi"/>
          <w:i/>
          <w:iCs/>
        </w:rPr>
        <w:t>Journal of International Accounting, Auditing and Taxation</w:t>
      </w:r>
      <w:r w:rsidRPr="00B92144">
        <w:rPr>
          <w:rFonts w:asciiTheme="majorBidi" w:hAnsiTheme="majorBidi" w:cstheme="majorBidi"/>
        </w:rPr>
        <w:t xml:space="preserve">, </w:t>
      </w:r>
      <w:r w:rsidRPr="00B92144">
        <w:rPr>
          <w:rFonts w:asciiTheme="majorBidi" w:hAnsiTheme="majorBidi" w:cstheme="majorBidi"/>
          <w:i/>
          <w:iCs/>
        </w:rPr>
        <w:t>24</w:t>
      </w:r>
      <w:r w:rsidRPr="00B92144">
        <w:rPr>
          <w:rFonts w:asciiTheme="majorBidi" w:hAnsiTheme="majorBidi" w:cstheme="majorBidi"/>
        </w:rPr>
        <w:t>(C), 46‑60.</w:t>
      </w:r>
    </w:p>
    <w:p w14:paraId="2143276F" w14:textId="77777777" w:rsidR="00291449" w:rsidRPr="00B92144" w:rsidRDefault="00291449" w:rsidP="00291449">
      <w:pPr>
        <w:autoSpaceDE w:val="0"/>
        <w:autoSpaceDN w:val="0"/>
        <w:adjustRightInd w:val="0"/>
        <w:spacing w:after="0" w:line="240" w:lineRule="auto"/>
        <w:ind w:left="720" w:hanging="720"/>
        <w:jc w:val="both"/>
        <w:rPr>
          <w:rFonts w:asciiTheme="majorBidi" w:hAnsiTheme="majorBidi" w:cstheme="majorBidi"/>
          <w:color w:val="333333"/>
          <w:shd w:val="clear" w:color="auto" w:fill="F5F5F5"/>
        </w:rPr>
      </w:pPr>
      <w:r w:rsidRPr="00B92144">
        <w:rPr>
          <w:rStyle w:val="personname"/>
          <w:rFonts w:asciiTheme="majorBidi" w:hAnsiTheme="majorBidi" w:cstheme="majorBidi"/>
        </w:rPr>
        <w:t>Edkins, A.</w:t>
      </w:r>
      <w:r w:rsidRPr="00B92144">
        <w:rPr>
          <w:rFonts w:asciiTheme="majorBidi" w:hAnsiTheme="majorBidi" w:cstheme="majorBidi"/>
        </w:rPr>
        <w:t> (2009) </w:t>
      </w:r>
      <w:r w:rsidRPr="00B92144">
        <w:rPr>
          <w:rStyle w:val="Emphasis"/>
          <w:rFonts w:asciiTheme="majorBidi" w:hAnsiTheme="majorBidi" w:cstheme="majorBidi"/>
        </w:rPr>
        <w:t>Risk Disclosure and Re-establishing Legitimacy in the Event of a Crisis - Did Northern Rock Use Risk Disclosure to Repair Legitimacy after their 2007 Collapse?</w:t>
      </w:r>
      <w:r w:rsidRPr="00B92144">
        <w:rPr>
          <w:rFonts w:asciiTheme="majorBidi" w:hAnsiTheme="majorBidi" w:cstheme="majorBidi"/>
        </w:rPr>
        <w:t> Working Paper. Department of Management Studies, University of York</w:t>
      </w:r>
      <w:r w:rsidRPr="00B92144">
        <w:rPr>
          <w:rFonts w:asciiTheme="majorBidi" w:hAnsiTheme="majorBidi" w:cstheme="majorBidi"/>
          <w:lang w:val="fr-FR"/>
        </w:rPr>
        <w:t xml:space="preserve">. </w:t>
      </w:r>
      <w:hyperlink r:id="rId19" w:history="1">
        <w:r w:rsidRPr="00B92144">
          <w:rPr>
            <w:rStyle w:val="Hyperlink"/>
            <w:rFonts w:asciiTheme="majorBidi" w:hAnsiTheme="majorBidi" w:cstheme="majorBidi"/>
          </w:rPr>
          <w:t>http://eprints.whiterose.ac.uk/11231/</w:t>
        </w:r>
      </w:hyperlink>
    </w:p>
    <w:p w14:paraId="284C9B07"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Edmans, A. (2014). Blockholders and Corporate Governance. </w:t>
      </w:r>
      <w:r w:rsidRPr="00B92144">
        <w:rPr>
          <w:rFonts w:asciiTheme="majorBidi" w:hAnsiTheme="majorBidi" w:cstheme="majorBidi"/>
          <w:i/>
          <w:iCs/>
        </w:rPr>
        <w:t>Annual Review of Financial Economics</w:t>
      </w:r>
      <w:r w:rsidRPr="00B92144">
        <w:rPr>
          <w:rFonts w:asciiTheme="majorBidi" w:hAnsiTheme="majorBidi" w:cstheme="majorBidi"/>
        </w:rPr>
        <w:t xml:space="preserve">, </w:t>
      </w:r>
      <w:r w:rsidRPr="00B92144">
        <w:rPr>
          <w:rFonts w:asciiTheme="majorBidi" w:hAnsiTheme="majorBidi" w:cstheme="majorBidi"/>
          <w:i/>
          <w:iCs/>
        </w:rPr>
        <w:t>6</w:t>
      </w:r>
      <w:r w:rsidRPr="00B92144">
        <w:rPr>
          <w:rFonts w:asciiTheme="majorBidi" w:hAnsiTheme="majorBidi" w:cstheme="majorBidi"/>
        </w:rPr>
        <w:t xml:space="preserve">(1), 23‑50. </w:t>
      </w:r>
    </w:p>
    <w:p w14:paraId="1DE41CE2"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Eesley, C., &amp; Lenox, M. J. (2006). Firm responses to secondary stakeholder action. </w:t>
      </w:r>
      <w:r w:rsidRPr="00B92144">
        <w:rPr>
          <w:rFonts w:asciiTheme="majorBidi" w:hAnsiTheme="majorBidi" w:cstheme="majorBidi"/>
          <w:i/>
          <w:iCs/>
        </w:rPr>
        <w:t>Strategic Management Journal</w:t>
      </w:r>
      <w:r w:rsidRPr="00B92144">
        <w:rPr>
          <w:rFonts w:asciiTheme="majorBidi" w:hAnsiTheme="majorBidi" w:cstheme="majorBidi"/>
        </w:rPr>
        <w:t xml:space="preserve">, </w:t>
      </w:r>
      <w:r w:rsidRPr="00B92144">
        <w:rPr>
          <w:rFonts w:asciiTheme="majorBidi" w:hAnsiTheme="majorBidi" w:cstheme="majorBidi"/>
          <w:i/>
          <w:iCs/>
        </w:rPr>
        <w:t>27</w:t>
      </w:r>
      <w:r w:rsidRPr="00B92144">
        <w:rPr>
          <w:rFonts w:asciiTheme="majorBidi" w:hAnsiTheme="majorBidi" w:cstheme="majorBidi"/>
        </w:rPr>
        <w:t xml:space="preserve">(8), 765‑781. </w:t>
      </w:r>
    </w:p>
    <w:p w14:paraId="5334CC90"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Elshandidy, T., Fraser, I., &amp; Hussainey, K. (2013). Aggregated, voluntary, and mandatory risk disclosure incentives: Evidence from UK FTSE all-share companies. </w:t>
      </w:r>
      <w:r w:rsidRPr="00B92144">
        <w:rPr>
          <w:rFonts w:asciiTheme="majorBidi" w:hAnsiTheme="majorBidi" w:cstheme="majorBidi"/>
          <w:i/>
          <w:iCs/>
        </w:rPr>
        <w:t>International Review of Financial Analysis</w:t>
      </w:r>
      <w:r w:rsidRPr="00B92144">
        <w:rPr>
          <w:rFonts w:asciiTheme="majorBidi" w:hAnsiTheme="majorBidi" w:cstheme="majorBidi"/>
        </w:rPr>
        <w:t xml:space="preserve">, </w:t>
      </w:r>
      <w:r w:rsidRPr="00B92144">
        <w:rPr>
          <w:rFonts w:asciiTheme="majorBidi" w:hAnsiTheme="majorBidi" w:cstheme="majorBidi"/>
          <w:i/>
          <w:iCs/>
        </w:rPr>
        <w:t>30</w:t>
      </w:r>
      <w:r w:rsidRPr="00B92144">
        <w:rPr>
          <w:rFonts w:asciiTheme="majorBidi" w:hAnsiTheme="majorBidi" w:cstheme="majorBidi"/>
        </w:rPr>
        <w:t xml:space="preserve">, 320‑333. </w:t>
      </w:r>
    </w:p>
    <w:p w14:paraId="2B988E93"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Elshandidy, T., Shrives, P. J., Bamber, M., &amp; Abraham, S. (2018). Risk reporting: A review of the literature and implications for future research. </w:t>
      </w:r>
      <w:r w:rsidRPr="00B92144">
        <w:rPr>
          <w:rFonts w:asciiTheme="majorBidi" w:hAnsiTheme="majorBidi" w:cstheme="majorBidi"/>
          <w:i/>
          <w:iCs/>
        </w:rPr>
        <w:t>Journal of Accounting Literature</w:t>
      </w:r>
      <w:r w:rsidRPr="00B92144">
        <w:rPr>
          <w:rFonts w:asciiTheme="majorBidi" w:hAnsiTheme="majorBidi" w:cstheme="majorBidi"/>
        </w:rPr>
        <w:t xml:space="preserve">, </w:t>
      </w:r>
      <w:r w:rsidRPr="00B92144">
        <w:rPr>
          <w:rFonts w:asciiTheme="majorBidi" w:hAnsiTheme="majorBidi" w:cstheme="majorBidi"/>
          <w:i/>
          <w:iCs/>
        </w:rPr>
        <w:t>40</w:t>
      </w:r>
      <w:r w:rsidRPr="00B92144">
        <w:rPr>
          <w:rFonts w:asciiTheme="majorBidi" w:hAnsiTheme="majorBidi" w:cstheme="majorBidi"/>
        </w:rPr>
        <w:t xml:space="preserve">, 54‑82. </w:t>
      </w:r>
    </w:p>
    <w:p w14:paraId="16A26436"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color w:val="545454"/>
          <w:shd w:val="clear" w:color="auto" w:fill="FFFFFF"/>
        </w:rPr>
      </w:pPr>
      <w:r w:rsidRPr="00B92144">
        <w:rPr>
          <w:rFonts w:asciiTheme="majorBidi" w:hAnsiTheme="majorBidi" w:cstheme="majorBidi"/>
        </w:rPr>
        <w:t>Ernest &amp; Young (2008) “Strategic Business Risk: Insurance</w:t>
      </w:r>
      <w:r w:rsidRPr="00B92144">
        <w:rPr>
          <w:rFonts w:asciiTheme="majorBidi" w:hAnsiTheme="majorBidi" w:cstheme="majorBidi"/>
          <w:color w:val="545454"/>
          <w:sz w:val="24"/>
          <w:szCs w:val="24"/>
          <w:shd w:val="clear" w:color="auto" w:fill="FFFFFF"/>
        </w:rPr>
        <w:t xml:space="preserve">”. </w:t>
      </w:r>
      <w:hyperlink r:id="rId20" w:history="1">
        <w:r w:rsidRPr="00B92144">
          <w:rPr>
            <w:rStyle w:val="Hyperlink"/>
            <w:rFonts w:asciiTheme="majorBidi" w:hAnsiTheme="majorBidi" w:cstheme="majorBidi"/>
            <w:shd w:val="clear" w:color="auto" w:fill="FFFFFF"/>
          </w:rPr>
          <w:t>http://www.aaiard.com/11_2008/2008_Strategic_Business_Risk_-_Insurance.2.pdf</w:t>
        </w:r>
      </w:hyperlink>
      <w:r w:rsidRPr="00B92144">
        <w:rPr>
          <w:rFonts w:asciiTheme="majorBidi" w:hAnsiTheme="majorBidi" w:cstheme="majorBidi"/>
          <w:color w:val="545454"/>
          <w:shd w:val="clear" w:color="auto" w:fill="FFFFFF"/>
        </w:rPr>
        <w:t xml:space="preserve"> </w:t>
      </w:r>
    </w:p>
    <w:p w14:paraId="6EEB380B"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lang w:val="fr-FR"/>
        </w:rPr>
        <w:t xml:space="preserve">Fama, E. F. (1980). </w:t>
      </w:r>
      <w:r w:rsidRPr="00B92144">
        <w:rPr>
          <w:rFonts w:asciiTheme="majorBidi" w:hAnsiTheme="majorBidi" w:cstheme="majorBidi"/>
        </w:rPr>
        <w:t xml:space="preserve">Agency Problems and the Theory of the Firm. </w:t>
      </w:r>
      <w:r w:rsidRPr="00B92144">
        <w:rPr>
          <w:rFonts w:asciiTheme="majorBidi" w:hAnsiTheme="majorBidi" w:cstheme="majorBidi"/>
          <w:i/>
          <w:iCs/>
        </w:rPr>
        <w:t>Journal of Political Economy</w:t>
      </w:r>
      <w:r w:rsidRPr="00B92144">
        <w:rPr>
          <w:rFonts w:asciiTheme="majorBidi" w:hAnsiTheme="majorBidi" w:cstheme="majorBidi"/>
        </w:rPr>
        <w:t xml:space="preserve">, </w:t>
      </w:r>
      <w:r w:rsidRPr="00B92144">
        <w:rPr>
          <w:rFonts w:asciiTheme="majorBidi" w:hAnsiTheme="majorBidi" w:cstheme="majorBidi"/>
          <w:i/>
          <w:iCs/>
        </w:rPr>
        <w:t>88</w:t>
      </w:r>
      <w:r w:rsidRPr="00B92144">
        <w:rPr>
          <w:rFonts w:asciiTheme="majorBidi" w:hAnsiTheme="majorBidi" w:cstheme="majorBidi"/>
        </w:rPr>
        <w:t>(2), 288‑307.</w:t>
      </w:r>
    </w:p>
    <w:p w14:paraId="50D1E253"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Fama, E. F., &amp; Jensen, M. C. (1983). Separation of Ownership and Control. </w:t>
      </w:r>
      <w:r w:rsidRPr="00B92144">
        <w:rPr>
          <w:rFonts w:asciiTheme="majorBidi" w:hAnsiTheme="majorBidi" w:cstheme="majorBidi"/>
          <w:i/>
          <w:iCs/>
        </w:rPr>
        <w:t>The Journal of Law &amp; Economics</w:t>
      </w:r>
      <w:r w:rsidRPr="00B92144">
        <w:rPr>
          <w:rFonts w:asciiTheme="majorBidi" w:hAnsiTheme="majorBidi" w:cstheme="majorBidi"/>
        </w:rPr>
        <w:t xml:space="preserve">, </w:t>
      </w:r>
      <w:r w:rsidRPr="00B92144">
        <w:rPr>
          <w:rFonts w:asciiTheme="majorBidi" w:hAnsiTheme="majorBidi" w:cstheme="majorBidi"/>
          <w:i/>
          <w:iCs/>
        </w:rPr>
        <w:t>26</w:t>
      </w:r>
      <w:r w:rsidRPr="00B92144">
        <w:rPr>
          <w:rFonts w:asciiTheme="majorBidi" w:hAnsiTheme="majorBidi" w:cstheme="majorBidi"/>
        </w:rPr>
        <w:t>(2), 301‑325.</w:t>
      </w:r>
    </w:p>
    <w:p w14:paraId="1EE46C63"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Fernandez-Alles, M &amp; Valle-Cabrera, R (2006). Reconciling institutional theory with organizational theories, Journal of Organizational Changes, 19(4):503–17</w:t>
      </w:r>
    </w:p>
    <w:p w14:paraId="3C1ECA76" w14:textId="77777777" w:rsidR="00291449" w:rsidRPr="00B92144" w:rsidRDefault="00291449" w:rsidP="00291449">
      <w:pPr>
        <w:autoSpaceDE w:val="0"/>
        <w:autoSpaceDN w:val="0"/>
        <w:adjustRightInd w:val="0"/>
        <w:spacing w:after="0" w:line="240" w:lineRule="auto"/>
        <w:ind w:left="720" w:hanging="720"/>
        <w:jc w:val="both"/>
        <w:rPr>
          <w:rFonts w:asciiTheme="majorBidi" w:hAnsiTheme="majorBidi" w:cstheme="majorBidi"/>
          <w:b/>
          <w:bCs/>
        </w:rPr>
      </w:pPr>
      <w:r w:rsidRPr="00B92144">
        <w:rPr>
          <w:rFonts w:asciiTheme="majorBidi" w:hAnsiTheme="majorBidi" w:cstheme="majorBidi"/>
        </w:rPr>
        <w:t>Fernandes S. R. B. (2017) “</w:t>
      </w:r>
      <w:r w:rsidRPr="00B92144">
        <w:rPr>
          <w:rFonts w:asciiTheme="majorBidi" w:hAnsiTheme="majorBidi" w:cstheme="majorBidi"/>
          <w:i/>
          <w:iCs/>
        </w:rPr>
        <w:t>Do Firms with a More International Board Comply Better with IFRS Disclosure Requirements</w:t>
      </w:r>
      <w:r w:rsidRPr="00B92144">
        <w:rPr>
          <w:rFonts w:asciiTheme="majorBidi" w:hAnsiTheme="majorBidi" w:cstheme="majorBidi"/>
        </w:rPr>
        <w:t>?” Doctoral thesis, ISCTE Business School Department of Accounting.</w:t>
      </w:r>
    </w:p>
    <w:p w14:paraId="0449E910"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Fombrun, C., &amp; Shanley, M. (1990). What’s in a Name? Reputation Building and Corporate Strategy. </w:t>
      </w:r>
      <w:r w:rsidRPr="00B92144">
        <w:rPr>
          <w:rFonts w:asciiTheme="majorBidi" w:hAnsiTheme="majorBidi" w:cstheme="majorBidi"/>
          <w:i/>
          <w:iCs/>
        </w:rPr>
        <w:t>The Academy of Management Journal</w:t>
      </w:r>
      <w:r w:rsidRPr="00B92144">
        <w:rPr>
          <w:rFonts w:asciiTheme="majorBidi" w:hAnsiTheme="majorBidi" w:cstheme="majorBidi"/>
        </w:rPr>
        <w:t xml:space="preserve">, </w:t>
      </w:r>
      <w:r w:rsidRPr="00B92144">
        <w:rPr>
          <w:rFonts w:asciiTheme="majorBidi" w:hAnsiTheme="majorBidi" w:cstheme="majorBidi"/>
          <w:i/>
          <w:iCs/>
        </w:rPr>
        <w:t>33</w:t>
      </w:r>
      <w:r w:rsidRPr="00B92144">
        <w:rPr>
          <w:rFonts w:asciiTheme="majorBidi" w:hAnsiTheme="majorBidi" w:cstheme="majorBidi"/>
        </w:rPr>
        <w:t xml:space="preserve">(2), 233‑258. </w:t>
      </w:r>
    </w:p>
    <w:p w14:paraId="227EB646"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Frankel, R., Mcvay, S., &amp; T. Soliman, M. (2010). Non-GAAP earnings and board independence. </w:t>
      </w:r>
      <w:r w:rsidRPr="00B92144">
        <w:rPr>
          <w:rFonts w:asciiTheme="majorBidi" w:hAnsiTheme="majorBidi" w:cstheme="majorBidi"/>
          <w:i/>
          <w:iCs/>
        </w:rPr>
        <w:t>Review of Accounting Studies</w:t>
      </w:r>
      <w:r w:rsidRPr="00B92144">
        <w:rPr>
          <w:rFonts w:asciiTheme="majorBidi" w:hAnsiTheme="majorBidi" w:cstheme="majorBidi"/>
        </w:rPr>
        <w:t xml:space="preserve">, </w:t>
      </w:r>
      <w:r w:rsidRPr="00B92144">
        <w:rPr>
          <w:rFonts w:asciiTheme="majorBidi" w:hAnsiTheme="majorBidi" w:cstheme="majorBidi"/>
          <w:i/>
          <w:iCs/>
        </w:rPr>
        <w:t>16</w:t>
      </w:r>
      <w:r w:rsidRPr="00B92144">
        <w:rPr>
          <w:rFonts w:asciiTheme="majorBidi" w:hAnsiTheme="majorBidi" w:cstheme="majorBidi"/>
        </w:rPr>
        <w:t xml:space="preserve">. </w:t>
      </w:r>
    </w:p>
    <w:p w14:paraId="72235C64"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lastRenderedPageBreak/>
        <w:t xml:space="preserve">Freeman, R. E., &amp; Reed, D. L. (1983). Stockholders and Stakeholders: A New Perspective on Corporate Governance. </w:t>
      </w:r>
      <w:r w:rsidRPr="00B92144">
        <w:rPr>
          <w:rFonts w:asciiTheme="majorBidi" w:hAnsiTheme="majorBidi" w:cstheme="majorBidi"/>
          <w:i/>
          <w:iCs/>
        </w:rPr>
        <w:t>California Management Review</w:t>
      </w:r>
      <w:r w:rsidRPr="00B92144">
        <w:rPr>
          <w:rFonts w:asciiTheme="majorBidi" w:hAnsiTheme="majorBidi" w:cstheme="majorBidi"/>
        </w:rPr>
        <w:t xml:space="preserve">, </w:t>
      </w:r>
      <w:r w:rsidRPr="00B92144">
        <w:rPr>
          <w:rFonts w:asciiTheme="majorBidi" w:hAnsiTheme="majorBidi" w:cstheme="majorBidi"/>
          <w:i/>
          <w:iCs/>
        </w:rPr>
        <w:t>25</w:t>
      </w:r>
      <w:r w:rsidRPr="00B92144">
        <w:rPr>
          <w:rFonts w:asciiTheme="majorBidi" w:hAnsiTheme="majorBidi" w:cstheme="majorBidi"/>
        </w:rPr>
        <w:t xml:space="preserve">(3), 88‑106. </w:t>
      </w:r>
    </w:p>
    <w:p w14:paraId="519C54AC"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Frolov, M. (2007). Why do we need mandated rules of public disclosure for banks? </w:t>
      </w:r>
      <w:r w:rsidRPr="00B92144">
        <w:rPr>
          <w:rFonts w:asciiTheme="majorBidi" w:hAnsiTheme="majorBidi" w:cstheme="majorBidi"/>
          <w:i/>
          <w:iCs/>
        </w:rPr>
        <w:t>Journal of Banking Regulation</w:t>
      </w:r>
      <w:r w:rsidRPr="00B92144">
        <w:rPr>
          <w:rFonts w:asciiTheme="majorBidi" w:hAnsiTheme="majorBidi" w:cstheme="majorBidi"/>
        </w:rPr>
        <w:t xml:space="preserve">, </w:t>
      </w:r>
      <w:r w:rsidRPr="00B92144">
        <w:rPr>
          <w:rFonts w:asciiTheme="majorBidi" w:hAnsiTheme="majorBidi" w:cstheme="majorBidi"/>
          <w:i/>
          <w:iCs/>
        </w:rPr>
        <w:t>8</w:t>
      </w:r>
      <w:r w:rsidRPr="00B92144">
        <w:rPr>
          <w:rFonts w:asciiTheme="majorBidi" w:hAnsiTheme="majorBidi" w:cstheme="majorBidi"/>
        </w:rPr>
        <w:t xml:space="preserve">(2), 177‑191. </w:t>
      </w:r>
    </w:p>
    <w:p w14:paraId="75693D7F"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Garcia-Castro, R., Ariño, M. A., &amp; Canela, M. A. (2010). Does Social Performance Really Lead to Financial Performance? Accounting for Endogeneity. </w:t>
      </w:r>
      <w:r w:rsidRPr="00B92144">
        <w:rPr>
          <w:rFonts w:asciiTheme="majorBidi" w:hAnsiTheme="majorBidi" w:cstheme="majorBidi"/>
          <w:i/>
          <w:iCs/>
        </w:rPr>
        <w:t>Journal of Business Ethics</w:t>
      </w:r>
      <w:r w:rsidRPr="00B92144">
        <w:rPr>
          <w:rFonts w:asciiTheme="majorBidi" w:hAnsiTheme="majorBidi" w:cstheme="majorBidi"/>
        </w:rPr>
        <w:t xml:space="preserve">, </w:t>
      </w:r>
      <w:r w:rsidRPr="00B92144">
        <w:rPr>
          <w:rFonts w:asciiTheme="majorBidi" w:hAnsiTheme="majorBidi" w:cstheme="majorBidi"/>
          <w:i/>
          <w:iCs/>
        </w:rPr>
        <w:t>92</w:t>
      </w:r>
      <w:r w:rsidRPr="00B92144">
        <w:rPr>
          <w:rFonts w:asciiTheme="majorBidi" w:hAnsiTheme="majorBidi" w:cstheme="majorBidi"/>
        </w:rPr>
        <w:t xml:space="preserve">(1), 107‑126. </w:t>
      </w:r>
    </w:p>
    <w:p w14:paraId="61692A5E" w14:textId="4A1DC50C"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Glaum, M., &amp; Street, D. L. (2003). Compliance with the Disclosure Requirements of Germany’s New Market: IAS Versus US GAAP. </w:t>
      </w:r>
      <w:r w:rsidRPr="00B92144">
        <w:rPr>
          <w:rFonts w:asciiTheme="majorBidi" w:hAnsiTheme="majorBidi" w:cstheme="majorBidi"/>
          <w:i/>
          <w:iCs/>
        </w:rPr>
        <w:t>Journal of International Financial Management &amp; Accounting</w:t>
      </w:r>
      <w:r w:rsidRPr="00B92144">
        <w:rPr>
          <w:rFonts w:asciiTheme="majorBidi" w:hAnsiTheme="majorBidi" w:cstheme="majorBidi"/>
        </w:rPr>
        <w:t xml:space="preserve">, </w:t>
      </w:r>
      <w:r w:rsidRPr="00B92144">
        <w:rPr>
          <w:rFonts w:asciiTheme="majorBidi" w:hAnsiTheme="majorBidi" w:cstheme="majorBidi"/>
          <w:i/>
          <w:iCs/>
        </w:rPr>
        <w:t>14</w:t>
      </w:r>
      <w:r w:rsidRPr="00B92144">
        <w:rPr>
          <w:rFonts w:asciiTheme="majorBidi" w:hAnsiTheme="majorBidi" w:cstheme="majorBidi"/>
        </w:rPr>
        <w:t>(1), 64‑100</w:t>
      </w:r>
      <w:r w:rsidR="005A4764" w:rsidRPr="00B92144">
        <w:rPr>
          <w:rFonts w:asciiTheme="majorBidi" w:hAnsiTheme="majorBidi" w:cstheme="majorBidi"/>
        </w:rPr>
        <w:t>.</w:t>
      </w:r>
    </w:p>
    <w:p w14:paraId="68F24679" w14:textId="777985FF" w:rsidR="005A4764" w:rsidRPr="00B92144" w:rsidRDefault="005A4764" w:rsidP="005A4764">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Grassa, R &amp; Chakroun, R. (2016).</w:t>
      </w:r>
      <w:r w:rsidRPr="00B92144">
        <w:rPr>
          <w:rFonts w:asciiTheme="majorBidi" w:hAnsiTheme="majorBidi" w:cstheme="majorBidi"/>
          <w:sz w:val="24"/>
          <w:szCs w:val="24"/>
        </w:rPr>
        <w:t xml:space="preserve"> </w:t>
      </w:r>
      <w:r w:rsidRPr="00B92144">
        <w:rPr>
          <w:rFonts w:asciiTheme="majorBidi" w:hAnsiTheme="majorBidi" w:cstheme="majorBidi"/>
        </w:rPr>
        <w:t>Ownership structure, board’s characteristics and corporate governance disclosure in GCC banks: what about Islamic banks?</w:t>
      </w:r>
      <w:r w:rsidRPr="00B92144">
        <w:rPr>
          <w:rFonts w:asciiTheme="majorBidi" w:hAnsiTheme="majorBidi" w:cstheme="majorBidi"/>
          <w:sz w:val="24"/>
          <w:szCs w:val="24"/>
        </w:rPr>
        <w:t xml:space="preserve"> </w:t>
      </w:r>
      <w:r w:rsidRPr="00B92144">
        <w:rPr>
          <w:rFonts w:asciiTheme="majorBidi" w:hAnsiTheme="majorBidi" w:cstheme="majorBidi"/>
          <w:i/>
          <w:iCs/>
        </w:rPr>
        <w:t>Int. J. Accounting, Auditing and Performance Evaluation</w:t>
      </w:r>
      <w:r w:rsidRPr="00B92144">
        <w:rPr>
          <w:rFonts w:asciiTheme="majorBidi" w:hAnsiTheme="majorBidi" w:cstheme="majorBidi"/>
        </w:rPr>
        <w:t>, 12 (4), 360-395.</w:t>
      </w:r>
    </w:p>
    <w:p w14:paraId="1A8B5475"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Haniffa, R. &amp; Cooke, T.E. (2002) Culture, Corporate Governance and Disclosure in Malaysian Corporations, </w:t>
      </w:r>
      <w:r w:rsidRPr="00B92144">
        <w:rPr>
          <w:rFonts w:asciiTheme="majorBidi" w:hAnsiTheme="majorBidi" w:cstheme="majorBidi"/>
          <w:i/>
          <w:iCs/>
        </w:rPr>
        <w:t>Abacus</w:t>
      </w:r>
      <w:r w:rsidRPr="00B92144">
        <w:rPr>
          <w:rFonts w:asciiTheme="majorBidi" w:hAnsiTheme="majorBidi" w:cstheme="majorBidi"/>
        </w:rPr>
        <w:t xml:space="preserve"> Vol. 38 Issue 3, p.317-349., </w:t>
      </w:r>
      <w:r w:rsidRPr="00B92144">
        <w:rPr>
          <w:rFonts w:asciiTheme="majorBidi" w:hAnsiTheme="majorBidi" w:cstheme="majorBidi"/>
          <w:i/>
          <w:iCs/>
        </w:rPr>
        <w:t>38</w:t>
      </w:r>
      <w:r w:rsidRPr="00B92144">
        <w:rPr>
          <w:rFonts w:asciiTheme="majorBidi" w:hAnsiTheme="majorBidi" w:cstheme="majorBidi"/>
        </w:rPr>
        <w:t>.</w:t>
      </w:r>
    </w:p>
    <w:p w14:paraId="6E33CD17"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Hausman, J. (1978). Specification Tests in Econometrics. </w:t>
      </w:r>
      <w:r w:rsidRPr="00B92144">
        <w:rPr>
          <w:rFonts w:asciiTheme="majorBidi" w:hAnsiTheme="majorBidi" w:cstheme="majorBidi"/>
          <w:i/>
          <w:iCs/>
        </w:rPr>
        <w:t>Econometrica</w:t>
      </w:r>
      <w:r w:rsidRPr="00B92144">
        <w:rPr>
          <w:rFonts w:asciiTheme="majorBidi" w:hAnsiTheme="majorBidi" w:cstheme="majorBidi"/>
        </w:rPr>
        <w:t xml:space="preserve">, </w:t>
      </w:r>
      <w:r w:rsidRPr="00B92144">
        <w:rPr>
          <w:rFonts w:asciiTheme="majorBidi" w:hAnsiTheme="majorBidi" w:cstheme="majorBidi"/>
          <w:i/>
          <w:iCs/>
        </w:rPr>
        <w:t>46</w:t>
      </w:r>
      <w:r w:rsidRPr="00B92144">
        <w:rPr>
          <w:rFonts w:asciiTheme="majorBidi" w:hAnsiTheme="majorBidi" w:cstheme="majorBidi"/>
        </w:rPr>
        <w:t>(6), 1251‑1271.</w:t>
      </w:r>
    </w:p>
    <w:p w14:paraId="544FDB39"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Hayes, A. F., &amp; Krippendorff, K. (2007). Answering the Call for a Standard Reliability Measure for Coding Data. </w:t>
      </w:r>
      <w:r w:rsidRPr="00B92144">
        <w:rPr>
          <w:rFonts w:asciiTheme="majorBidi" w:hAnsiTheme="majorBidi" w:cstheme="majorBidi"/>
          <w:i/>
          <w:iCs/>
        </w:rPr>
        <w:t>Communication Methods and Measures</w:t>
      </w:r>
      <w:r w:rsidRPr="00B92144">
        <w:rPr>
          <w:rFonts w:asciiTheme="majorBidi" w:hAnsiTheme="majorBidi" w:cstheme="majorBidi"/>
        </w:rPr>
        <w:t xml:space="preserve">, </w:t>
      </w:r>
      <w:r w:rsidRPr="00B92144">
        <w:rPr>
          <w:rFonts w:asciiTheme="majorBidi" w:hAnsiTheme="majorBidi" w:cstheme="majorBidi"/>
          <w:i/>
          <w:iCs/>
        </w:rPr>
        <w:t>1</w:t>
      </w:r>
      <w:r w:rsidRPr="00B92144">
        <w:rPr>
          <w:rFonts w:asciiTheme="majorBidi" w:hAnsiTheme="majorBidi" w:cstheme="majorBidi"/>
        </w:rPr>
        <w:t xml:space="preserve">(1), 77‑89. </w:t>
      </w:r>
    </w:p>
    <w:p w14:paraId="1699FAE4"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color w:val="244061" w:themeColor="accent1" w:themeShade="80"/>
        </w:rPr>
      </w:pPr>
      <w:r w:rsidRPr="00B92144">
        <w:rPr>
          <w:rFonts w:asciiTheme="majorBidi" w:hAnsiTheme="majorBidi" w:cstheme="majorBidi"/>
          <w:color w:val="244061" w:themeColor="accent1" w:themeShade="80"/>
        </w:rPr>
        <w:t xml:space="preserve">Healy, P. M., &amp; Palepu, K. G. (2001). Information asymmetry, corporate disclosure, and the capital markets: A review of the empirical disclosure literature. </w:t>
      </w:r>
      <w:r w:rsidRPr="00B92144">
        <w:rPr>
          <w:rFonts w:asciiTheme="majorBidi" w:hAnsiTheme="majorBidi" w:cstheme="majorBidi"/>
          <w:i/>
          <w:iCs/>
          <w:color w:val="244061" w:themeColor="accent1" w:themeShade="80"/>
        </w:rPr>
        <w:t>Journal of Accounting and Economics</w:t>
      </w:r>
      <w:r w:rsidRPr="00B92144">
        <w:rPr>
          <w:rFonts w:asciiTheme="majorBidi" w:hAnsiTheme="majorBidi" w:cstheme="majorBidi"/>
          <w:color w:val="244061" w:themeColor="accent1" w:themeShade="80"/>
        </w:rPr>
        <w:t xml:space="preserve">, </w:t>
      </w:r>
      <w:r w:rsidRPr="00B92144">
        <w:rPr>
          <w:rFonts w:asciiTheme="majorBidi" w:hAnsiTheme="majorBidi" w:cstheme="majorBidi"/>
          <w:i/>
          <w:iCs/>
          <w:color w:val="244061" w:themeColor="accent1" w:themeShade="80"/>
        </w:rPr>
        <w:t>31</w:t>
      </w:r>
      <w:r w:rsidRPr="00B92144">
        <w:rPr>
          <w:rFonts w:asciiTheme="majorBidi" w:hAnsiTheme="majorBidi" w:cstheme="majorBidi"/>
          <w:color w:val="244061" w:themeColor="accent1" w:themeShade="80"/>
        </w:rPr>
        <w:t xml:space="preserve">(1), 405‑440. </w:t>
      </w:r>
    </w:p>
    <w:p w14:paraId="2C3AC6DC"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Helbok, G., &amp; Wagner, C. (2006). Determinants of Operational Risk Reporting in the Banking Industry. </w:t>
      </w:r>
      <w:r w:rsidRPr="00B92144">
        <w:rPr>
          <w:rFonts w:asciiTheme="majorBidi" w:hAnsiTheme="majorBidi" w:cstheme="majorBidi"/>
          <w:i/>
          <w:iCs/>
        </w:rPr>
        <w:t>The Journal of Risk</w:t>
      </w:r>
      <w:r w:rsidRPr="00B92144">
        <w:rPr>
          <w:rFonts w:asciiTheme="majorBidi" w:hAnsiTheme="majorBidi" w:cstheme="majorBidi"/>
        </w:rPr>
        <w:t xml:space="preserve">, </w:t>
      </w:r>
      <w:r w:rsidRPr="00B92144">
        <w:rPr>
          <w:rFonts w:asciiTheme="majorBidi" w:hAnsiTheme="majorBidi" w:cstheme="majorBidi"/>
          <w:i/>
          <w:iCs/>
        </w:rPr>
        <w:t>9</w:t>
      </w:r>
      <w:r w:rsidRPr="00B92144">
        <w:rPr>
          <w:rFonts w:asciiTheme="majorBidi" w:hAnsiTheme="majorBidi" w:cstheme="majorBidi"/>
        </w:rPr>
        <w:t xml:space="preserve">. </w:t>
      </w:r>
    </w:p>
    <w:p w14:paraId="65EBAB14"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Hirtle, B. (2007). </w:t>
      </w:r>
      <w:r w:rsidRPr="00B92144">
        <w:rPr>
          <w:rFonts w:asciiTheme="majorBidi" w:hAnsiTheme="majorBidi" w:cstheme="majorBidi"/>
          <w:i/>
          <w:iCs/>
        </w:rPr>
        <w:t>Public Disclosure, Risk, and Performance at Bank Holding Companies</w:t>
      </w:r>
      <w:r w:rsidRPr="00B92144">
        <w:rPr>
          <w:rFonts w:asciiTheme="majorBidi" w:hAnsiTheme="majorBidi" w:cstheme="majorBidi"/>
        </w:rPr>
        <w:t xml:space="preserve"> (Scholarly Paper No. ID 1003219). Rochester, NY. </w:t>
      </w:r>
      <w:hyperlink r:id="rId21" w:history="1">
        <w:r w:rsidRPr="00B92144">
          <w:rPr>
            <w:rStyle w:val="Hyperlink"/>
            <w:rFonts w:asciiTheme="majorBidi" w:hAnsiTheme="majorBidi" w:cstheme="majorBidi"/>
          </w:rPr>
          <w:t>https://papers.ssrn.com/abstract=1003219</w:t>
        </w:r>
      </w:hyperlink>
    </w:p>
    <w:p w14:paraId="1D0F1135"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Hou, W., &amp; Moore, G. (2010). Player and Referee Roles Held Jointly: The Effect of State Ownership on China’s Regulatory Enforcement Against Fraud. </w:t>
      </w:r>
      <w:r w:rsidRPr="00B92144">
        <w:rPr>
          <w:rFonts w:asciiTheme="majorBidi" w:hAnsiTheme="majorBidi" w:cstheme="majorBidi"/>
          <w:i/>
          <w:iCs/>
        </w:rPr>
        <w:t>Journal of Business Ethics</w:t>
      </w:r>
      <w:r w:rsidRPr="00B92144">
        <w:rPr>
          <w:rFonts w:asciiTheme="majorBidi" w:hAnsiTheme="majorBidi" w:cstheme="majorBidi"/>
        </w:rPr>
        <w:t xml:space="preserve">, </w:t>
      </w:r>
      <w:r w:rsidRPr="00B92144">
        <w:rPr>
          <w:rFonts w:asciiTheme="majorBidi" w:hAnsiTheme="majorBidi" w:cstheme="majorBidi"/>
          <w:i/>
          <w:iCs/>
        </w:rPr>
        <w:t>95</w:t>
      </w:r>
      <w:r w:rsidRPr="00B92144">
        <w:rPr>
          <w:rFonts w:asciiTheme="majorBidi" w:hAnsiTheme="majorBidi" w:cstheme="majorBidi"/>
        </w:rPr>
        <w:t xml:space="preserve">(2), 317‑335. </w:t>
      </w:r>
    </w:p>
    <w:p w14:paraId="6613EA27"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Huafang, X., &amp; Jianguo, Y. (2007). Ownership structure, board composition and corporate voluntary disclosure: Evidence from listed companies in China. </w:t>
      </w:r>
      <w:r w:rsidRPr="00B92144">
        <w:rPr>
          <w:rFonts w:asciiTheme="majorBidi" w:hAnsiTheme="majorBidi" w:cstheme="majorBidi"/>
          <w:i/>
          <w:iCs/>
        </w:rPr>
        <w:t>Managerial Auditing Journal</w:t>
      </w:r>
      <w:r w:rsidRPr="00B92144">
        <w:rPr>
          <w:rFonts w:asciiTheme="majorBidi" w:hAnsiTheme="majorBidi" w:cstheme="majorBidi"/>
        </w:rPr>
        <w:t xml:space="preserve">, </w:t>
      </w:r>
      <w:r w:rsidRPr="00B92144">
        <w:rPr>
          <w:rFonts w:asciiTheme="majorBidi" w:hAnsiTheme="majorBidi" w:cstheme="majorBidi"/>
          <w:i/>
          <w:iCs/>
        </w:rPr>
        <w:t>22</w:t>
      </w:r>
      <w:r w:rsidRPr="00B92144">
        <w:rPr>
          <w:rFonts w:asciiTheme="majorBidi" w:hAnsiTheme="majorBidi" w:cstheme="majorBidi"/>
        </w:rPr>
        <w:t xml:space="preserve">(6), 604‑619. </w:t>
      </w:r>
    </w:p>
    <w:p w14:paraId="250ADA72"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Hussainey, K., &amp; Elzahar, H. (2012). Determinants of narrative risk disclosures in UK interim reports. </w:t>
      </w:r>
      <w:r w:rsidRPr="00B92144">
        <w:rPr>
          <w:rFonts w:asciiTheme="majorBidi" w:hAnsiTheme="majorBidi" w:cstheme="majorBidi"/>
          <w:i/>
          <w:iCs/>
        </w:rPr>
        <w:t>The Journal of Risk Finance</w:t>
      </w:r>
      <w:r w:rsidRPr="00B92144">
        <w:rPr>
          <w:rFonts w:asciiTheme="majorBidi" w:hAnsiTheme="majorBidi" w:cstheme="majorBidi"/>
        </w:rPr>
        <w:t xml:space="preserve">, </w:t>
      </w:r>
      <w:r w:rsidRPr="00B92144">
        <w:rPr>
          <w:rFonts w:asciiTheme="majorBidi" w:hAnsiTheme="majorBidi" w:cstheme="majorBidi"/>
          <w:i/>
          <w:iCs/>
        </w:rPr>
        <w:t>13</w:t>
      </w:r>
      <w:r w:rsidRPr="00B92144">
        <w:rPr>
          <w:rFonts w:asciiTheme="majorBidi" w:hAnsiTheme="majorBidi" w:cstheme="majorBidi"/>
        </w:rPr>
        <w:t xml:space="preserve">(2), 133‑147. </w:t>
      </w:r>
    </w:p>
    <w:p w14:paraId="2C6B200E"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Iatridis, G. (2008). Accounting disclosure and firms’ financial attributes: Evidence from the UK stock market. </w:t>
      </w:r>
      <w:r w:rsidRPr="00B92144">
        <w:rPr>
          <w:rFonts w:asciiTheme="majorBidi" w:hAnsiTheme="majorBidi" w:cstheme="majorBidi"/>
          <w:i/>
          <w:iCs/>
        </w:rPr>
        <w:t>International Review of Financial Analysis</w:t>
      </w:r>
      <w:r w:rsidRPr="00B92144">
        <w:rPr>
          <w:rFonts w:asciiTheme="majorBidi" w:hAnsiTheme="majorBidi" w:cstheme="majorBidi"/>
        </w:rPr>
        <w:t xml:space="preserve">, </w:t>
      </w:r>
      <w:r w:rsidRPr="00B92144">
        <w:rPr>
          <w:rFonts w:asciiTheme="majorBidi" w:hAnsiTheme="majorBidi" w:cstheme="majorBidi"/>
          <w:i/>
          <w:iCs/>
        </w:rPr>
        <w:t>17</w:t>
      </w:r>
      <w:r w:rsidRPr="00B92144">
        <w:rPr>
          <w:rFonts w:asciiTheme="majorBidi" w:hAnsiTheme="majorBidi" w:cstheme="majorBidi"/>
        </w:rPr>
        <w:t xml:space="preserve">(2), 219‑241. </w:t>
      </w:r>
    </w:p>
    <w:p w14:paraId="24B98E5B"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Inchausti, B. G. (1997). The influence of company characteristics and accounting regulation on information disclosed by Spanish firms. </w:t>
      </w:r>
      <w:r w:rsidRPr="00B92144">
        <w:rPr>
          <w:rFonts w:asciiTheme="majorBidi" w:hAnsiTheme="majorBidi" w:cstheme="majorBidi"/>
          <w:i/>
          <w:iCs/>
        </w:rPr>
        <w:t>European Accounting Review</w:t>
      </w:r>
      <w:r w:rsidRPr="00B92144">
        <w:rPr>
          <w:rFonts w:asciiTheme="majorBidi" w:hAnsiTheme="majorBidi" w:cstheme="majorBidi"/>
        </w:rPr>
        <w:t xml:space="preserve">, </w:t>
      </w:r>
      <w:r w:rsidRPr="00B92144">
        <w:rPr>
          <w:rFonts w:asciiTheme="majorBidi" w:hAnsiTheme="majorBidi" w:cstheme="majorBidi"/>
          <w:i/>
          <w:iCs/>
        </w:rPr>
        <w:t>6</w:t>
      </w:r>
      <w:r w:rsidRPr="00B92144">
        <w:rPr>
          <w:rFonts w:asciiTheme="majorBidi" w:hAnsiTheme="majorBidi" w:cstheme="majorBidi"/>
        </w:rPr>
        <w:t>(1), 45‑68.</w:t>
      </w:r>
    </w:p>
    <w:p w14:paraId="7D9707A8"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Jensen, M. C., &amp; Meckling, W. H. (1976). Theory of the firm: Managerial behavior, agency costs and ownership structure. </w:t>
      </w:r>
      <w:r w:rsidRPr="00B92144">
        <w:rPr>
          <w:rFonts w:asciiTheme="majorBidi" w:hAnsiTheme="majorBidi" w:cstheme="majorBidi"/>
          <w:i/>
          <w:iCs/>
        </w:rPr>
        <w:t>Journal of Financial Economics</w:t>
      </w:r>
      <w:r w:rsidRPr="00B92144">
        <w:rPr>
          <w:rFonts w:asciiTheme="majorBidi" w:hAnsiTheme="majorBidi" w:cstheme="majorBidi"/>
        </w:rPr>
        <w:t xml:space="preserve">, </w:t>
      </w:r>
      <w:r w:rsidRPr="00B92144">
        <w:rPr>
          <w:rFonts w:asciiTheme="majorBidi" w:hAnsiTheme="majorBidi" w:cstheme="majorBidi"/>
          <w:i/>
          <w:iCs/>
        </w:rPr>
        <w:t>3</w:t>
      </w:r>
      <w:r w:rsidRPr="00B92144">
        <w:rPr>
          <w:rFonts w:asciiTheme="majorBidi" w:hAnsiTheme="majorBidi" w:cstheme="majorBidi"/>
        </w:rPr>
        <w:t xml:space="preserve">(4), 305‑360. </w:t>
      </w:r>
    </w:p>
    <w:p w14:paraId="260DA6A1"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Jia, C., et al. (2009). Fraud, Enforcement Action, and the Role of Corporate Governance: Evidence from China. </w:t>
      </w:r>
      <w:r w:rsidRPr="00B92144">
        <w:rPr>
          <w:rFonts w:asciiTheme="majorBidi" w:hAnsiTheme="majorBidi" w:cstheme="majorBidi"/>
          <w:i/>
          <w:iCs/>
        </w:rPr>
        <w:t>Journal of Business Ethics</w:t>
      </w:r>
      <w:r w:rsidRPr="00B92144">
        <w:rPr>
          <w:rFonts w:asciiTheme="majorBidi" w:hAnsiTheme="majorBidi" w:cstheme="majorBidi"/>
        </w:rPr>
        <w:t xml:space="preserve">, </w:t>
      </w:r>
      <w:r w:rsidRPr="00B92144">
        <w:rPr>
          <w:rFonts w:asciiTheme="majorBidi" w:hAnsiTheme="majorBidi" w:cstheme="majorBidi"/>
          <w:i/>
          <w:iCs/>
        </w:rPr>
        <w:t>90</w:t>
      </w:r>
      <w:r w:rsidRPr="00B92144">
        <w:rPr>
          <w:rFonts w:asciiTheme="majorBidi" w:hAnsiTheme="majorBidi" w:cstheme="majorBidi"/>
        </w:rPr>
        <w:t xml:space="preserve">(4), 561‑576. </w:t>
      </w:r>
    </w:p>
    <w:p w14:paraId="74BE25DB"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lang w:val="fr-FR"/>
        </w:rPr>
        <w:t xml:space="preserve">Jiang, L., &amp; Kim, J.-B. (2004). </w:t>
      </w:r>
      <w:r w:rsidRPr="00B92144">
        <w:rPr>
          <w:rFonts w:asciiTheme="majorBidi" w:hAnsiTheme="majorBidi" w:cstheme="majorBidi"/>
        </w:rPr>
        <w:t xml:space="preserve">Foreign Equity Ownership and Information Asymmetry: Evidence from Japan. </w:t>
      </w:r>
      <w:r w:rsidRPr="00B92144">
        <w:rPr>
          <w:rFonts w:asciiTheme="majorBidi" w:hAnsiTheme="majorBidi" w:cstheme="majorBidi"/>
          <w:i/>
          <w:iCs/>
        </w:rPr>
        <w:t>Journal of International Financial Management &amp; Accounting</w:t>
      </w:r>
      <w:r w:rsidRPr="00B92144">
        <w:rPr>
          <w:rFonts w:asciiTheme="majorBidi" w:hAnsiTheme="majorBidi" w:cstheme="majorBidi"/>
        </w:rPr>
        <w:t xml:space="preserve">, </w:t>
      </w:r>
      <w:r w:rsidRPr="00B92144">
        <w:rPr>
          <w:rFonts w:asciiTheme="majorBidi" w:hAnsiTheme="majorBidi" w:cstheme="majorBidi"/>
          <w:i/>
          <w:iCs/>
        </w:rPr>
        <w:t>15</w:t>
      </w:r>
      <w:r w:rsidRPr="00B92144">
        <w:rPr>
          <w:rFonts w:asciiTheme="majorBidi" w:hAnsiTheme="majorBidi" w:cstheme="majorBidi"/>
        </w:rPr>
        <w:t xml:space="preserve">(3), 185‑211. </w:t>
      </w:r>
    </w:p>
    <w:p w14:paraId="3DBF4BAE"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Jorion, P. (2009). Risk Management Lessons from the Credit Crisis. </w:t>
      </w:r>
      <w:r w:rsidRPr="00B92144">
        <w:rPr>
          <w:rFonts w:asciiTheme="majorBidi" w:hAnsiTheme="majorBidi" w:cstheme="majorBidi"/>
          <w:i/>
          <w:iCs/>
        </w:rPr>
        <w:t>European Financial Management</w:t>
      </w:r>
      <w:r w:rsidRPr="00B92144">
        <w:rPr>
          <w:rFonts w:asciiTheme="majorBidi" w:hAnsiTheme="majorBidi" w:cstheme="majorBidi"/>
        </w:rPr>
        <w:t xml:space="preserve">, </w:t>
      </w:r>
      <w:r w:rsidRPr="00B92144">
        <w:rPr>
          <w:rFonts w:asciiTheme="majorBidi" w:hAnsiTheme="majorBidi" w:cstheme="majorBidi"/>
          <w:i/>
          <w:iCs/>
        </w:rPr>
        <w:t>15</w:t>
      </w:r>
      <w:r w:rsidRPr="00B92144">
        <w:rPr>
          <w:rFonts w:asciiTheme="majorBidi" w:hAnsiTheme="majorBidi" w:cstheme="majorBidi"/>
        </w:rPr>
        <w:t xml:space="preserve">(5), 923‑933. </w:t>
      </w:r>
    </w:p>
    <w:p w14:paraId="6EC71545"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Hassan, M. K. (2008). The corporate governance inertia: the role of management accounting and costing </w:t>
      </w:r>
      <w:r w:rsidRPr="00B92144">
        <w:rPr>
          <w:rFonts w:asciiTheme="majorBidi" w:hAnsiTheme="majorBidi" w:cstheme="majorBidi"/>
        </w:rPr>
        <w:lastRenderedPageBreak/>
        <w:t xml:space="preserve">systems in a transitional public health organization. In </w:t>
      </w:r>
      <w:r w:rsidRPr="00B92144">
        <w:rPr>
          <w:rFonts w:asciiTheme="majorBidi" w:hAnsiTheme="majorBidi" w:cstheme="majorBidi"/>
          <w:i/>
          <w:iCs/>
        </w:rPr>
        <w:t>Corporate Governance in Less Developed and Emerging Economies</w:t>
      </w:r>
      <w:r w:rsidRPr="00B92144">
        <w:rPr>
          <w:rFonts w:asciiTheme="majorBidi" w:hAnsiTheme="majorBidi" w:cstheme="majorBidi"/>
        </w:rPr>
        <w:t xml:space="preserve"> (Vol. 8, p. 409‑454). </w:t>
      </w:r>
    </w:p>
    <w:p w14:paraId="6687E7B5"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Hassan, M. K. (2009). UAE corporations‐specific characteristics and level of risk disclosure. </w:t>
      </w:r>
      <w:r w:rsidRPr="00B92144">
        <w:rPr>
          <w:rFonts w:asciiTheme="majorBidi" w:hAnsiTheme="majorBidi" w:cstheme="majorBidi"/>
          <w:i/>
          <w:iCs/>
        </w:rPr>
        <w:t>Managerial Auditing Journal</w:t>
      </w:r>
      <w:r w:rsidRPr="00B92144">
        <w:rPr>
          <w:rFonts w:asciiTheme="majorBidi" w:hAnsiTheme="majorBidi" w:cstheme="majorBidi"/>
        </w:rPr>
        <w:t xml:space="preserve">, </w:t>
      </w:r>
      <w:r w:rsidRPr="00B92144">
        <w:rPr>
          <w:rFonts w:asciiTheme="majorBidi" w:hAnsiTheme="majorBidi" w:cstheme="majorBidi"/>
          <w:i/>
          <w:iCs/>
        </w:rPr>
        <w:t>24</w:t>
      </w:r>
      <w:r w:rsidRPr="00B92144">
        <w:rPr>
          <w:rFonts w:asciiTheme="majorBidi" w:hAnsiTheme="majorBidi" w:cstheme="majorBidi"/>
        </w:rPr>
        <w:t xml:space="preserve">(7), 668‑687. </w:t>
      </w:r>
    </w:p>
    <w:p w14:paraId="06D0FD79"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Kaplan, S. E., &amp; Ruland, R. G. (1991). Positive theory, rationality and accounting regulation. </w:t>
      </w:r>
      <w:r w:rsidRPr="00B92144">
        <w:rPr>
          <w:rFonts w:asciiTheme="majorBidi" w:hAnsiTheme="majorBidi" w:cstheme="majorBidi"/>
          <w:i/>
          <w:iCs/>
        </w:rPr>
        <w:t>Critical Perspectives on Accounting</w:t>
      </w:r>
      <w:r w:rsidRPr="00B92144">
        <w:rPr>
          <w:rFonts w:asciiTheme="majorBidi" w:hAnsiTheme="majorBidi" w:cstheme="majorBidi"/>
        </w:rPr>
        <w:t xml:space="preserve">, </w:t>
      </w:r>
      <w:r w:rsidRPr="00B92144">
        <w:rPr>
          <w:rFonts w:asciiTheme="majorBidi" w:hAnsiTheme="majorBidi" w:cstheme="majorBidi"/>
          <w:i/>
          <w:iCs/>
        </w:rPr>
        <w:t>2</w:t>
      </w:r>
      <w:r w:rsidRPr="00B92144">
        <w:rPr>
          <w:rFonts w:asciiTheme="majorBidi" w:hAnsiTheme="majorBidi" w:cstheme="majorBidi"/>
        </w:rPr>
        <w:t xml:space="preserve">(4), 361‑374. </w:t>
      </w:r>
    </w:p>
    <w:p w14:paraId="1A98C1F5"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Khlif, H., &amp; Hussainey, K. (2014). The association between risk disclosure and firm characteristics: A meta-analysis. </w:t>
      </w:r>
      <w:r w:rsidRPr="00B92144">
        <w:rPr>
          <w:rFonts w:asciiTheme="majorBidi" w:hAnsiTheme="majorBidi" w:cstheme="majorBidi"/>
          <w:i/>
          <w:iCs/>
        </w:rPr>
        <w:t>Journal of Risk Research</w:t>
      </w:r>
      <w:r w:rsidRPr="00B92144">
        <w:rPr>
          <w:rFonts w:asciiTheme="majorBidi" w:hAnsiTheme="majorBidi" w:cstheme="majorBidi"/>
        </w:rPr>
        <w:t xml:space="preserve">, </w:t>
      </w:r>
      <w:r w:rsidRPr="00B92144">
        <w:rPr>
          <w:rFonts w:asciiTheme="majorBidi" w:hAnsiTheme="majorBidi" w:cstheme="majorBidi"/>
          <w:i/>
          <w:iCs/>
        </w:rPr>
        <w:t>19</w:t>
      </w:r>
      <w:r w:rsidRPr="00B92144">
        <w:rPr>
          <w:rFonts w:asciiTheme="majorBidi" w:hAnsiTheme="majorBidi" w:cstheme="majorBidi"/>
        </w:rPr>
        <w:t xml:space="preserve">, 1‑31. </w:t>
      </w:r>
    </w:p>
    <w:p w14:paraId="715593EA"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Konishi, N., &amp; Ali, M. M. (2007). Risk reporting of Japanese companies and its association with corporate characteristics. </w:t>
      </w:r>
      <w:r w:rsidRPr="00B92144">
        <w:rPr>
          <w:rFonts w:asciiTheme="majorBidi" w:hAnsiTheme="majorBidi" w:cstheme="majorBidi"/>
          <w:i/>
          <w:iCs/>
        </w:rPr>
        <w:t>International Journal of Accounting, Auditing and Performance Evaluation</w:t>
      </w:r>
      <w:r w:rsidRPr="00B92144">
        <w:rPr>
          <w:rFonts w:asciiTheme="majorBidi" w:hAnsiTheme="majorBidi" w:cstheme="majorBidi"/>
        </w:rPr>
        <w:t xml:space="preserve">, </w:t>
      </w:r>
      <w:r w:rsidRPr="00B92144">
        <w:rPr>
          <w:rFonts w:asciiTheme="majorBidi" w:hAnsiTheme="majorBidi" w:cstheme="majorBidi"/>
          <w:i/>
          <w:iCs/>
        </w:rPr>
        <w:t>4</w:t>
      </w:r>
      <w:r w:rsidRPr="00B92144">
        <w:rPr>
          <w:rFonts w:asciiTheme="majorBidi" w:hAnsiTheme="majorBidi" w:cstheme="majorBidi"/>
        </w:rPr>
        <w:t>(3), 263‑285.</w:t>
      </w:r>
    </w:p>
    <w:p w14:paraId="7B1875E2" w14:textId="77777777" w:rsidR="00291449" w:rsidRPr="00B92144" w:rsidRDefault="00291449" w:rsidP="00291449">
      <w:pPr>
        <w:autoSpaceDE w:val="0"/>
        <w:autoSpaceDN w:val="0"/>
        <w:adjustRightInd w:val="0"/>
        <w:spacing w:after="0" w:line="240" w:lineRule="auto"/>
        <w:ind w:left="720" w:hanging="720"/>
        <w:jc w:val="both"/>
        <w:rPr>
          <w:rFonts w:asciiTheme="majorBidi" w:hAnsiTheme="majorBidi" w:cstheme="majorBidi"/>
        </w:rPr>
      </w:pPr>
      <w:r w:rsidRPr="00B92144">
        <w:rPr>
          <w:rFonts w:asciiTheme="majorBidi" w:hAnsiTheme="majorBidi" w:cstheme="majorBidi"/>
        </w:rPr>
        <w:t>KPMG (2008), Focus on Transparency: Trends in the Presentation of Financial Statements and Disclosure of Information by European Banks, KPMG, London.</w:t>
      </w:r>
    </w:p>
    <w:p w14:paraId="746F654C" w14:textId="77777777" w:rsidR="00291449" w:rsidRPr="00B92144" w:rsidRDefault="00291449" w:rsidP="00291449">
      <w:pPr>
        <w:autoSpaceDE w:val="0"/>
        <w:autoSpaceDN w:val="0"/>
        <w:adjustRightInd w:val="0"/>
        <w:spacing w:after="0" w:line="240" w:lineRule="auto"/>
        <w:ind w:left="720" w:hanging="720"/>
        <w:jc w:val="both"/>
        <w:rPr>
          <w:rFonts w:asciiTheme="majorBidi" w:hAnsiTheme="majorBidi" w:cstheme="majorBidi"/>
        </w:rPr>
      </w:pPr>
      <w:r w:rsidRPr="00B92144">
        <w:rPr>
          <w:rFonts w:asciiTheme="majorBidi" w:hAnsiTheme="majorBidi" w:cstheme="majorBidi"/>
        </w:rPr>
        <w:t>KPMG (2009), Focus on Transparency: Trends in the Presentation of Financial Statements and Disclosure of Information by European Banks, KPMG, London.</w:t>
      </w:r>
    </w:p>
    <w:p w14:paraId="708DFABC"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Krippendorff, K. (1980). Validity in Content Analysis. </w:t>
      </w:r>
      <w:r w:rsidRPr="00B92144">
        <w:rPr>
          <w:rFonts w:asciiTheme="majorBidi" w:hAnsiTheme="majorBidi" w:cstheme="majorBidi"/>
          <w:i/>
          <w:iCs/>
        </w:rPr>
        <w:t>Computerstrategien für die Kommunikationsanalyse</w:t>
      </w:r>
      <w:r w:rsidRPr="00B92144">
        <w:rPr>
          <w:rFonts w:asciiTheme="majorBidi" w:hAnsiTheme="majorBidi" w:cstheme="majorBidi"/>
        </w:rPr>
        <w:t>, 69‑112.</w:t>
      </w:r>
    </w:p>
    <w:p w14:paraId="11D8EE51"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Krippendorff, K. (2007). Reliability in Content Analysis. </w:t>
      </w:r>
      <w:r w:rsidRPr="00B92144">
        <w:rPr>
          <w:rFonts w:asciiTheme="majorBidi" w:hAnsiTheme="majorBidi" w:cstheme="majorBidi"/>
          <w:i/>
          <w:iCs/>
        </w:rPr>
        <w:t>Human Communication Research</w:t>
      </w:r>
      <w:r w:rsidRPr="00B92144">
        <w:rPr>
          <w:rFonts w:asciiTheme="majorBidi" w:hAnsiTheme="majorBidi" w:cstheme="majorBidi"/>
        </w:rPr>
        <w:t xml:space="preserve">, </w:t>
      </w:r>
      <w:r w:rsidRPr="00B92144">
        <w:rPr>
          <w:rFonts w:asciiTheme="majorBidi" w:hAnsiTheme="majorBidi" w:cstheme="majorBidi"/>
          <w:i/>
          <w:iCs/>
        </w:rPr>
        <w:t>30</w:t>
      </w:r>
      <w:r w:rsidRPr="00B92144">
        <w:rPr>
          <w:rFonts w:asciiTheme="majorBidi" w:hAnsiTheme="majorBidi" w:cstheme="majorBidi"/>
        </w:rPr>
        <w:t xml:space="preserve">(3), 411‑433. </w:t>
      </w:r>
    </w:p>
    <w:p w14:paraId="4A3B622E"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Krippendorff, K. (2010). </w:t>
      </w:r>
      <w:r w:rsidRPr="00B92144">
        <w:rPr>
          <w:rFonts w:asciiTheme="majorBidi" w:hAnsiTheme="majorBidi" w:cstheme="majorBidi"/>
          <w:i/>
          <w:iCs/>
        </w:rPr>
        <w:t>On Communicating: Otherness, Meaning, and Information</w:t>
      </w:r>
      <w:r w:rsidRPr="00B92144">
        <w:rPr>
          <w:rFonts w:asciiTheme="majorBidi" w:hAnsiTheme="majorBidi" w:cstheme="majorBidi"/>
        </w:rPr>
        <w:t>. Routledge.</w:t>
      </w:r>
    </w:p>
    <w:p w14:paraId="633266DC"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Laksmana, I. (2008). Corporate Board Governance and Voluntary Disclosure of Executive Compensation Practices*. </w:t>
      </w:r>
      <w:r w:rsidRPr="00B92144">
        <w:rPr>
          <w:rFonts w:asciiTheme="majorBidi" w:hAnsiTheme="majorBidi" w:cstheme="majorBidi"/>
          <w:i/>
          <w:iCs/>
        </w:rPr>
        <w:t>Contemporary Accounting Research</w:t>
      </w:r>
      <w:r w:rsidRPr="00B92144">
        <w:rPr>
          <w:rFonts w:asciiTheme="majorBidi" w:hAnsiTheme="majorBidi" w:cstheme="majorBidi"/>
        </w:rPr>
        <w:t xml:space="preserve">, </w:t>
      </w:r>
      <w:r w:rsidRPr="00B92144">
        <w:rPr>
          <w:rFonts w:asciiTheme="majorBidi" w:hAnsiTheme="majorBidi" w:cstheme="majorBidi"/>
          <w:i/>
          <w:iCs/>
        </w:rPr>
        <w:t>25</w:t>
      </w:r>
      <w:r w:rsidRPr="00B92144">
        <w:rPr>
          <w:rFonts w:asciiTheme="majorBidi" w:hAnsiTheme="majorBidi" w:cstheme="majorBidi"/>
        </w:rPr>
        <w:t xml:space="preserve">(4), 1147‑1182. </w:t>
      </w:r>
    </w:p>
    <w:p w14:paraId="1FA0F232"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Larrinaga, C., Bebbington, J., &amp; Moneva, J. M. (2008). Corporate social reporting and reputation risk management. </w:t>
      </w:r>
      <w:r w:rsidRPr="00B92144">
        <w:rPr>
          <w:rFonts w:asciiTheme="majorBidi" w:hAnsiTheme="majorBidi" w:cstheme="majorBidi"/>
          <w:i/>
          <w:iCs/>
        </w:rPr>
        <w:t>Accounting, Auditing &amp; Accountability Journal</w:t>
      </w:r>
      <w:r w:rsidRPr="00B92144">
        <w:rPr>
          <w:rFonts w:asciiTheme="majorBidi" w:hAnsiTheme="majorBidi" w:cstheme="majorBidi"/>
        </w:rPr>
        <w:t xml:space="preserve">, </w:t>
      </w:r>
      <w:r w:rsidRPr="00B92144">
        <w:rPr>
          <w:rFonts w:asciiTheme="majorBidi" w:hAnsiTheme="majorBidi" w:cstheme="majorBidi"/>
          <w:i/>
          <w:iCs/>
        </w:rPr>
        <w:t>21</w:t>
      </w:r>
      <w:r w:rsidRPr="00B92144">
        <w:rPr>
          <w:rFonts w:asciiTheme="majorBidi" w:hAnsiTheme="majorBidi" w:cstheme="majorBidi"/>
        </w:rPr>
        <w:t xml:space="preserve">(3), 337‑361. </w:t>
      </w:r>
    </w:p>
    <w:p w14:paraId="7C782DB2"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Leftwich, R., Watts, R., &amp; Zimmerman, J. (1981). Voluntary Corporate Disclosure - The Case of Interim Reporting. </w:t>
      </w:r>
      <w:r w:rsidRPr="00B92144">
        <w:rPr>
          <w:rFonts w:asciiTheme="majorBidi" w:hAnsiTheme="majorBidi" w:cstheme="majorBidi"/>
          <w:i/>
          <w:iCs/>
        </w:rPr>
        <w:t>Journal of Accounting Research</w:t>
      </w:r>
      <w:r w:rsidRPr="00B92144">
        <w:rPr>
          <w:rFonts w:asciiTheme="majorBidi" w:hAnsiTheme="majorBidi" w:cstheme="majorBidi"/>
        </w:rPr>
        <w:t xml:space="preserve">, </w:t>
      </w:r>
      <w:r w:rsidRPr="00B92144">
        <w:rPr>
          <w:rFonts w:asciiTheme="majorBidi" w:hAnsiTheme="majorBidi" w:cstheme="majorBidi"/>
          <w:i/>
          <w:iCs/>
        </w:rPr>
        <w:t>19</w:t>
      </w:r>
      <w:r w:rsidRPr="00B92144">
        <w:rPr>
          <w:rFonts w:asciiTheme="majorBidi" w:hAnsiTheme="majorBidi" w:cstheme="majorBidi"/>
        </w:rPr>
        <w:t>, 50‑77.</w:t>
      </w:r>
    </w:p>
    <w:p w14:paraId="297DF516"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lang w:val="fr-FR"/>
        </w:rPr>
        <w:t xml:space="preserve">Lima Rodrigues, L., Oliveira, L., &amp; Craig, R. (2006). </w:t>
      </w:r>
      <w:r w:rsidRPr="00B92144">
        <w:rPr>
          <w:rFonts w:asciiTheme="majorBidi" w:hAnsiTheme="majorBidi" w:cstheme="majorBidi"/>
        </w:rPr>
        <w:t xml:space="preserve">Firm‐specific determinants of intangibles reporting: evidence from the Portuguese stock market. </w:t>
      </w:r>
      <w:r w:rsidRPr="00B92144">
        <w:rPr>
          <w:rFonts w:asciiTheme="majorBidi" w:hAnsiTheme="majorBidi" w:cstheme="majorBidi"/>
          <w:i/>
          <w:iCs/>
        </w:rPr>
        <w:t>Journal of Human Resource Costing &amp; Accounting</w:t>
      </w:r>
      <w:r w:rsidRPr="00B92144">
        <w:rPr>
          <w:rFonts w:asciiTheme="majorBidi" w:hAnsiTheme="majorBidi" w:cstheme="majorBidi"/>
        </w:rPr>
        <w:t xml:space="preserve">, </w:t>
      </w:r>
      <w:r w:rsidRPr="00B92144">
        <w:rPr>
          <w:rFonts w:asciiTheme="majorBidi" w:hAnsiTheme="majorBidi" w:cstheme="majorBidi"/>
          <w:i/>
          <w:iCs/>
        </w:rPr>
        <w:t>10</w:t>
      </w:r>
      <w:r w:rsidRPr="00B92144">
        <w:rPr>
          <w:rFonts w:asciiTheme="majorBidi" w:hAnsiTheme="majorBidi" w:cstheme="majorBidi"/>
        </w:rPr>
        <w:t>(1), 11‑33.</w:t>
      </w:r>
    </w:p>
    <w:p w14:paraId="6030045D" w14:textId="77777777" w:rsidR="00291449" w:rsidRPr="00B92144" w:rsidRDefault="00291449" w:rsidP="00291449">
      <w:pPr>
        <w:autoSpaceDE w:val="0"/>
        <w:autoSpaceDN w:val="0"/>
        <w:adjustRightInd w:val="0"/>
        <w:spacing w:after="0" w:line="240" w:lineRule="auto"/>
        <w:ind w:left="720" w:hanging="720"/>
        <w:jc w:val="both"/>
        <w:rPr>
          <w:rFonts w:asciiTheme="majorBidi" w:hAnsiTheme="majorBidi" w:cstheme="majorBidi"/>
          <w:b/>
          <w:bCs/>
        </w:rPr>
      </w:pPr>
      <w:r w:rsidRPr="00B92144">
        <w:rPr>
          <w:rFonts w:asciiTheme="majorBidi" w:hAnsiTheme="majorBidi" w:cstheme="majorBidi"/>
          <w:color w:val="222222"/>
          <w:shd w:val="clear" w:color="auto" w:fill="FFFFFF"/>
        </w:rPr>
        <w:t>Lindblom C.K. (1994) "The implications of organizational legitimacy for corporate social performance and disclosure", Paper presented at the Critical Perspectives on Accounting Conference, New York.</w:t>
      </w:r>
    </w:p>
    <w:p w14:paraId="2D24468B" w14:textId="77777777" w:rsidR="00291449" w:rsidRPr="00B92144" w:rsidRDefault="00291449" w:rsidP="00291449">
      <w:pPr>
        <w:autoSpaceDE w:val="0"/>
        <w:autoSpaceDN w:val="0"/>
        <w:adjustRightInd w:val="0"/>
        <w:spacing w:after="0" w:line="240" w:lineRule="auto"/>
        <w:ind w:left="720" w:hanging="720"/>
        <w:jc w:val="both"/>
        <w:rPr>
          <w:rFonts w:asciiTheme="majorBidi" w:hAnsiTheme="majorBidi" w:cstheme="majorBidi"/>
          <w:b/>
          <w:bCs/>
        </w:rPr>
      </w:pPr>
      <w:r w:rsidRPr="00B92144">
        <w:rPr>
          <w:rFonts w:asciiTheme="majorBidi" w:hAnsiTheme="majorBidi" w:cstheme="majorBidi"/>
          <w:color w:val="1D1D1D"/>
          <w:shd w:val="clear" w:color="auto" w:fill="FFFFFF"/>
        </w:rPr>
        <w:t>Linsley, P. M., &amp; Shrives, P. J. (2003). </w:t>
      </w:r>
      <w:r w:rsidRPr="00B92144">
        <w:rPr>
          <w:rStyle w:val="Emphasis"/>
          <w:rFonts w:asciiTheme="majorBidi" w:hAnsiTheme="majorBidi" w:cstheme="majorBidi"/>
          <w:color w:val="1D1D1D"/>
          <w:shd w:val="clear" w:color="auto" w:fill="FFFFFF"/>
        </w:rPr>
        <w:t>Risk reporting by German and UK companies: hot air or meaningful disclosure</w:t>
      </w:r>
      <w:r w:rsidRPr="00B92144">
        <w:rPr>
          <w:rFonts w:asciiTheme="majorBidi" w:hAnsiTheme="majorBidi" w:cstheme="majorBidi"/>
          <w:color w:val="1D1D1D"/>
          <w:shd w:val="clear" w:color="auto" w:fill="FFFFFF"/>
        </w:rPr>
        <w:t>. Paper presented at Financial Reporting and Business Communication conference, Cardiff, United Kingdom.</w:t>
      </w:r>
    </w:p>
    <w:p w14:paraId="63B30568"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Linsley, P. M., &amp; Shrives, P. J. (2006). Risk reporting: A study of risk disclosures in the annual reports of UK companies. </w:t>
      </w:r>
      <w:r w:rsidRPr="00B92144">
        <w:rPr>
          <w:rFonts w:asciiTheme="majorBidi" w:hAnsiTheme="majorBidi" w:cstheme="majorBidi"/>
          <w:i/>
          <w:iCs/>
        </w:rPr>
        <w:t>British Accounting Review</w:t>
      </w:r>
      <w:r w:rsidRPr="00B92144">
        <w:rPr>
          <w:rFonts w:asciiTheme="majorBidi" w:hAnsiTheme="majorBidi" w:cstheme="majorBidi"/>
        </w:rPr>
        <w:t xml:space="preserve">, </w:t>
      </w:r>
      <w:r w:rsidRPr="00B92144">
        <w:rPr>
          <w:rFonts w:asciiTheme="majorBidi" w:hAnsiTheme="majorBidi" w:cstheme="majorBidi"/>
          <w:i/>
          <w:iCs/>
        </w:rPr>
        <w:t>38</w:t>
      </w:r>
      <w:r w:rsidRPr="00B92144">
        <w:rPr>
          <w:rFonts w:asciiTheme="majorBidi" w:hAnsiTheme="majorBidi" w:cstheme="majorBidi"/>
        </w:rPr>
        <w:t>, 387‑404.</w:t>
      </w:r>
    </w:p>
    <w:p w14:paraId="65E3487C"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Linsley, P., &amp; Kajuter, P. (2008). Restoring reputation and repairing legitimacy: a case study of impression management in response to a major risk event at Allied Irish Banks plc. </w:t>
      </w:r>
      <w:r w:rsidRPr="00B92144">
        <w:rPr>
          <w:rFonts w:asciiTheme="majorBidi" w:hAnsiTheme="majorBidi" w:cstheme="majorBidi"/>
          <w:i/>
          <w:iCs/>
        </w:rPr>
        <w:t>International Journal of Financial Services Management</w:t>
      </w:r>
      <w:r w:rsidRPr="00B92144">
        <w:rPr>
          <w:rFonts w:asciiTheme="majorBidi" w:hAnsiTheme="majorBidi" w:cstheme="majorBidi"/>
        </w:rPr>
        <w:t xml:space="preserve">, </w:t>
      </w:r>
      <w:r w:rsidRPr="00B92144">
        <w:rPr>
          <w:rFonts w:asciiTheme="majorBidi" w:hAnsiTheme="majorBidi" w:cstheme="majorBidi"/>
          <w:i/>
          <w:iCs/>
        </w:rPr>
        <w:t>3</w:t>
      </w:r>
      <w:r w:rsidRPr="00B92144">
        <w:rPr>
          <w:rFonts w:asciiTheme="majorBidi" w:hAnsiTheme="majorBidi" w:cstheme="majorBidi"/>
        </w:rPr>
        <w:t xml:space="preserve">(1), 65‑82. </w:t>
      </w:r>
    </w:p>
    <w:p w14:paraId="5B60B7DA"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Linsley, Philip M., et al. (2006). Risk disclosure: An exploratory study of UK and Canadian banks. </w:t>
      </w:r>
      <w:r w:rsidRPr="00B92144">
        <w:rPr>
          <w:rFonts w:asciiTheme="majorBidi" w:hAnsiTheme="majorBidi" w:cstheme="majorBidi"/>
          <w:i/>
          <w:iCs/>
        </w:rPr>
        <w:t>Journal of Banking Regulation</w:t>
      </w:r>
      <w:r w:rsidRPr="00B92144">
        <w:rPr>
          <w:rFonts w:asciiTheme="majorBidi" w:hAnsiTheme="majorBidi" w:cstheme="majorBidi"/>
        </w:rPr>
        <w:t xml:space="preserve">, </w:t>
      </w:r>
      <w:r w:rsidRPr="00B92144">
        <w:rPr>
          <w:rFonts w:asciiTheme="majorBidi" w:hAnsiTheme="majorBidi" w:cstheme="majorBidi"/>
          <w:i/>
          <w:iCs/>
        </w:rPr>
        <w:t>7</w:t>
      </w:r>
      <w:r w:rsidRPr="00B92144">
        <w:rPr>
          <w:rFonts w:asciiTheme="majorBidi" w:hAnsiTheme="majorBidi" w:cstheme="majorBidi"/>
        </w:rPr>
        <w:t xml:space="preserve">(3‑4), 268‑282. </w:t>
      </w:r>
    </w:p>
    <w:p w14:paraId="287A1B3C"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p>
    <w:p w14:paraId="6F739BFE" w14:textId="23031F0D"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Lopes, P. T., &amp; Rodrigues, L. L. (2007). Accounting for financial instruments: An analysis of the determinants of disclosure in the Portuguese stock exchange. </w:t>
      </w:r>
      <w:r w:rsidRPr="00B92144">
        <w:rPr>
          <w:rFonts w:asciiTheme="majorBidi" w:hAnsiTheme="majorBidi" w:cstheme="majorBidi"/>
          <w:i/>
          <w:iCs/>
        </w:rPr>
        <w:t>The International Journal of Accounting</w:t>
      </w:r>
      <w:r w:rsidRPr="00B92144">
        <w:rPr>
          <w:rFonts w:asciiTheme="majorBidi" w:hAnsiTheme="majorBidi" w:cstheme="majorBidi"/>
        </w:rPr>
        <w:t xml:space="preserve">, </w:t>
      </w:r>
      <w:r w:rsidRPr="00B92144">
        <w:rPr>
          <w:rFonts w:asciiTheme="majorBidi" w:hAnsiTheme="majorBidi" w:cstheme="majorBidi"/>
          <w:i/>
          <w:iCs/>
        </w:rPr>
        <w:t>42</w:t>
      </w:r>
      <w:r w:rsidRPr="00B92144">
        <w:rPr>
          <w:rFonts w:asciiTheme="majorBidi" w:hAnsiTheme="majorBidi" w:cstheme="majorBidi"/>
        </w:rPr>
        <w:t xml:space="preserve">(1), 25‑56. </w:t>
      </w:r>
    </w:p>
    <w:p w14:paraId="49CB08F8" w14:textId="03AC6494" w:rsidR="00CB06D2" w:rsidRPr="00B92144" w:rsidRDefault="00CB06D2"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lastRenderedPageBreak/>
        <w:t>LLSV (1998). "Law and Finance." Journal of Political Economy 106(6): 1113-1155.</w:t>
      </w:r>
    </w:p>
    <w:p w14:paraId="41345F40"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Magnan, M., &amp; Markarian, G. (2011). Accounting, Governance and the Crisis: Is Risk the Missing Link? </w:t>
      </w:r>
      <w:r w:rsidRPr="00B92144">
        <w:rPr>
          <w:rFonts w:asciiTheme="majorBidi" w:hAnsiTheme="majorBidi" w:cstheme="majorBidi"/>
          <w:i/>
          <w:iCs/>
        </w:rPr>
        <w:t>European Accounting Review</w:t>
      </w:r>
      <w:r w:rsidRPr="00B92144">
        <w:rPr>
          <w:rFonts w:asciiTheme="majorBidi" w:hAnsiTheme="majorBidi" w:cstheme="majorBidi"/>
        </w:rPr>
        <w:t xml:space="preserve">, </w:t>
      </w:r>
      <w:r w:rsidRPr="00B92144">
        <w:rPr>
          <w:rFonts w:asciiTheme="majorBidi" w:hAnsiTheme="majorBidi" w:cstheme="majorBidi"/>
          <w:i/>
          <w:iCs/>
        </w:rPr>
        <w:t>20</w:t>
      </w:r>
      <w:r w:rsidRPr="00B92144">
        <w:rPr>
          <w:rFonts w:asciiTheme="majorBidi" w:hAnsiTheme="majorBidi" w:cstheme="majorBidi"/>
        </w:rPr>
        <w:t xml:space="preserve">(2), 215‑231. </w:t>
      </w:r>
    </w:p>
    <w:p w14:paraId="1136FD62"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Magness, V. (2006). Strategic posture, financial performance and environmental disclosure: An empirical test of legitimacy theory. </w:t>
      </w:r>
      <w:r w:rsidRPr="00B92144">
        <w:rPr>
          <w:rFonts w:asciiTheme="majorBidi" w:hAnsiTheme="majorBidi" w:cstheme="majorBidi"/>
          <w:i/>
          <w:iCs/>
        </w:rPr>
        <w:t>Accounting, Auditing &amp; Accountability Journal</w:t>
      </w:r>
      <w:r w:rsidRPr="00B92144">
        <w:rPr>
          <w:rFonts w:asciiTheme="majorBidi" w:hAnsiTheme="majorBidi" w:cstheme="majorBidi"/>
        </w:rPr>
        <w:t xml:space="preserve">, </w:t>
      </w:r>
      <w:r w:rsidRPr="00B92144">
        <w:rPr>
          <w:rFonts w:asciiTheme="majorBidi" w:hAnsiTheme="majorBidi" w:cstheme="majorBidi"/>
          <w:i/>
          <w:iCs/>
        </w:rPr>
        <w:t>19</w:t>
      </w:r>
      <w:r w:rsidRPr="00B92144">
        <w:rPr>
          <w:rFonts w:asciiTheme="majorBidi" w:hAnsiTheme="majorBidi" w:cstheme="majorBidi"/>
        </w:rPr>
        <w:t xml:space="preserve">(4), 540‑563. </w:t>
      </w:r>
    </w:p>
    <w:p w14:paraId="05A357FF"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Malatesta, D., &amp; Smith, C. R. (2014). Lessons from Resource Dependence Theory for Contemporary Public and Nonprofit Management. </w:t>
      </w:r>
      <w:r w:rsidRPr="00B92144">
        <w:rPr>
          <w:rFonts w:asciiTheme="majorBidi" w:hAnsiTheme="majorBidi" w:cstheme="majorBidi"/>
          <w:i/>
          <w:iCs/>
        </w:rPr>
        <w:t>Public Administration Review</w:t>
      </w:r>
      <w:r w:rsidRPr="00B92144">
        <w:rPr>
          <w:rFonts w:asciiTheme="majorBidi" w:hAnsiTheme="majorBidi" w:cstheme="majorBidi"/>
        </w:rPr>
        <w:t xml:space="preserve">, </w:t>
      </w:r>
      <w:r w:rsidRPr="00B92144">
        <w:rPr>
          <w:rFonts w:asciiTheme="majorBidi" w:hAnsiTheme="majorBidi" w:cstheme="majorBidi"/>
          <w:i/>
          <w:iCs/>
        </w:rPr>
        <w:t>74</w:t>
      </w:r>
      <w:r w:rsidRPr="00B92144">
        <w:rPr>
          <w:rFonts w:asciiTheme="majorBidi" w:hAnsiTheme="majorBidi" w:cstheme="majorBidi"/>
        </w:rPr>
        <w:t xml:space="preserve">(1), 14‑25. </w:t>
      </w:r>
    </w:p>
    <w:p w14:paraId="6673785F"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Mallin, C., Farag, H., &amp; Ow-Yong, K. (2014). Corporate social responsibility and financial performance in Islamic banks. </w:t>
      </w:r>
      <w:r w:rsidRPr="00B92144">
        <w:rPr>
          <w:rFonts w:asciiTheme="majorBidi" w:hAnsiTheme="majorBidi" w:cstheme="majorBidi"/>
          <w:i/>
          <w:iCs/>
        </w:rPr>
        <w:t>Journal of Economic Behavior &amp; Organization</w:t>
      </w:r>
      <w:r w:rsidRPr="00B92144">
        <w:rPr>
          <w:rFonts w:asciiTheme="majorBidi" w:hAnsiTheme="majorBidi" w:cstheme="majorBidi"/>
        </w:rPr>
        <w:t xml:space="preserve">, </w:t>
      </w:r>
      <w:r w:rsidRPr="00B92144">
        <w:rPr>
          <w:rFonts w:asciiTheme="majorBidi" w:hAnsiTheme="majorBidi" w:cstheme="majorBidi"/>
          <w:i/>
          <w:iCs/>
        </w:rPr>
        <w:t>103</w:t>
      </w:r>
      <w:r w:rsidRPr="00B92144">
        <w:rPr>
          <w:rFonts w:asciiTheme="majorBidi" w:hAnsiTheme="majorBidi" w:cstheme="majorBidi"/>
        </w:rPr>
        <w:t xml:space="preserve">, S21‑S38. </w:t>
      </w:r>
    </w:p>
    <w:p w14:paraId="76DDD130"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Masulis, R., Wang, C., &amp; Xie, F. (2012). Globalizing the boardroom—The effects of foreign directors on corporate governance and firm performance. </w:t>
      </w:r>
      <w:r w:rsidRPr="00B92144">
        <w:rPr>
          <w:rFonts w:asciiTheme="majorBidi" w:hAnsiTheme="majorBidi" w:cstheme="majorBidi"/>
          <w:i/>
          <w:iCs/>
        </w:rPr>
        <w:t>Journal of Accounting and Economics</w:t>
      </w:r>
      <w:r w:rsidRPr="00B92144">
        <w:rPr>
          <w:rFonts w:asciiTheme="majorBidi" w:hAnsiTheme="majorBidi" w:cstheme="majorBidi"/>
        </w:rPr>
        <w:t xml:space="preserve">, </w:t>
      </w:r>
      <w:r w:rsidRPr="00B92144">
        <w:rPr>
          <w:rFonts w:asciiTheme="majorBidi" w:hAnsiTheme="majorBidi" w:cstheme="majorBidi"/>
          <w:i/>
          <w:iCs/>
        </w:rPr>
        <w:t>53</w:t>
      </w:r>
      <w:r w:rsidRPr="00B92144">
        <w:rPr>
          <w:rFonts w:asciiTheme="majorBidi" w:hAnsiTheme="majorBidi" w:cstheme="majorBidi"/>
        </w:rPr>
        <w:t>(3), 527‑554.</w:t>
      </w:r>
    </w:p>
    <w:p w14:paraId="36AF283B"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Mellett, H., &amp; Mokhtar, S. E. (2013). Competition, corporate governance, ownership structure and risk reporting. </w:t>
      </w:r>
      <w:r w:rsidRPr="00B92144">
        <w:rPr>
          <w:rFonts w:asciiTheme="majorBidi" w:hAnsiTheme="majorBidi" w:cstheme="majorBidi"/>
          <w:i/>
          <w:iCs/>
        </w:rPr>
        <w:t>Managerial Auditing Journal</w:t>
      </w:r>
      <w:r w:rsidRPr="00B92144">
        <w:rPr>
          <w:rFonts w:asciiTheme="majorBidi" w:hAnsiTheme="majorBidi" w:cstheme="majorBidi"/>
        </w:rPr>
        <w:t xml:space="preserve">, </w:t>
      </w:r>
      <w:r w:rsidRPr="00B92144">
        <w:rPr>
          <w:rFonts w:asciiTheme="majorBidi" w:hAnsiTheme="majorBidi" w:cstheme="majorBidi"/>
          <w:i/>
          <w:iCs/>
        </w:rPr>
        <w:t>28</w:t>
      </w:r>
      <w:r w:rsidRPr="00B92144">
        <w:rPr>
          <w:rFonts w:asciiTheme="majorBidi" w:hAnsiTheme="majorBidi" w:cstheme="majorBidi"/>
        </w:rPr>
        <w:t xml:space="preserve">(9), 838‑865. </w:t>
      </w:r>
    </w:p>
    <w:p w14:paraId="78A73AC5"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Michelon, G., &amp; Parbonetti, A. (2012). The effect of corporate governance on sustainability disclosure. </w:t>
      </w:r>
      <w:r w:rsidRPr="00B92144">
        <w:rPr>
          <w:rFonts w:asciiTheme="majorBidi" w:hAnsiTheme="majorBidi" w:cstheme="majorBidi"/>
          <w:i/>
          <w:iCs/>
        </w:rPr>
        <w:t>Journal of Management &amp; Governance</w:t>
      </w:r>
      <w:r w:rsidRPr="00B92144">
        <w:rPr>
          <w:rFonts w:asciiTheme="majorBidi" w:hAnsiTheme="majorBidi" w:cstheme="majorBidi"/>
        </w:rPr>
        <w:t xml:space="preserve">, </w:t>
      </w:r>
      <w:r w:rsidRPr="00B92144">
        <w:rPr>
          <w:rFonts w:asciiTheme="majorBidi" w:hAnsiTheme="majorBidi" w:cstheme="majorBidi"/>
          <w:i/>
          <w:iCs/>
        </w:rPr>
        <w:t>16</w:t>
      </w:r>
      <w:r w:rsidRPr="00B92144">
        <w:rPr>
          <w:rFonts w:asciiTheme="majorBidi" w:hAnsiTheme="majorBidi" w:cstheme="majorBidi"/>
        </w:rPr>
        <w:t>(3), 477‑509.</w:t>
      </w:r>
    </w:p>
    <w:p w14:paraId="42868184"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Miihkinen, A. (2012). What Drives Quality of Firm Risk Disclosure?: The Impact of a National Disclosure Standard and Reporting Incentives under IFRS. </w:t>
      </w:r>
      <w:r w:rsidRPr="00B92144">
        <w:rPr>
          <w:rFonts w:asciiTheme="majorBidi" w:hAnsiTheme="majorBidi" w:cstheme="majorBidi"/>
          <w:i/>
          <w:iCs/>
        </w:rPr>
        <w:t>The International Journal of Accounting</w:t>
      </w:r>
      <w:r w:rsidRPr="00B92144">
        <w:rPr>
          <w:rFonts w:asciiTheme="majorBidi" w:hAnsiTheme="majorBidi" w:cstheme="majorBidi"/>
        </w:rPr>
        <w:t xml:space="preserve">, </w:t>
      </w:r>
      <w:r w:rsidRPr="00B92144">
        <w:rPr>
          <w:rFonts w:asciiTheme="majorBidi" w:hAnsiTheme="majorBidi" w:cstheme="majorBidi"/>
          <w:i/>
          <w:iCs/>
        </w:rPr>
        <w:t>47</w:t>
      </w:r>
      <w:r w:rsidRPr="00B92144">
        <w:rPr>
          <w:rFonts w:asciiTheme="majorBidi" w:hAnsiTheme="majorBidi" w:cstheme="majorBidi"/>
        </w:rPr>
        <w:t xml:space="preserve">(4), 437‑468. </w:t>
      </w:r>
    </w:p>
    <w:p w14:paraId="3D2378CC"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Mitchell, R. K., Agle, B. R., &amp; Wood, D. J. (1997). Toward a Theory of Stakeholder Identification and Salience: Defining the Principle of Who and What Really Counts. </w:t>
      </w:r>
      <w:r w:rsidRPr="00B92144">
        <w:rPr>
          <w:rFonts w:asciiTheme="majorBidi" w:hAnsiTheme="majorBidi" w:cstheme="majorBidi"/>
          <w:i/>
          <w:iCs/>
        </w:rPr>
        <w:t>The Academy of Management Review</w:t>
      </w:r>
      <w:r w:rsidRPr="00B92144">
        <w:rPr>
          <w:rFonts w:asciiTheme="majorBidi" w:hAnsiTheme="majorBidi" w:cstheme="majorBidi"/>
        </w:rPr>
        <w:t xml:space="preserve">, </w:t>
      </w:r>
      <w:r w:rsidRPr="00B92144">
        <w:rPr>
          <w:rFonts w:asciiTheme="majorBidi" w:hAnsiTheme="majorBidi" w:cstheme="majorBidi"/>
          <w:i/>
          <w:iCs/>
        </w:rPr>
        <w:t>22</w:t>
      </w:r>
      <w:r w:rsidRPr="00B92144">
        <w:rPr>
          <w:rFonts w:asciiTheme="majorBidi" w:hAnsiTheme="majorBidi" w:cstheme="majorBidi"/>
        </w:rPr>
        <w:t xml:space="preserve">(4), 853‑886. </w:t>
      </w:r>
    </w:p>
    <w:p w14:paraId="14DE0DC4"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Mohobbot A.M., (2005). Corporate risk reporting practices in annual reports of Japanese companies. </w:t>
      </w:r>
      <w:r w:rsidRPr="00B92144">
        <w:rPr>
          <w:rFonts w:asciiTheme="majorBidi" w:hAnsiTheme="majorBidi" w:cstheme="majorBidi"/>
          <w:i/>
          <w:iCs/>
        </w:rPr>
        <w:t>Japanese Journal of Accounting</w:t>
      </w:r>
      <w:r w:rsidRPr="00B92144">
        <w:rPr>
          <w:rFonts w:asciiTheme="majorBidi" w:hAnsiTheme="majorBidi" w:cstheme="majorBidi"/>
        </w:rPr>
        <w:t>, 113‑133.</w:t>
      </w:r>
    </w:p>
    <w:p w14:paraId="25C2E202"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Moumen, N., Ben Othman, H., &amp; Hussainey, K. (2015). The value relevance of risk disclosure in annual reports: Evidence from MENA emerging markets. </w:t>
      </w:r>
      <w:r w:rsidRPr="00B92144">
        <w:rPr>
          <w:rFonts w:asciiTheme="majorBidi" w:hAnsiTheme="majorBidi" w:cstheme="majorBidi"/>
          <w:i/>
          <w:iCs/>
        </w:rPr>
        <w:t>Research in International Business and Finance</w:t>
      </w:r>
      <w:r w:rsidRPr="00B92144">
        <w:rPr>
          <w:rFonts w:asciiTheme="majorBidi" w:hAnsiTheme="majorBidi" w:cstheme="majorBidi"/>
        </w:rPr>
        <w:t xml:space="preserve">, </w:t>
      </w:r>
      <w:r w:rsidRPr="00B92144">
        <w:rPr>
          <w:rFonts w:asciiTheme="majorBidi" w:hAnsiTheme="majorBidi" w:cstheme="majorBidi"/>
          <w:i/>
          <w:iCs/>
        </w:rPr>
        <w:t>34</w:t>
      </w:r>
      <w:r w:rsidRPr="00B92144">
        <w:rPr>
          <w:rFonts w:asciiTheme="majorBidi" w:hAnsiTheme="majorBidi" w:cstheme="majorBidi"/>
        </w:rPr>
        <w:t>(C), 177‑204.</w:t>
      </w:r>
    </w:p>
    <w:p w14:paraId="40653D58"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Moumen, N., Ben Othman, H., &amp; Hussainey, K. (2016). Board structure and the informativeness of risk disclosure: Evidence from MENA emerging markets. </w:t>
      </w:r>
      <w:r w:rsidRPr="00B92144">
        <w:rPr>
          <w:rFonts w:asciiTheme="majorBidi" w:hAnsiTheme="majorBidi" w:cstheme="majorBidi"/>
          <w:i/>
          <w:iCs/>
        </w:rPr>
        <w:t>Advances in Accounting</w:t>
      </w:r>
      <w:r w:rsidRPr="00B92144">
        <w:rPr>
          <w:rFonts w:asciiTheme="majorBidi" w:hAnsiTheme="majorBidi" w:cstheme="majorBidi"/>
        </w:rPr>
        <w:t xml:space="preserve">, </w:t>
      </w:r>
      <w:r w:rsidRPr="00B92144">
        <w:rPr>
          <w:rFonts w:asciiTheme="majorBidi" w:hAnsiTheme="majorBidi" w:cstheme="majorBidi"/>
          <w:i/>
          <w:iCs/>
        </w:rPr>
        <w:t>35</w:t>
      </w:r>
      <w:r w:rsidRPr="00B92144">
        <w:rPr>
          <w:rFonts w:asciiTheme="majorBidi" w:hAnsiTheme="majorBidi" w:cstheme="majorBidi"/>
        </w:rPr>
        <w:t xml:space="preserve">, 82‑97. </w:t>
      </w:r>
    </w:p>
    <w:p w14:paraId="06EF31EA"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lang w:val="fr-FR"/>
        </w:rPr>
        <w:t xml:space="preserve">Mousa, G. A., &amp; Elamir, E. A. H. (2014). </w:t>
      </w:r>
      <w:r w:rsidRPr="00B92144">
        <w:rPr>
          <w:rFonts w:asciiTheme="majorBidi" w:hAnsiTheme="majorBidi" w:cstheme="majorBidi"/>
        </w:rPr>
        <w:t xml:space="preserve">The effect of governance mechanisms on the quality of risk disclosure: using bootstrap techniques. </w:t>
      </w:r>
      <w:r w:rsidRPr="00B92144">
        <w:rPr>
          <w:rFonts w:asciiTheme="majorBidi" w:hAnsiTheme="majorBidi" w:cstheme="majorBidi"/>
          <w:i/>
          <w:iCs/>
        </w:rPr>
        <w:t>American Journal of Finance and Accounting</w:t>
      </w:r>
      <w:r w:rsidRPr="00B92144">
        <w:rPr>
          <w:rFonts w:asciiTheme="majorBidi" w:hAnsiTheme="majorBidi" w:cstheme="majorBidi"/>
        </w:rPr>
        <w:t xml:space="preserve">, </w:t>
      </w:r>
      <w:r w:rsidRPr="00B92144">
        <w:rPr>
          <w:rFonts w:asciiTheme="majorBidi" w:hAnsiTheme="majorBidi" w:cstheme="majorBidi"/>
          <w:i/>
          <w:iCs/>
        </w:rPr>
        <w:t>3</w:t>
      </w:r>
      <w:r w:rsidRPr="00B92144">
        <w:rPr>
          <w:rFonts w:asciiTheme="majorBidi" w:hAnsiTheme="majorBidi" w:cstheme="majorBidi"/>
        </w:rPr>
        <w:t>(2/3/4), 128‑151.</w:t>
      </w:r>
    </w:p>
    <w:p w14:paraId="215A826D"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Nahar, S., Azim, M., &amp; Jubb, C. (2016). The determinants of risk disclosure by banking institutions: Evidence from Bangladesh. </w:t>
      </w:r>
      <w:r w:rsidRPr="00B92144">
        <w:rPr>
          <w:rFonts w:asciiTheme="majorBidi" w:hAnsiTheme="majorBidi" w:cstheme="majorBidi"/>
          <w:i/>
          <w:iCs/>
        </w:rPr>
        <w:t>Asian Review of Accounting</w:t>
      </w:r>
      <w:r w:rsidRPr="00B92144">
        <w:rPr>
          <w:rFonts w:asciiTheme="majorBidi" w:hAnsiTheme="majorBidi" w:cstheme="majorBidi"/>
        </w:rPr>
        <w:t xml:space="preserve">, </w:t>
      </w:r>
      <w:r w:rsidRPr="00B92144">
        <w:rPr>
          <w:rFonts w:asciiTheme="majorBidi" w:hAnsiTheme="majorBidi" w:cstheme="majorBidi"/>
          <w:i/>
          <w:iCs/>
        </w:rPr>
        <w:t>24</w:t>
      </w:r>
      <w:r w:rsidRPr="00B92144">
        <w:rPr>
          <w:rFonts w:asciiTheme="majorBidi" w:hAnsiTheme="majorBidi" w:cstheme="majorBidi"/>
        </w:rPr>
        <w:t xml:space="preserve">(4), 426‑444. </w:t>
      </w:r>
    </w:p>
    <w:p w14:paraId="284A4DB7" w14:textId="77777777" w:rsidR="00291449" w:rsidRPr="00B92144" w:rsidRDefault="00291449" w:rsidP="00291449">
      <w:pPr>
        <w:autoSpaceDE w:val="0"/>
        <w:autoSpaceDN w:val="0"/>
        <w:adjustRightInd w:val="0"/>
        <w:spacing w:after="0" w:line="240" w:lineRule="auto"/>
        <w:ind w:left="720" w:hanging="720"/>
        <w:jc w:val="both"/>
        <w:rPr>
          <w:rFonts w:asciiTheme="majorBidi" w:hAnsiTheme="majorBidi" w:cstheme="majorBidi"/>
          <w:b/>
          <w:bCs/>
        </w:rPr>
      </w:pPr>
      <w:r w:rsidRPr="00B92144">
        <w:rPr>
          <w:rFonts w:asciiTheme="majorBidi" w:hAnsiTheme="majorBidi" w:cstheme="majorBidi"/>
          <w:color w:val="222222"/>
          <w:shd w:val="clear" w:color="auto" w:fill="FFFFFF"/>
        </w:rPr>
        <w:t>Nasr, S. (2011). Islamic finance in the Arab world: Challenges and prospects. </w:t>
      </w:r>
      <w:r w:rsidRPr="00B92144">
        <w:rPr>
          <w:rFonts w:asciiTheme="majorBidi" w:hAnsiTheme="majorBidi" w:cstheme="majorBidi"/>
          <w:i/>
          <w:iCs/>
          <w:color w:val="222222"/>
          <w:shd w:val="clear" w:color="auto" w:fill="FFFFFF"/>
        </w:rPr>
        <w:t>Cambridge, England: University of Cambridge</w:t>
      </w:r>
      <w:r w:rsidRPr="00B92144">
        <w:rPr>
          <w:rFonts w:asciiTheme="majorBidi" w:hAnsiTheme="majorBidi" w:cstheme="majorBidi"/>
          <w:color w:val="222222"/>
          <w:shd w:val="clear" w:color="auto" w:fill="FFFFFF"/>
        </w:rPr>
        <w:t>.</w:t>
      </w:r>
    </w:p>
    <w:p w14:paraId="45942F36"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Neifar, S., &amp; Jarboui, A. (2017). Corporate governance and operational risk voluntary disclosure: Evidence from Islamic banks. </w:t>
      </w:r>
      <w:r w:rsidRPr="00B92144">
        <w:rPr>
          <w:rFonts w:asciiTheme="majorBidi" w:hAnsiTheme="majorBidi" w:cstheme="majorBidi"/>
          <w:i/>
          <w:iCs/>
        </w:rPr>
        <w:t>Research in International Business and Finance</w:t>
      </w:r>
      <w:r w:rsidRPr="00B92144">
        <w:rPr>
          <w:rFonts w:asciiTheme="majorBidi" w:hAnsiTheme="majorBidi" w:cstheme="majorBidi"/>
        </w:rPr>
        <w:t xml:space="preserve">. </w:t>
      </w:r>
    </w:p>
    <w:p w14:paraId="60E3FA44"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Nier, E., &amp; Baumann, U. (2006). Market discipline, disclosure and moral hazard in banking. </w:t>
      </w:r>
      <w:r w:rsidRPr="00B92144">
        <w:rPr>
          <w:rFonts w:asciiTheme="majorBidi" w:hAnsiTheme="majorBidi" w:cstheme="majorBidi"/>
          <w:i/>
          <w:iCs/>
        </w:rPr>
        <w:t>Journal of Financial Intermediation</w:t>
      </w:r>
      <w:r w:rsidRPr="00B92144">
        <w:rPr>
          <w:rFonts w:asciiTheme="majorBidi" w:hAnsiTheme="majorBidi" w:cstheme="majorBidi"/>
        </w:rPr>
        <w:t xml:space="preserve">, </w:t>
      </w:r>
      <w:r w:rsidRPr="00B92144">
        <w:rPr>
          <w:rFonts w:asciiTheme="majorBidi" w:hAnsiTheme="majorBidi" w:cstheme="majorBidi"/>
          <w:i/>
          <w:iCs/>
        </w:rPr>
        <w:t>15</w:t>
      </w:r>
      <w:r w:rsidRPr="00B92144">
        <w:rPr>
          <w:rFonts w:asciiTheme="majorBidi" w:hAnsiTheme="majorBidi" w:cstheme="majorBidi"/>
        </w:rPr>
        <w:t>(3), 332‑361.</w:t>
      </w:r>
    </w:p>
    <w:p w14:paraId="2504DFC4"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Nikolaev, V., &amp; Lent, L. van. (2005). The endogeneity bias in the relation between cost-of-debt capital and corporate disclosure policy. </w:t>
      </w:r>
      <w:r w:rsidRPr="00B92144">
        <w:rPr>
          <w:rFonts w:asciiTheme="majorBidi" w:hAnsiTheme="majorBidi" w:cstheme="majorBidi"/>
          <w:i/>
          <w:iCs/>
        </w:rPr>
        <w:t>European Accounting Review</w:t>
      </w:r>
      <w:r w:rsidRPr="00B92144">
        <w:rPr>
          <w:rFonts w:asciiTheme="majorBidi" w:hAnsiTheme="majorBidi" w:cstheme="majorBidi"/>
        </w:rPr>
        <w:t xml:space="preserve">, </w:t>
      </w:r>
      <w:r w:rsidRPr="00B92144">
        <w:rPr>
          <w:rFonts w:asciiTheme="majorBidi" w:hAnsiTheme="majorBidi" w:cstheme="majorBidi"/>
          <w:i/>
          <w:iCs/>
        </w:rPr>
        <w:t>14</w:t>
      </w:r>
      <w:r w:rsidRPr="00B92144">
        <w:rPr>
          <w:rFonts w:asciiTheme="majorBidi" w:hAnsiTheme="majorBidi" w:cstheme="majorBidi"/>
        </w:rPr>
        <w:t xml:space="preserve">(4), 677‑724. </w:t>
      </w:r>
    </w:p>
    <w:p w14:paraId="47092C9B"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Ntim, C. G., Lindop, S., &amp; Thomas, D. A. (2013). Corporate governance and risk reporting in South Africa: A study of corporate risk disclosures in the pre- and post-2007/2008 global financial crisis periods. </w:t>
      </w:r>
      <w:r w:rsidRPr="00B92144">
        <w:rPr>
          <w:rFonts w:asciiTheme="majorBidi" w:hAnsiTheme="majorBidi" w:cstheme="majorBidi"/>
          <w:i/>
          <w:iCs/>
        </w:rPr>
        <w:lastRenderedPageBreak/>
        <w:t>International Review of Financial Analysis</w:t>
      </w:r>
      <w:r w:rsidRPr="00B92144">
        <w:rPr>
          <w:rFonts w:asciiTheme="majorBidi" w:hAnsiTheme="majorBidi" w:cstheme="majorBidi"/>
        </w:rPr>
        <w:t xml:space="preserve">, </w:t>
      </w:r>
      <w:r w:rsidRPr="00B92144">
        <w:rPr>
          <w:rFonts w:asciiTheme="majorBidi" w:hAnsiTheme="majorBidi" w:cstheme="majorBidi"/>
          <w:i/>
          <w:iCs/>
        </w:rPr>
        <w:t>30</w:t>
      </w:r>
      <w:r w:rsidRPr="00B92144">
        <w:rPr>
          <w:rFonts w:asciiTheme="majorBidi" w:hAnsiTheme="majorBidi" w:cstheme="majorBidi"/>
        </w:rPr>
        <w:t xml:space="preserve">, 363‑383. </w:t>
      </w:r>
    </w:p>
    <w:p w14:paraId="46011E4F"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lang w:val="fr-FR"/>
        </w:rPr>
        <w:t xml:space="preserve">Oliveira, J., Rodrigues, L. L., &amp; Craig, R. (2011a). </w:t>
      </w:r>
      <w:r w:rsidRPr="00B92144">
        <w:rPr>
          <w:rFonts w:asciiTheme="majorBidi" w:hAnsiTheme="majorBidi" w:cstheme="majorBidi"/>
        </w:rPr>
        <w:t xml:space="preserve">Risk-related disclosure practices in the annual reports of Portuguese credit institutions: An exploratory study. </w:t>
      </w:r>
      <w:r w:rsidRPr="00B92144">
        <w:rPr>
          <w:rFonts w:asciiTheme="majorBidi" w:hAnsiTheme="majorBidi" w:cstheme="majorBidi"/>
          <w:i/>
          <w:iCs/>
        </w:rPr>
        <w:t>Journal of Banking Regulation</w:t>
      </w:r>
      <w:r w:rsidRPr="00B92144">
        <w:rPr>
          <w:rFonts w:asciiTheme="majorBidi" w:hAnsiTheme="majorBidi" w:cstheme="majorBidi"/>
        </w:rPr>
        <w:t xml:space="preserve">, </w:t>
      </w:r>
      <w:r w:rsidRPr="00B92144">
        <w:rPr>
          <w:rFonts w:asciiTheme="majorBidi" w:hAnsiTheme="majorBidi" w:cstheme="majorBidi"/>
          <w:i/>
          <w:iCs/>
        </w:rPr>
        <w:t>12</w:t>
      </w:r>
      <w:r w:rsidRPr="00B92144">
        <w:rPr>
          <w:rFonts w:asciiTheme="majorBidi" w:hAnsiTheme="majorBidi" w:cstheme="majorBidi"/>
        </w:rPr>
        <w:t xml:space="preserve">(2), 100‑118. </w:t>
      </w:r>
    </w:p>
    <w:p w14:paraId="33F49B09"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lang w:val="fr-FR"/>
        </w:rPr>
        <w:t xml:space="preserve">Oliveira, J., Lima Rodrigues, L., &amp; Craig, R. (2011b). </w:t>
      </w:r>
      <w:r w:rsidRPr="00B92144">
        <w:rPr>
          <w:rFonts w:asciiTheme="majorBidi" w:hAnsiTheme="majorBidi" w:cstheme="majorBidi"/>
        </w:rPr>
        <w:t xml:space="preserve">Voluntary risk reporting to enhance institutional and organizational legitimacy: Evidence from Portuguese banks. </w:t>
      </w:r>
      <w:r w:rsidRPr="00B92144">
        <w:rPr>
          <w:rFonts w:asciiTheme="majorBidi" w:hAnsiTheme="majorBidi" w:cstheme="majorBidi"/>
          <w:i/>
          <w:iCs/>
        </w:rPr>
        <w:t>Journal of Financial Regulation and Compliance</w:t>
      </w:r>
      <w:r w:rsidRPr="00B92144">
        <w:rPr>
          <w:rFonts w:asciiTheme="majorBidi" w:hAnsiTheme="majorBidi" w:cstheme="majorBidi"/>
        </w:rPr>
        <w:t xml:space="preserve">, </w:t>
      </w:r>
      <w:r w:rsidRPr="00B92144">
        <w:rPr>
          <w:rFonts w:asciiTheme="majorBidi" w:hAnsiTheme="majorBidi" w:cstheme="majorBidi"/>
          <w:i/>
          <w:iCs/>
        </w:rPr>
        <w:t>19</w:t>
      </w:r>
      <w:r w:rsidRPr="00B92144">
        <w:rPr>
          <w:rFonts w:asciiTheme="majorBidi" w:hAnsiTheme="majorBidi" w:cstheme="majorBidi"/>
        </w:rPr>
        <w:t xml:space="preserve">(3), 271‑289. </w:t>
      </w:r>
    </w:p>
    <w:p w14:paraId="49EC760B"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lang w:val="fr-FR"/>
        </w:rPr>
      </w:pPr>
      <w:r w:rsidRPr="00B92144">
        <w:rPr>
          <w:rFonts w:asciiTheme="majorBidi" w:hAnsiTheme="majorBidi" w:cstheme="majorBidi"/>
          <w:lang w:val="fr-FR"/>
        </w:rPr>
        <w:t xml:space="preserve">Oliveira, J., Rodrigues, L. L., &amp; Craig, R. (2013). </w:t>
      </w:r>
      <w:r w:rsidRPr="00B92144">
        <w:rPr>
          <w:rFonts w:asciiTheme="majorBidi" w:hAnsiTheme="majorBidi" w:cstheme="majorBidi"/>
          <w:i/>
          <w:iCs/>
        </w:rPr>
        <w:t>Risk reporting: a literature review</w:t>
      </w:r>
      <w:r w:rsidRPr="00B92144">
        <w:rPr>
          <w:rFonts w:asciiTheme="majorBidi" w:hAnsiTheme="majorBidi" w:cstheme="majorBidi"/>
        </w:rPr>
        <w:t xml:space="preserve"> (working Paper) (p. 1‑58). </w:t>
      </w:r>
      <w:hyperlink r:id="rId22" w:history="1">
        <w:r w:rsidRPr="00B92144">
          <w:rPr>
            <w:rStyle w:val="Hyperlink"/>
            <w:rFonts w:asciiTheme="majorBidi" w:hAnsiTheme="majorBidi" w:cstheme="majorBidi"/>
            <w:lang w:val="fr-FR"/>
          </w:rPr>
          <w:t>http://repositorium.sdum.uminho.pt/handle/1822/23683</w:t>
        </w:r>
      </w:hyperlink>
    </w:p>
    <w:p w14:paraId="0F7972AB"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lang w:val="fr-FR"/>
        </w:rPr>
        <w:t xml:space="preserve">Olson, D., &amp; Zoubi, T. A. (2008). </w:t>
      </w:r>
      <w:r w:rsidRPr="00B92144">
        <w:rPr>
          <w:rFonts w:asciiTheme="majorBidi" w:hAnsiTheme="majorBidi" w:cstheme="majorBidi"/>
        </w:rPr>
        <w:t xml:space="preserve">Using accounting ratios to distinguish between Islamic and conventional banks in the GCC region. </w:t>
      </w:r>
      <w:r w:rsidRPr="00B92144">
        <w:rPr>
          <w:rFonts w:asciiTheme="majorBidi" w:hAnsiTheme="majorBidi" w:cstheme="majorBidi"/>
          <w:i/>
          <w:iCs/>
        </w:rPr>
        <w:t>The International Journal of Accounting</w:t>
      </w:r>
      <w:r w:rsidRPr="00B92144">
        <w:rPr>
          <w:rFonts w:asciiTheme="majorBidi" w:hAnsiTheme="majorBidi" w:cstheme="majorBidi"/>
        </w:rPr>
        <w:t xml:space="preserve">, </w:t>
      </w:r>
      <w:r w:rsidRPr="00B92144">
        <w:rPr>
          <w:rFonts w:asciiTheme="majorBidi" w:hAnsiTheme="majorBidi" w:cstheme="majorBidi"/>
          <w:i/>
          <w:iCs/>
        </w:rPr>
        <w:t>43</w:t>
      </w:r>
      <w:r w:rsidRPr="00B92144">
        <w:rPr>
          <w:rFonts w:asciiTheme="majorBidi" w:hAnsiTheme="majorBidi" w:cstheme="majorBidi"/>
        </w:rPr>
        <w:t xml:space="preserve">(1), 45‑65. </w:t>
      </w:r>
    </w:p>
    <w:p w14:paraId="4130C876"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Pérignon, C., &amp; Smith, D. (2010). The level and quality of Value-at-Risk disclosure by commercial banks. </w:t>
      </w:r>
      <w:r w:rsidRPr="00B92144">
        <w:rPr>
          <w:rFonts w:asciiTheme="majorBidi" w:hAnsiTheme="majorBidi" w:cstheme="majorBidi"/>
          <w:i/>
          <w:iCs/>
        </w:rPr>
        <w:t>Journal of Banking &amp; Finance</w:t>
      </w:r>
      <w:r w:rsidRPr="00B92144">
        <w:rPr>
          <w:rFonts w:asciiTheme="majorBidi" w:hAnsiTheme="majorBidi" w:cstheme="majorBidi"/>
        </w:rPr>
        <w:t xml:space="preserve">, </w:t>
      </w:r>
      <w:r w:rsidRPr="00B92144">
        <w:rPr>
          <w:rFonts w:asciiTheme="majorBidi" w:hAnsiTheme="majorBidi" w:cstheme="majorBidi"/>
          <w:i/>
          <w:iCs/>
        </w:rPr>
        <w:t>34</w:t>
      </w:r>
      <w:r w:rsidRPr="00B92144">
        <w:rPr>
          <w:rFonts w:asciiTheme="majorBidi" w:hAnsiTheme="majorBidi" w:cstheme="majorBidi"/>
        </w:rPr>
        <w:t>(2), 362‑377.</w:t>
      </w:r>
    </w:p>
    <w:p w14:paraId="07873581"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Pfeffer, J. (1972). Size and Composition of Corporate Boards of Directors: The Organization and its Environment. </w:t>
      </w:r>
      <w:r w:rsidRPr="00B92144">
        <w:rPr>
          <w:rFonts w:asciiTheme="majorBidi" w:hAnsiTheme="majorBidi" w:cstheme="majorBidi"/>
          <w:i/>
          <w:iCs/>
        </w:rPr>
        <w:t>Administrative Science Quarterly</w:t>
      </w:r>
      <w:r w:rsidRPr="00B92144">
        <w:rPr>
          <w:rFonts w:asciiTheme="majorBidi" w:hAnsiTheme="majorBidi" w:cstheme="majorBidi"/>
        </w:rPr>
        <w:t xml:space="preserve">, </w:t>
      </w:r>
      <w:r w:rsidRPr="00B92144">
        <w:rPr>
          <w:rFonts w:asciiTheme="majorBidi" w:hAnsiTheme="majorBidi" w:cstheme="majorBidi"/>
          <w:i/>
          <w:iCs/>
        </w:rPr>
        <w:t>17</w:t>
      </w:r>
      <w:r w:rsidRPr="00B92144">
        <w:rPr>
          <w:rFonts w:asciiTheme="majorBidi" w:hAnsiTheme="majorBidi" w:cstheme="majorBidi"/>
        </w:rPr>
        <w:t xml:space="preserve">(2), 218‑228. </w:t>
      </w:r>
    </w:p>
    <w:p w14:paraId="691C5926"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Pfeffer, J., &amp; Salancik, G. R. (1978). </w:t>
      </w:r>
      <w:r w:rsidRPr="00B92144">
        <w:rPr>
          <w:rFonts w:asciiTheme="majorBidi" w:hAnsiTheme="majorBidi" w:cstheme="majorBidi"/>
          <w:i/>
          <w:iCs/>
        </w:rPr>
        <w:t>The External Control of Organizations: A Resource Dependence Perspective.</w:t>
      </w:r>
      <w:r w:rsidRPr="00B92144">
        <w:rPr>
          <w:rFonts w:asciiTheme="majorBidi" w:hAnsiTheme="majorBidi" w:cstheme="majorBidi"/>
        </w:rPr>
        <w:t xml:space="preserve"> (Working Paper).</w:t>
      </w:r>
    </w:p>
    <w:p w14:paraId="7F94E4FC" w14:textId="77777777" w:rsidR="00291449" w:rsidRPr="00B92144" w:rsidRDefault="00291449" w:rsidP="00291449">
      <w:pPr>
        <w:widowControl w:val="0"/>
        <w:autoSpaceDE w:val="0"/>
        <w:autoSpaceDN w:val="0"/>
        <w:adjustRightInd w:val="0"/>
        <w:spacing w:after="0"/>
        <w:ind w:left="720"/>
        <w:jc w:val="both"/>
        <w:rPr>
          <w:rFonts w:asciiTheme="majorBidi" w:hAnsiTheme="majorBidi" w:cstheme="majorBidi"/>
        </w:rPr>
      </w:pPr>
      <w:r w:rsidRPr="00B92144">
        <w:rPr>
          <w:rFonts w:asciiTheme="majorBidi" w:hAnsiTheme="majorBidi" w:cstheme="majorBidi"/>
        </w:rPr>
        <w:t xml:space="preserve"> </w:t>
      </w:r>
      <w:hyperlink r:id="rId23" w:history="1">
        <w:r w:rsidRPr="00B92144">
          <w:rPr>
            <w:rStyle w:val="Hyperlink"/>
            <w:rFonts w:asciiTheme="majorBidi" w:hAnsiTheme="majorBidi" w:cstheme="majorBidi"/>
          </w:rPr>
          <w:t>https://papers.ssrn.com/abstract=1496213</w:t>
        </w:r>
      </w:hyperlink>
    </w:p>
    <w:p w14:paraId="0E21A41E"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Pfeffer, J., &amp; Salancik, G. R. (2003). </w:t>
      </w:r>
      <w:r w:rsidRPr="00B92144">
        <w:rPr>
          <w:rFonts w:asciiTheme="majorBidi" w:hAnsiTheme="majorBidi" w:cstheme="majorBidi"/>
          <w:i/>
          <w:iCs/>
        </w:rPr>
        <w:t>The External Control of Organizations: A Resource Dependence Perspective</w:t>
      </w:r>
      <w:r w:rsidRPr="00B92144">
        <w:rPr>
          <w:rFonts w:asciiTheme="majorBidi" w:hAnsiTheme="majorBidi" w:cstheme="majorBidi"/>
        </w:rPr>
        <w:t>. Stanford University Press.</w:t>
      </w:r>
    </w:p>
    <w:p w14:paraId="3BA1BD15"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Pirson, M., &amp; Turnbull, S. (2011). Corporate Governance, Risk Management, and the Financial Crisis: An Information Processing View. </w:t>
      </w:r>
      <w:r w:rsidRPr="00B92144">
        <w:rPr>
          <w:rFonts w:asciiTheme="majorBidi" w:hAnsiTheme="majorBidi" w:cstheme="majorBidi"/>
          <w:i/>
          <w:iCs/>
        </w:rPr>
        <w:t>Corporate Governance: An International Review</w:t>
      </w:r>
      <w:r w:rsidRPr="00B92144">
        <w:rPr>
          <w:rFonts w:asciiTheme="majorBidi" w:hAnsiTheme="majorBidi" w:cstheme="majorBidi"/>
        </w:rPr>
        <w:t xml:space="preserve">, </w:t>
      </w:r>
      <w:r w:rsidRPr="00B92144">
        <w:rPr>
          <w:rFonts w:asciiTheme="majorBidi" w:hAnsiTheme="majorBidi" w:cstheme="majorBidi"/>
          <w:i/>
          <w:iCs/>
        </w:rPr>
        <w:t>19</w:t>
      </w:r>
      <w:r w:rsidRPr="00B92144">
        <w:rPr>
          <w:rFonts w:asciiTheme="majorBidi" w:hAnsiTheme="majorBidi" w:cstheme="majorBidi"/>
        </w:rPr>
        <w:t xml:space="preserve">(5), 459‑470. </w:t>
      </w:r>
    </w:p>
    <w:p w14:paraId="46DFB295" w14:textId="77777777" w:rsidR="00291449" w:rsidRPr="00B92144" w:rsidRDefault="00291449" w:rsidP="00291449">
      <w:pPr>
        <w:spacing w:after="0" w:line="240" w:lineRule="auto"/>
        <w:ind w:left="720" w:hanging="720"/>
        <w:jc w:val="both"/>
        <w:rPr>
          <w:rFonts w:asciiTheme="majorBidi" w:eastAsia="Times New Roman" w:hAnsiTheme="majorBidi" w:cstheme="majorBidi"/>
          <w:lang w:eastAsia="fr-FR"/>
        </w:rPr>
      </w:pPr>
      <w:r w:rsidRPr="00B92144">
        <w:rPr>
          <w:rFonts w:asciiTheme="majorBidi" w:eastAsia="Times New Roman" w:hAnsiTheme="majorBidi" w:cstheme="majorBidi"/>
          <w:lang w:eastAsia="fr-FR"/>
        </w:rPr>
        <w:t xml:space="preserve">Price Waterhouse Coopers (2008) “A Practical Guide to Risk Assessment”. </w:t>
      </w:r>
      <w:hyperlink r:id="rId24" w:history="1">
        <w:r w:rsidRPr="00B92144">
          <w:rPr>
            <w:rStyle w:val="Hyperlink"/>
            <w:rFonts w:asciiTheme="majorBidi" w:eastAsia="Times New Roman" w:hAnsiTheme="majorBidi" w:cstheme="majorBidi"/>
            <w:lang w:eastAsia="fr-FR"/>
          </w:rPr>
          <w:t>https://web.actuaries.ie/press/erm-resource-database/practical-guide-risk-assessment</w:t>
        </w:r>
      </w:hyperlink>
    </w:p>
    <w:p w14:paraId="0ED2E3CF"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Rahman Sh., Salehnejad S.H. (2005). Islamic Accounting Standards, </w:t>
      </w:r>
      <w:r w:rsidRPr="00B92144">
        <w:rPr>
          <w:rFonts w:asciiTheme="majorBidi" w:hAnsiTheme="majorBidi" w:cstheme="majorBidi"/>
          <w:i/>
          <w:iCs/>
        </w:rPr>
        <w:t>Peyke Noor Journal</w:t>
      </w:r>
      <w:r w:rsidRPr="00B92144">
        <w:rPr>
          <w:rFonts w:asciiTheme="majorBidi" w:hAnsiTheme="majorBidi" w:cstheme="majorBidi"/>
        </w:rPr>
        <w:t xml:space="preserve"> 3(3), 113-121.</w:t>
      </w:r>
    </w:p>
    <w:p w14:paraId="4B7A4255"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Rehbein, K., Waddock, S., &amp; Graves, S. B. (2004). Understanding Shareholder Activism: Which Corporations are Targeted? </w:t>
      </w:r>
      <w:r w:rsidRPr="00B92144">
        <w:rPr>
          <w:rFonts w:asciiTheme="majorBidi" w:hAnsiTheme="majorBidi" w:cstheme="majorBidi"/>
          <w:i/>
          <w:iCs/>
        </w:rPr>
        <w:t>Business &amp; Society</w:t>
      </w:r>
      <w:r w:rsidRPr="00B92144">
        <w:rPr>
          <w:rFonts w:asciiTheme="majorBidi" w:hAnsiTheme="majorBidi" w:cstheme="majorBidi"/>
        </w:rPr>
        <w:t xml:space="preserve">, </w:t>
      </w:r>
      <w:r w:rsidRPr="00B92144">
        <w:rPr>
          <w:rFonts w:asciiTheme="majorBidi" w:hAnsiTheme="majorBidi" w:cstheme="majorBidi"/>
          <w:i/>
          <w:iCs/>
        </w:rPr>
        <w:t>43</w:t>
      </w:r>
      <w:r w:rsidRPr="00B92144">
        <w:rPr>
          <w:rFonts w:asciiTheme="majorBidi" w:hAnsiTheme="majorBidi" w:cstheme="majorBidi"/>
        </w:rPr>
        <w:t xml:space="preserve">(3), 239‑267. </w:t>
      </w:r>
    </w:p>
    <w:p w14:paraId="2C4F9152"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p>
    <w:p w14:paraId="0386B37C"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Sami, H., &amp; Zhou, H. (2004). A comparison of value relevance of accounting information in different segments of the Chinese stock market. </w:t>
      </w:r>
      <w:r w:rsidRPr="00B92144">
        <w:rPr>
          <w:rFonts w:asciiTheme="majorBidi" w:hAnsiTheme="majorBidi" w:cstheme="majorBidi"/>
          <w:i/>
          <w:iCs/>
        </w:rPr>
        <w:t>The International Journal of Accounting</w:t>
      </w:r>
      <w:r w:rsidRPr="00B92144">
        <w:rPr>
          <w:rFonts w:asciiTheme="majorBidi" w:hAnsiTheme="majorBidi" w:cstheme="majorBidi"/>
        </w:rPr>
        <w:t xml:space="preserve">, </w:t>
      </w:r>
      <w:r w:rsidRPr="00B92144">
        <w:rPr>
          <w:rFonts w:asciiTheme="majorBidi" w:hAnsiTheme="majorBidi" w:cstheme="majorBidi"/>
          <w:i/>
          <w:iCs/>
        </w:rPr>
        <w:t>39</w:t>
      </w:r>
      <w:r w:rsidRPr="00B92144">
        <w:rPr>
          <w:rFonts w:asciiTheme="majorBidi" w:hAnsiTheme="majorBidi" w:cstheme="majorBidi"/>
        </w:rPr>
        <w:t>(4), 403‑427.</w:t>
      </w:r>
    </w:p>
    <w:p w14:paraId="61A05477"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lang w:val="fr-FR"/>
        </w:rPr>
        <w:t xml:space="preserve">Sánchez-Ballesta, J. P., &amp; Lloréns, M. B. (2010). </w:t>
      </w:r>
      <w:r w:rsidRPr="00B92144">
        <w:rPr>
          <w:rFonts w:asciiTheme="majorBidi" w:hAnsiTheme="majorBidi" w:cstheme="majorBidi"/>
        </w:rPr>
        <w:t xml:space="preserve">Monitoring, reputation and accountability in issuing banks in mid-nineteenth-century Spain. </w:t>
      </w:r>
      <w:r w:rsidRPr="00B92144">
        <w:rPr>
          <w:rFonts w:asciiTheme="majorBidi" w:hAnsiTheme="majorBidi" w:cstheme="majorBidi"/>
          <w:i/>
          <w:iCs/>
        </w:rPr>
        <w:t>Explorations in Economic History</w:t>
      </w:r>
      <w:r w:rsidRPr="00B92144">
        <w:rPr>
          <w:rFonts w:asciiTheme="majorBidi" w:hAnsiTheme="majorBidi" w:cstheme="majorBidi"/>
        </w:rPr>
        <w:t xml:space="preserve">, </w:t>
      </w:r>
      <w:r w:rsidRPr="00B92144">
        <w:rPr>
          <w:rFonts w:asciiTheme="majorBidi" w:hAnsiTheme="majorBidi" w:cstheme="majorBidi"/>
          <w:i/>
          <w:iCs/>
        </w:rPr>
        <w:t>47</w:t>
      </w:r>
      <w:r w:rsidRPr="00B92144">
        <w:rPr>
          <w:rFonts w:asciiTheme="majorBidi" w:hAnsiTheme="majorBidi" w:cstheme="majorBidi"/>
        </w:rPr>
        <w:t xml:space="preserve">(4), 403‑419. </w:t>
      </w:r>
    </w:p>
    <w:p w14:paraId="5ED550D1"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Sargan, J. D. (1964). Wages and Prices in the United Kingdom: A study of Econometric Methodology. In </w:t>
      </w:r>
      <w:r w:rsidRPr="00B92144">
        <w:rPr>
          <w:rFonts w:asciiTheme="majorBidi" w:hAnsiTheme="majorBidi" w:cstheme="majorBidi"/>
          <w:i/>
          <w:iCs/>
        </w:rPr>
        <w:t>Econometric Analysis for National Economic Planning</w:t>
      </w:r>
      <w:r w:rsidRPr="00B92144">
        <w:rPr>
          <w:rFonts w:asciiTheme="majorBidi" w:hAnsiTheme="majorBidi" w:cstheme="majorBidi"/>
        </w:rPr>
        <w:t xml:space="preserve"> (p. 25‑63). London, UK: Butterworth Co.</w:t>
      </w:r>
    </w:p>
    <w:p w14:paraId="388A37DF"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Skinner, D. J. (1994). Why Firms Voluntarily Disclose Bad News. </w:t>
      </w:r>
      <w:r w:rsidRPr="00B92144">
        <w:rPr>
          <w:rFonts w:asciiTheme="majorBidi" w:hAnsiTheme="majorBidi" w:cstheme="majorBidi"/>
          <w:i/>
          <w:iCs/>
        </w:rPr>
        <w:t>Journal of Accounting Research</w:t>
      </w:r>
      <w:r w:rsidRPr="00B92144">
        <w:rPr>
          <w:rFonts w:asciiTheme="majorBidi" w:hAnsiTheme="majorBidi" w:cstheme="majorBidi"/>
        </w:rPr>
        <w:t xml:space="preserve">, </w:t>
      </w:r>
      <w:r w:rsidRPr="00B92144">
        <w:rPr>
          <w:rFonts w:asciiTheme="majorBidi" w:hAnsiTheme="majorBidi" w:cstheme="majorBidi"/>
          <w:i/>
          <w:iCs/>
        </w:rPr>
        <w:t>32</w:t>
      </w:r>
      <w:r w:rsidRPr="00B92144">
        <w:rPr>
          <w:rFonts w:asciiTheme="majorBidi" w:hAnsiTheme="majorBidi" w:cstheme="majorBidi"/>
        </w:rPr>
        <w:t xml:space="preserve">(1), 38‑60. </w:t>
      </w:r>
    </w:p>
    <w:p w14:paraId="298E269A"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Suchman, M. C. (1995). Managing Legitimacy: Strategic and Institutional Approaches. </w:t>
      </w:r>
      <w:r w:rsidRPr="00B92144">
        <w:rPr>
          <w:rFonts w:asciiTheme="majorBidi" w:hAnsiTheme="majorBidi" w:cstheme="majorBidi"/>
          <w:i/>
          <w:iCs/>
        </w:rPr>
        <w:t>The Academy of Management Review</w:t>
      </w:r>
      <w:r w:rsidRPr="00B92144">
        <w:rPr>
          <w:rFonts w:asciiTheme="majorBidi" w:hAnsiTheme="majorBidi" w:cstheme="majorBidi"/>
        </w:rPr>
        <w:t xml:space="preserve">, </w:t>
      </w:r>
      <w:r w:rsidRPr="00B92144">
        <w:rPr>
          <w:rFonts w:asciiTheme="majorBidi" w:hAnsiTheme="majorBidi" w:cstheme="majorBidi"/>
          <w:i/>
          <w:iCs/>
        </w:rPr>
        <w:t>20</w:t>
      </w:r>
      <w:r w:rsidRPr="00B92144">
        <w:rPr>
          <w:rFonts w:asciiTheme="majorBidi" w:hAnsiTheme="majorBidi" w:cstheme="majorBidi"/>
        </w:rPr>
        <w:t xml:space="preserve">(3), 571‑610. </w:t>
      </w:r>
    </w:p>
    <w:p w14:paraId="4D6BAB73"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Taylor, G., Tower, G., &amp; Neilson, J. (2010). Corporate communication of financial risk. </w:t>
      </w:r>
      <w:r w:rsidRPr="00B92144">
        <w:rPr>
          <w:rFonts w:asciiTheme="majorBidi" w:hAnsiTheme="majorBidi" w:cstheme="majorBidi"/>
          <w:i/>
          <w:iCs/>
        </w:rPr>
        <w:t>Accounting &amp; Finance</w:t>
      </w:r>
      <w:r w:rsidRPr="00B92144">
        <w:rPr>
          <w:rFonts w:asciiTheme="majorBidi" w:hAnsiTheme="majorBidi" w:cstheme="majorBidi"/>
        </w:rPr>
        <w:t xml:space="preserve">, </w:t>
      </w:r>
      <w:r w:rsidRPr="00B92144">
        <w:rPr>
          <w:rFonts w:asciiTheme="majorBidi" w:hAnsiTheme="majorBidi" w:cstheme="majorBidi"/>
          <w:i/>
          <w:iCs/>
        </w:rPr>
        <w:t>50</w:t>
      </w:r>
      <w:r w:rsidRPr="00B92144">
        <w:rPr>
          <w:rFonts w:asciiTheme="majorBidi" w:hAnsiTheme="majorBidi" w:cstheme="majorBidi"/>
        </w:rPr>
        <w:t xml:space="preserve">(2), 417‑446. </w:t>
      </w:r>
    </w:p>
    <w:p w14:paraId="369D3BE3"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Ujunwa, A. (2012). Board characteristics and the financial performance of Nigerian quoted firms. </w:t>
      </w:r>
      <w:r w:rsidRPr="00B92144">
        <w:rPr>
          <w:rFonts w:asciiTheme="majorBidi" w:hAnsiTheme="majorBidi" w:cstheme="majorBidi"/>
          <w:i/>
          <w:iCs/>
        </w:rPr>
        <w:t>Corporate Governance: The international journal of business in society</w:t>
      </w:r>
      <w:r w:rsidRPr="00B92144">
        <w:rPr>
          <w:rFonts w:asciiTheme="majorBidi" w:hAnsiTheme="majorBidi" w:cstheme="majorBidi"/>
        </w:rPr>
        <w:t xml:space="preserve">, </w:t>
      </w:r>
      <w:r w:rsidRPr="00B92144">
        <w:rPr>
          <w:rFonts w:asciiTheme="majorBidi" w:hAnsiTheme="majorBidi" w:cstheme="majorBidi"/>
          <w:i/>
          <w:iCs/>
        </w:rPr>
        <w:t>12</w:t>
      </w:r>
      <w:r w:rsidRPr="00B92144">
        <w:rPr>
          <w:rFonts w:asciiTheme="majorBidi" w:hAnsiTheme="majorBidi" w:cstheme="majorBidi"/>
        </w:rPr>
        <w:t xml:space="preserve">(5), 656‑674. </w:t>
      </w:r>
    </w:p>
    <w:p w14:paraId="490F3687"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Unerman, J. (2000). Methodological issues ‐ Reflections on quantification in corporate social reporting content analysis. </w:t>
      </w:r>
      <w:r w:rsidRPr="00B92144">
        <w:rPr>
          <w:rFonts w:asciiTheme="majorBidi" w:hAnsiTheme="majorBidi" w:cstheme="majorBidi"/>
          <w:i/>
          <w:iCs/>
        </w:rPr>
        <w:t>Accounting, Auditing &amp; Accountability Journal</w:t>
      </w:r>
      <w:r w:rsidRPr="00B92144">
        <w:rPr>
          <w:rFonts w:asciiTheme="majorBidi" w:hAnsiTheme="majorBidi" w:cstheme="majorBidi"/>
        </w:rPr>
        <w:t xml:space="preserve">, </w:t>
      </w:r>
      <w:r w:rsidRPr="00B92144">
        <w:rPr>
          <w:rFonts w:asciiTheme="majorBidi" w:hAnsiTheme="majorBidi" w:cstheme="majorBidi"/>
          <w:i/>
          <w:iCs/>
        </w:rPr>
        <w:t>13</w:t>
      </w:r>
      <w:r w:rsidRPr="00B92144">
        <w:rPr>
          <w:rFonts w:asciiTheme="majorBidi" w:hAnsiTheme="majorBidi" w:cstheme="majorBidi"/>
        </w:rPr>
        <w:t xml:space="preserve">(5), 667‑681. </w:t>
      </w:r>
    </w:p>
    <w:p w14:paraId="67ABA252"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lastRenderedPageBreak/>
        <w:t xml:space="preserve">VanHoose, D. (2007). Theories of bank behavior under capital regulation. </w:t>
      </w:r>
      <w:r w:rsidRPr="00B92144">
        <w:rPr>
          <w:rFonts w:asciiTheme="majorBidi" w:hAnsiTheme="majorBidi" w:cstheme="majorBidi"/>
          <w:i/>
          <w:iCs/>
        </w:rPr>
        <w:t>Journal of Banking &amp; Finance</w:t>
      </w:r>
      <w:r w:rsidRPr="00B92144">
        <w:rPr>
          <w:rFonts w:asciiTheme="majorBidi" w:hAnsiTheme="majorBidi" w:cstheme="majorBidi"/>
        </w:rPr>
        <w:t xml:space="preserve">, </w:t>
      </w:r>
      <w:r w:rsidRPr="00B92144">
        <w:rPr>
          <w:rFonts w:asciiTheme="majorBidi" w:hAnsiTheme="majorBidi" w:cstheme="majorBidi"/>
          <w:i/>
          <w:iCs/>
        </w:rPr>
        <w:t>31</w:t>
      </w:r>
      <w:r w:rsidRPr="00B92144">
        <w:rPr>
          <w:rFonts w:asciiTheme="majorBidi" w:hAnsiTheme="majorBidi" w:cstheme="majorBidi"/>
        </w:rPr>
        <w:t>(12), 3680‑3697.</w:t>
      </w:r>
    </w:p>
    <w:p w14:paraId="3E7F165B"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Wallace, R. S. O., et al. (1994). The Relationship Between the Comprehensiveness of Corporate Annual Reports and Firm Characteristics in Spain. </w:t>
      </w:r>
      <w:r w:rsidRPr="00B92144">
        <w:rPr>
          <w:rFonts w:asciiTheme="majorBidi" w:hAnsiTheme="majorBidi" w:cstheme="majorBidi"/>
          <w:i/>
          <w:iCs/>
        </w:rPr>
        <w:t>Accounting and Business Research</w:t>
      </w:r>
      <w:r w:rsidRPr="00B92144">
        <w:rPr>
          <w:rFonts w:asciiTheme="majorBidi" w:hAnsiTheme="majorBidi" w:cstheme="majorBidi"/>
        </w:rPr>
        <w:t xml:space="preserve">, </w:t>
      </w:r>
      <w:r w:rsidRPr="00B92144">
        <w:rPr>
          <w:rFonts w:asciiTheme="majorBidi" w:hAnsiTheme="majorBidi" w:cstheme="majorBidi"/>
          <w:i/>
          <w:iCs/>
        </w:rPr>
        <w:t>25</w:t>
      </w:r>
      <w:r w:rsidRPr="00B92144">
        <w:rPr>
          <w:rFonts w:asciiTheme="majorBidi" w:hAnsiTheme="majorBidi" w:cstheme="majorBidi"/>
        </w:rPr>
        <w:t xml:space="preserve">(97), 41‑53. </w:t>
      </w:r>
    </w:p>
    <w:p w14:paraId="2C89707C"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Walsh, J. P., &amp; Seward, J. K. (1990). On the Efficiency of Internal and External Corporate Control Mechanisms. </w:t>
      </w:r>
      <w:r w:rsidRPr="00B92144">
        <w:rPr>
          <w:rFonts w:asciiTheme="majorBidi" w:hAnsiTheme="majorBidi" w:cstheme="majorBidi"/>
          <w:i/>
          <w:iCs/>
        </w:rPr>
        <w:t>The Academy of Management Review</w:t>
      </w:r>
      <w:r w:rsidRPr="00B92144">
        <w:rPr>
          <w:rFonts w:asciiTheme="majorBidi" w:hAnsiTheme="majorBidi" w:cstheme="majorBidi"/>
        </w:rPr>
        <w:t xml:space="preserve">, </w:t>
      </w:r>
      <w:r w:rsidRPr="00B92144">
        <w:rPr>
          <w:rFonts w:asciiTheme="majorBidi" w:hAnsiTheme="majorBidi" w:cstheme="majorBidi"/>
          <w:i/>
          <w:iCs/>
        </w:rPr>
        <w:t>15</w:t>
      </w:r>
      <w:r w:rsidRPr="00B92144">
        <w:rPr>
          <w:rFonts w:asciiTheme="majorBidi" w:hAnsiTheme="majorBidi" w:cstheme="majorBidi"/>
        </w:rPr>
        <w:t xml:space="preserve">(3), 421‑458. </w:t>
      </w:r>
    </w:p>
    <w:p w14:paraId="2FAD0D34"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Watts, R. L., &amp; Zimmerman, J. L. (1978). Towards a Positive Theory of the Determination of Accounting Standards. </w:t>
      </w:r>
      <w:r w:rsidRPr="00B92144">
        <w:rPr>
          <w:rFonts w:asciiTheme="majorBidi" w:hAnsiTheme="majorBidi" w:cstheme="majorBidi"/>
          <w:i/>
          <w:iCs/>
        </w:rPr>
        <w:t>The Accounting Review</w:t>
      </w:r>
      <w:r w:rsidRPr="00B92144">
        <w:rPr>
          <w:rFonts w:asciiTheme="majorBidi" w:hAnsiTheme="majorBidi" w:cstheme="majorBidi"/>
        </w:rPr>
        <w:t xml:space="preserve">, </w:t>
      </w:r>
      <w:r w:rsidRPr="00B92144">
        <w:rPr>
          <w:rFonts w:asciiTheme="majorBidi" w:hAnsiTheme="majorBidi" w:cstheme="majorBidi"/>
          <w:i/>
          <w:iCs/>
        </w:rPr>
        <w:t>53</w:t>
      </w:r>
      <w:r w:rsidRPr="00B92144">
        <w:rPr>
          <w:rFonts w:asciiTheme="majorBidi" w:hAnsiTheme="majorBidi" w:cstheme="majorBidi"/>
        </w:rPr>
        <w:t>(1), 112‑134.</w:t>
      </w:r>
    </w:p>
    <w:p w14:paraId="1CE05AA9"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Watts, R. L., &amp; Zimmerman, J. L. (1986). </w:t>
      </w:r>
      <w:r w:rsidRPr="00B92144">
        <w:rPr>
          <w:rFonts w:asciiTheme="majorBidi" w:hAnsiTheme="majorBidi" w:cstheme="majorBidi"/>
          <w:i/>
          <w:iCs/>
        </w:rPr>
        <w:t>Positive Accounting Theory</w:t>
      </w:r>
      <w:r w:rsidRPr="00B92144">
        <w:rPr>
          <w:rFonts w:asciiTheme="majorBidi" w:hAnsiTheme="majorBidi" w:cstheme="majorBidi"/>
        </w:rPr>
        <w:t xml:space="preserve">. Englewood Cliffs, N.J. : Prentice-hall. </w:t>
      </w:r>
    </w:p>
    <w:p w14:paraId="6602C5E8" w14:textId="77777777" w:rsidR="00291449" w:rsidRPr="00B92144" w:rsidRDefault="00291449" w:rsidP="00291449">
      <w:pPr>
        <w:widowControl w:val="0"/>
        <w:autoSpaceDE w:val="0"/>
        <w:autoSpaceDN w:val="0"/>
        <w:adjustRightInd w:val="0"/>
        <w:spacing w:after="0"/>
        <w:ind w:left="720" w:hanging="720"/>
        <w:jc w:val="both"/>
        <w:rPr>
          <w:rFonts w:asciiTheme="majorBidi" w:hAnsiTheme="majorBidi" w:cstheme="majorBidi"/>
        </w:rPr>
      </w:pPr>
      <w:r w:rsidRPr="00B92144">
        <w:rPr>
          <w:rFonts w:asciiTheme="majorBidi" w:hAnsiTheme="majorBidi" w:cstheme="majorBidi"/>
        </w:rPr>
        <w:t xml:space="preserve">Watts, R., &amp; Zimmerman, J. L (1983). Agency Problems, Auditing, and the Theory of the Firm: Some Evidence. </w:t>
      </w:r>
      <w:r w:rsidRPr="00B92144">
        <w:rPr>
          <w:rFonts w:asciiTheme="majorBidi" w:hAnsiTheme="majorBidi" w:cstheme="majorBidi"/>
          <w:i/>
          <w:iCs/>
        </w:rPr>
        <w:t>Journal of Law and Economics</w:t>
      </w:r>
      <w:r w:rsidRPr="00B92144">
        <w:rPr>
          <w:rFonts w:asciiTheme="majorBidi" w:hAnsiTheme="majorBidi" w:cstheme="majorBidi"/>
        </w:rPr>
        <w:t xml:space="preserve">, </w:t>
      </w:r>
      <w:r w:rsidRPr="00B92144">
        <w:rPr>
          <w:rFonts w:asciiTheme="majorBidi" w:hAnsiTheme="majorBidi" w:cstheme="majorBidi"/>
          <w:i/>
          <w:iCs/>
        </w:rPr>
        <w:t>26</w:t>
      </w:r>
      <w:r w:rsidRPr="00B92144">
        <w:rPr>
          <w:rFonts w:asciiTheme="majorBidi" w:hAnsiTheme="majorBidi" w:cstheme="majorBidi"/>
        </w:rPr>
        <w:t>(3), 613‑633.</w:t>
      </w:r>
    </w:p>
    <w:p w14:paraId="136F3E2F" w14:textId="77777777" w:rsidR="00291449" w:rsidRPr="00B92144" w:rsidRDefault="00291449" w:rsidP="00291449">
      <w:pPr>
        <w:rPr>
          <w:rFonts w:asciiTheme="majorBidi" w:hAnsiTheme="majorBidi" w:cstheme="majorBidi"/>
          <w:sz w:val="24"/>
          <w:szCs w:val="24"/>
        </w:rPr>
      </w:pPr>
    </w:p>
    <w:p w14:paraId="29473B06" w14:textId="77777777" w:rsidR="00677F7B" w:rsidRPr="00B92144" w:rsidRDefault="00677F7B" w:rsidP="00FC361E">
      <w:pPr>
        <w:autoSpaceDE w:val="0"/>
        <w:autoSpaceDN w:val="0"/>
        <w:adjustRightInd w:val="0"/>
        <w:spacing w:before="120" w:after="0" w:line="360" w:lineRule="auto"/>
        <w:jc w:val="both"/>
        <w:rPr>
          <w:rFonts w:asciiTheme="majorBidi" w:hAnsiTheme="majorBidi" w:cstheme="majorBidi"/>
          <w:b/>
          <w:bCs/>
          <w:sz w:val="28"/>
          <w:szCs w:val="28"/>
        </w:rPr>
      </w:pPr>
    </w:p>
    <w:p w14:paraId="78F27F12" w14:textId="77777777" w:rsidR="00677F7B" w:rsidRPr="00B92144" w:rsidRDefault="00677F7B" w:rsidP="00FC361E">
      <w:pPr>
        <w:autoSpaceDE w:val="0"/>
        <w:autoSpaceDN w:val="0"/>
        <w:adjustRightInd w:val="0"/>
        <w:spacing w:before="120" w:after="0" w:line="360" w:lineRule="auto"/>
        <w:jc w:val="both"/>
        <w:rPr>
          <w:rFonts w:asciiTheme="majorBidi" w:hAnsiTheme="majorBidi" w:cstheme="majorBidi"/>
          <w:b/>
          <w:bCs/>
          <w:sz w:val="28"/>
          <w:szCs w:val="28"/>
        </w:rPr>
      </w:pPr>
    </w:p>
    <w:p w14:paraId="016F22D9" w14:textId="77777777" w:rsidR="00677F7B" w:rsidRPr="00B92144" w:rsidRDefault="00677F7B" w:rsidP="00FC361E">
      <w:pPr>
        <w:autoSpaceDE w:val="0"/>
        <w:autoSpaceDN w:val="0"/>
        <w:adjustRightInd w:val="0"/>
        <w:spacing w:before="120" w:after="0" w:line="360" w:lineRule="auto"/>
        <w:jc w:val="both"/>
        <w:rPr>
          <w:rFonts w:asciiTheme="majorBidi" w:hAnsiTheme="majorBidi" w:cstheme="majorBidi"/>
          <w:b/>
          <w:bCs/>
          <w:sz w:val="24"/>
          <w:szCs w:val="24"/>
        </w:rPr>
      </w:pPr>
    </w:p>
    <w:p w14:paraId="3C70C405" w14:textId="77777777" w:rsidR="00677F7B" w:rsidRPr="00B92144" w:rsidRDefault="00677F7B" w:rsidP="00FC361E">
      <w:pPr>
        <w:autoSpaceDE w:val="0"/>
        <w:autoSpaceDN w:val="0"/>
        <w:adjustRightInd w:val="0"/>
        <w:spacing w:before="120" w:after="0" w:line="360" w:lineRule="auto"/>
        <w:jc w:val="both"/>
        <w:rPr>
          <w:rFonts w:asciiTheme="majorBidi" w:hAnsiTheme="majorBidi" w:cstheme="majorBidi"/>
          <w:b/>
          <w:bCs/>
          <w:sz w:val="24"/>
          <w:szCs w:val="24"/>
        </w:rPr>
      </w:pPr>
    </w:p>
    <w:p w14:paraId="415E2CBC" w14:textId="77777777" w:rsidR="00B92144" w:rsidRDefault="00B92144">
      <w:pPr>
        <w:rPr>
          <w:rFonts w:asciiTheme="majorBidi" w:hAnsiTheme="majorBidi" w:cstheme="majorBidi"/>
          <w:b/>
          <w:bCs/>
          <w:sz w:val="24"/>
          <w:szCs w:val="24"/>
        </w:rPr>
      </w:pPr>
      <w:r>
        <w:rPr>
          <w:rFonts w:asciiTheme="majorBidi" w:hAnsiTheme="majorBidi" w:cstheme="majorBidi"/>
          <w:b/>
          <w:bCs/>
          <w:sz w:val="24"/>
          <w:szCs w:val="24"/>
        </w:rPr>
        <w:br w:type="page"/>
      </w:r>
    </w:p>
    <w:p w14:paraId="460A70B6" w14:textId="4C32511A" w:rsidR="00A50D96" w:rsidRPr="00B92144" w:rsidRDefault="009B3B26" w:rsidP="009B3B26">
      <w:pPr>
        <w:autoSpaceDE w:val="0"/>
        <w:autoSpaceDN w:val="0"/>
        <w:adjustRightInd w:val="0"/>
        <w:spacing w:before="120" w:after="0" w:line="360" w:lineRule="auto"/>
        <w:jc w:val="both"/>
        <w:rPr>
          <w:rFonts w:asciiTheme="majorBidi" w:hAnsiTheme="majorBidi" w:cstheme="majorBidi"/>
          <w:b/>
          <w:bCs/>
          <w:sz w:val="24"/>
          <w:szCs w:val="24"/>
        </w:rPr>
      </w:pPr>
      <w:r w:rsidRPr="00B92144">
        <w:rPr>
          <w:rFonts w:asciiTheme="majorBidi" w:hAnsiTheme="majorBidi" w:cstheme="majorBidi"/>
          <w:b/>
          <w:bCs/>
          <w:sz w:val="24"/>
          <w:szCs w:val="24"/>
        </w:rPr>
        <w:lastRenderedPageBreak/>
        <w:t xml:space="preserve">APPENDIX </w:t>
      </w:r>
    </w:p>
    <w:p w14:paraId="5F37A7A3" w14:textId="35068554" w:rsidR="00A62C09" w:rsidRPr="00B92144" w:rsidRDefault="00020775" w:rsidP="009E28CC">
      <w:pPr>
        <w:spacing w:line="360" w:lineRule="auto"/>
        <w:jc w:val="both"/>
        <w:rPr>
          <w:rFonts w:asciiTheme="majorBidi" w:hAnsiTheme="majorBidi" w:cstheme="majorBidi"/>
          <w:b/>
          <w:sz w:val="24"/>
          <w:szCs w:val="24"/>
          <w:u w:val="single"/>
        </w:rPr>
      </w:pPr>
      <w:r w:rsidRPr="00B92144">
        <w:rPr>
          <w:rFonts w:asciiTheme="majorBidi" w:hAnsiTheme="majorBidi" w:cstheme="majorBidi"/>
          <w:b/>
          <w:sz w:val="24"/>
          <w:szCs w:val="24"/>
          <w:u w:val="single"/>
        </w:rPr>
        <w:t>Table 2</w:t>
      </w:r>
      <w:r w:rsidR="009E28CC" w:rsidRPr="00B92144">
        <w:rPr>
          <w:rFonts w:asciiTheme="majorBidi" w:hAnsiTheme="majorBidi" w:cstheme="majorBidi"/>
          <w:b/>
          <w:sz w:val="24"/>
          <w:szCs w:val="24"/>
          <w:u w:val="single"/>
        </w:rPr>
        <w:t xml:space="preserve">: </w:t>
      </w:r>
      <w:r w:rsidRPr="00B92144">
        <w:rPr>
          <w:rFonts w:asciiTheme="majorBidi" w:hAnsiTheme="majorBidi" w:cstheme="majorBidi"/>
          <w:b/>
          <w:sz w:val="24"/>
          <w:szCs w:val="24"/>
        </w:rPr>
        <w:t xml:space="preserve">Descriptive statistics of the </w:t>
      </w:r>
      <w:r w:rsidR="00A512F3" w:rsidRPr="00B92144">
        <w:rPr>
          <w:rFonts w:asciiTheme="majorBidi" w:hAnsiTheme="majorBidi" w:cstheme="majorBidi"/>
          <w:b/>
          <w:sz w:val="24"/>
          <w:szCs w:val="24"/>
        </w:rPr>
        <w:t>R</w:t>
      </w:r>
      <w:r w:rsidR="00A56DD4" w:rsidRPr="00B92144">
        <w:rPr>
          <w:rFonts w:asciiTheme="majorBidi" w:hAnsiTheme="majorBidi" w:cstheme="majorBidi"/>
          <w:b/>
          <w:sz w:val="24"/>
          <w:szCs w:val="24"/>
        </w:rPr>
        <w:t>R</w:t>
      </w:r>
      <w:r w:rsidR="00A512F3" w:rsidRPr="00B92144">
        <w:rPr>
          <w:rFonts w:asciiTheme="majorBidi" w:hAnsiTheme="majorBidi" w:cstheme="majorBidi"/>
          <w:b/>
          <w:sz w:val="24"/>
          <w:szCs w:val="24"/>
        </w:rPr>
        <w:t>D</w:t>
      </w:r>
      <w:r w:rsidRPr="00B92144">
        <w:rPr>
          <w:rFonts w:asciiTheme="majorBidi" w:hAnsiTheme="majorBidi" w:cstheme="majorBidi"/>
          <w:b/>
          <w:sz w:val="24"/>
          <w:szCs w:val="24"/>
        </w:rPr>
        <w:t xml:space="preserve"> Index by country</w:t>
      </w:r>
      <w:r w:rsidRPr="00B92144">
        <w:rPr>
          <w:rFonts w:asciiTheme="majorBidi" w:hAnsiTheme="majorBidi" w:cstheme="majorBidi"/>
          <w:sz w:val="24"/>
          <w:szCs w:val="24"/>
        </w:rPr>
        <w:t>.</w:t>
      </w:r>
    </w:p>
    <w:tbl>
      <w:tblPr>
        <w:tblW w:w="10193" w:type="dxa"/>
        <w:tblInd w:w="-342" w:type="dxa"/>
        <w:tblLook w:val="04A0" w:firstRow="1" w:lastRow="0" w:firstColumn="1" w:lastColumn="0" w:noHBand="0" w:noVBand="1"/>
      </w:tblPr>
      <w:tblGrid>
        <w:gridCol w:w="2857"/>
        <w:gridCol w:w="2070"/>
        <w:gridCol w:w="1006"/>
        <w:gridCol w:w="980"/>
        <w:gridCol w:w="980"/>
        <w:gridCol w:w="1000"/>
        <w:gridCol w:w="1300"/>
      </w:tblGrid>
      <w:tr w:rsidR="00C05DEF" w:rsidRPr="00B92144" w14:paraId="4DC98195" w14:textId="77777777" w:rsidTr="0071253E">
        <w:trPr>
          <w:trHeight w:val="745"/>
        </w:trPr>
        <w:tc>
          <w:tcPr>
            <w:tcW w:w="28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26F041" w14:textId="77777777" w:rsidR="00C05DEF" w:rsidRPr="00B92144" w:rsidRDefault="00C05DEF" w:rsidP="00C05DEF">
            <w:pPr>
              <w:spacing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71DBD7DC" w14:textId="77777777" w:rsidR="00C05DEF" w:rsidRPr="00B92144" w:rsidRDefault="00C05DEF" w:rsidP="00C05DEF">
            <w:pPr>
              <w:spacing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 </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14:paraId="19F502A5" w14:textId="77777777" w:rsidR="00C05DEF" w:rsidRPr="00B92144" w:rsidRDefault="00C05DEF" w:rsidP="00C05DEF">
            <w:pPr>
              <w:spacing w:line="240" w:lineRule="auto"/>
              <w:jc w:val="center"/>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Mean</w:t>
            </w:r>
          </w:p>
        </w:tc>
        <w:tc>
          <w:tcPr>
            <w:tcW w:w="980" w:type="dxa"/>
            <w:tcBorders>
              <w:top w:val="single" w:sz="4" w:space="0" w:color="auto"/>
              <w:left w:val="nil"/>
              <w:bottom w:val="single" w:sz="4" w:space="0" w:color="auto"/>
              <w:right w:val="single" w:sz="4" w:space="0" w:color="auto"/>
            </w:tcBorders>
            <w:shd w:val="clear" w:color="auto" w:fill="auto"/>
            <w:vAlign w:val="bottom"/>
            <w:hideMark/>
          </w:tcPr>
          <w:p w14:paraId="677320D2" w14:textId="77777777" w:rsidR="00C05DEF" w:rsidRPr="00B92144" w:rsidRDefault="00C05DEF" w:rsidP="00C05DEF">
            <w:pPr>
              <w:spacing w:line="240" w:lineRule="auto"/>
              <w:jc w:val="center"/>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SD</w:t>
            </w:r>
          </w:p>
        </w:tc>
        <w:tc>
          <w:tcPr>
            <w:tcW w:w="980" w:type="dxa"/>
            <w:tcBorders>
              <w:top w:val="single" w:sz="4" w:space="0" w:color="auto"/>
              <w:left w:val="nil"/>
              <w:bottom w:val="single" w:sz="4" w:space="0" w:color="auto"/>
              <w:right w:val="single" w:sz="4" w:space="0" w:color="auto"/>
            </w:tcBorders>
            <w:shd w:val="clear" w:color="auto" w:fill="auto"/>
            <w:vAlign w:val="bottom"/>
            <w:hideMark/>
          </w:tcPr>
          <w:p w14:paraId="46BF10EC" w14:textId="77777777" w:rsidR="00C05DEF" w:rsidRPr="00B92144" w:rsidRDefault="00C05DEF" w:rsidP="00C05DEF">
            <w:pPr>
              <w:spacing w:line="240" w:lineRule="auto"/>
              <w:jc w:val="center"/>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Min</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AF91882" w14:textId="77777777" w:rsidR="00C05DEF" w:rsidRPr="00B92144" w:rsidRDefault="00C05DEF" w:rsidP="00C05DEF">
            <w:pPr>
              <w:spacing w:line="240" w:lineRule="auto"/>
              <w:jc w:val="center"/>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Max</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12E06D9" w14:textId="3CBED527" w:rsidR="00C05DEF" w:rsidRPr="00B92144" w:rsidRDefault="0043755A" w:rsidP="00C05DEF">
            <w:pPr>
              <w:spacing w:line="240" w:lineRule="auto"/>
              <w:jc w:val="center"/>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 xml:space="preserve">Numb </w:t>
            </w:r>
            <w:r w:rsidR="00C05DEF" w:rsidRPr="00B92144">
              <w:rPr>
                <w:rFonts w:asciiTheme="majorBidi" w:eastAsia="Times New Roman" w:hAnsiTheme="majorBidi" w:cstheme="majorBidi"/>
                <w:b/>
                <w:color w:val="000000"/>
                <w:sz w:val="20"/>
                <w:szCs w:val="20"/>
              </w:rPr>
              <w:t>of observed banks</w:t>
            </w:r>
          </w:p>
        </w:tc>
      </w:tr>
      <w:tr w:rsidR="00C05DEF" w:rsidRPr="00B92144" w14:paraId="78F88EC7" w14:textId="77777777" w:rsidTr="0071253E">
        <w:trPr>
          <w:trHeight w:val="300"/>
        </w:trPr>
        <w:tc>
          <w:tcPr>
            <w:tcW w:w="2857" w:type="dxa"/>
            <w:vMerge w:val="restart"/>
            <w:tcBorders>
              <w:top w:val="nil"/>
              <w:left w:val="single" w:sz="4" w:space="0" w:color="auto"/>
              <w:right w:val="single" w:sz="4" w:space="0" w:color="auto"/>
            </w:tcBorders>
            <w:shd w:val="clear" w:color="auto" w:fill="auto"/>
            <w:noWrap/>
            <w:vAlign w:val="bottom"/>
            <w:hideMark/>
          </w:tcPr>
          <w:p w14:paraId="467D074C" w14:textId="6DD30DC0"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 xml:space="preserve">Aggregate </w:t>
            </w:r>
            <w:r w:rsidR="00A512F3" w:rsidRPr="00B92144">
              <w:rPr>
                <w:rFonts w:asciiTheme="majorBidi" w:eastAsia="Times New Roman" w:hAnsiTheme="majorBidi" w:cstheme="majorBidi"/>
                <w:b/>
                <w:color w:val="000000"/>
                <w:sz w:val="20"/>
                <w:szCs w:val="20"/>
              </w:rPr>
              <w:t>R</w:t>
            </w:r>
            <w:r w:rsidR="0062259D" w:rsidRPr="00B92144">
              <w:rPr>
                <w:rFonts w:asciiTheme="majorBidi" w:eastAsia="Times New Roman" w:hAnsiTheme="majorBidi" w:cstheme="majorBidi"/>
                <w:b/>
                <w:color w:val="000000"/>
                <w:sz w:val="20"/>
                <w:szCs w:val="20"/>
              </w:rPr>
              <w:t>R</w:t>
            </w:r>
            <w:r w:rsidR="00A512F3" w:rsidRPr="00B92144">
              <w:rPr>
                <w:rFonts w:asciiTheme="majorBidi" w:eastAsia="Times New Roman" w:hAnsiTheme="majorBidi" w:cstheme="majorBidi"/>
                <w:b/>
                <w:color w:val="000000"/>
                <w:sz w:val="20"/>
                <w:szCs w:val="20"/>
              </w:rPr>
              <w:t>D</w:t>
            </w:r>
            <w:r w:rsidRPr="00B92144">
              <w:rPr>
                <w:rFonts w:asciiTheme="majorBidi" w:eastAsia="Times New Roman" w:hAnsiTheme="majorBidi" w:cstheme="majorBidi"/>
                <w:b/>
                <w:color w:val="000000"/>
                <w:sz w:val="20"/>
                <w:szCs w:val="20"/>
              </w:rPr>
              <w:t xml:space="preserve"> Index</w:t>
            </w:r>
          </w:p>
          <w:p w14:paraId="458DC41A"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AA8FCF3"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Islamic banks</w:t>
            </w:r>
          </w:p>
        </w:tc>
        <w:tc>
          <w:tcPr>
            <w:tcW w:w="1006" w:type="dxa"/>
            <w:tcBorders>
              <w:top w:val="nil"/>
              <w:left w:val="nil"/>
              <w:bottom w:val="single" w:sz="4" w:space="0" w:color="auto"/>
              <w:right w:val="single" w:sz="4" w:space="0" w:color="auto"/>
            </w:tcBorders>
            <w:shd w:val="clear" w:color="auto" w:fill="auto"/>
            <w:noWrap/>
            <w:vAlign w:val="bottom"/>
            <w:hideMark/>
          </w:tcPr>
          <w:p w14:paraId="6FFCD881"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366.1</w:t>
            </w:r>
          </w:p>
        </w:tc>
        <w:tc>
          <w:tcPr>
            <w:tcW w:w="980" w:type="dxa"/>
            <w:tcBorders>
              <w:top w:val="nil"/>
              <w:left w:val="nil"/>
              <w:bottom w:val="single" w:sz="4" w:space="0" w:color="auto"/>
              <w:right w:val="single" w:sz="4" w:space="0" w:color="auto"/>
            </w:tcBorders>
            <w:shd w:val="clear" w:color="auto" w:fill="auto"/>
            <w:noWrap/>
            <w:vAlign w:val="bottom"/>
            <w:hideMark/>
          </w:tcPr>
          <w:p w14:paraId="520AD216"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153.6</w:t>
            </w:r>
          </w:p>
        </w:tc>
        <w:tc>
          <w:tcPr>
            <w:tcW w:w="980" w:type="dxa"/>
            <w:tcBorders>
              <w:top w:val="nil"/>
              <w:left w:val="nil"/>
              <w:bottom w:val="single" w:sz="4" w:space="0" w:color="auto"/>
              <w:right w:val="single" w:sz="4" w:space="0" w:color="auto"/>
            </w:tcBorders>
            <w:shd w:val="clear" w:color="auto" w:fill="auto"/>
            <w:noWrap/>
            <w:vAlign w:val="bottom"/>
            <w:hideMark/>
          </w:tcPr>
          <w:p w14:paraId="042A6E56"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117.0</w:t>
            </w:r>
          </w:p>
        </w:tc>
        <w:tc>
          <w:tcPr>
            <w:tcW w:w="1000" w:type="dxa"/>
            <w:tcBorders>
              <w:top w:val="nil"/>
              <w:left w:val="nil"/>
              <w:bottom w:val="single" w:sz="4" w:space="0" w:color="auto"/>
              <w:right w:val="single" w:sz="4" w:space="0" w:color="auto"/>
            </w:tcBorders>
            <w:shd w:val="clear" w:color="auto" w:fill="auto"/>
            <w:noWrap/>
            <w:vAlign w:val="bottom"/>
            <w:hideMark/>
          </w:tcPr>
          <w:p w14:paraId="6AD792A3"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731.0</w:t>
            </w:r>
          </w:p>
        </w:tc>
        <w:tc>
          <w:tcPr>
            <w:tcW w:w="1300" w:type="dxa"/>
            <w:tcBorders>
              <w:top w:val="nil"/>
              <w:left w:val="nil"/>
              <w:bottom w:val="single" w:sz="4" w:space="0" w:color="auto"/>
              <w:right w:val="single" w:sz="4" w:space="0" w:color="auto"/>
            </w:tcBorders>
            <w:shd w:val="clear" w:color="auto" w:fill="auto"/>
            <w:noWrap/>
            <w:vAlign w:val="bottom"/>
            <w:hideMark/>
          </w:tcPr>
          <w:p w14:paraId="6B21564C"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71</w:t>
            </w:r>
          </w:p>
        </w:tc>
      </w:tr>
      <w:tr w:rsidR="00C05DEF" w:rsidRPr="00B92144" w14:paraId="0CE52177" w14:textId="77777777" w:rsidTr="0071253E">
        <w:trPr>
          <w:trHeight w:val="300"/>
        </w:trPr>
        <w:tc>
          <w:tcPr>
            <w:tcW w:w="2857" w:type="dxa"/>
            <w:vMerge/>
            <w:tcBorders>
              <w:left w:val="single" w:sz="4" w:space="0" w:color="auto"/>
              <w:bottom w:val="single" w:sz="4" w:space="0" w:color="auto"/>
              <w:right w:val="single" w:sz="4" w:space="0" w:color="auto"/>
            </w:tcBorders>
            <w:shd w:val="clear" w:color="auto" w:fill="auto"/>
            <w:noWrap/>
            <w:vAlign w:val="bottom"/>
            <w:hideMark/>
          </w:tcPr>
          <w:p w14:paraId="728A5B28"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bottom"/>
            <w:hideMark/>
          </w:tcPr>
          <w:p w14:paraId="40D7F8E7"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non-</w:t>
            </w:r>
            <w:r w:rsidR="00657977" w:rsidRPr="00B92144">
              <w:rPr>
                <w:rFonts w:asciiTheme="majorBidi" w:eastAsia="Times New Roman" w:hAnsiTheme="majorBidi" w:cstheme="majorBidi"/>
                <w:color w:val="000000"/>
                <w:sz w:val="20"/>
                <w:szCs w:val="20"/>
              </w:rPr>
              <w:t>Islamic</w:t>
            </w:r>
            <w:r w:rsidRPr="00B92144">
              <w:rPr>
                <w:rFonts w:asciiTheme="majorBidi" w:eastAsia="Times New Roman" w:hAnsiTheme="majorBidi" w:cstheme="majorBidi"/>
                <w:color w:val="000000"/>
                <w:sz w:val="20"/>
                <w:szCs w:val="20"/>
              </w:rPr>
              <w:t xml:space="preserve"> banks</w:t>
            </w:r>
          </w:p>
        </w:tc>
        <w:tc>
          <w:tcPr>
            <w:tcW w:w="1006" w:type="dxa"/>
            <w:tcBorders>
              <w:top w:val="nil"/>
              <w:left w:val="nil"/>
              <w:bottom w:val="single" w:sz="4" w:space="0" w:color="auto"/>
              <w:right w:val="single" w:sz="4" w:space="0" w:color="auto"/>
            </w:tcBorders>
            <w:shd w:val="clear" w:color="auto" w:fill="auto"/>
            <w:noWrap/>
            <w:vAlign w:val="bottom"/>
            <w:hideMark/>
          </w:tcPr>
          <w:p w14:paraId="38749AFF"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414.7</w:t>
            </w:r>
          </w:p>
        </w:tc>
        <w:tc>
          <w:tcPr>
            <w:tcW w:w="980" w:type="dxa"/>
            <w:tcBorders>
              <w:top w:val="nil"/>
              <w:left w:val="nil"/>
              <w:bottom w:val="single" w:sz="4" w:space="0" w:color="auto"/>
              <w:right w:val="single" w:sz="4" w:space="0" w:color="auto"/>
            </w:tcBorders>
            <w:shd w:val="clear" w:color="auto" w:fill="auto"/>
            <w:noWrap/>
            <w:vAlign w:val="bottom"/>
            <w:hideMark/>
          </w:tcPr>
          <w:p w14:paraId="6C6B03BF"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246.6</w:t>
            </w:r>
          </w:p>
        </w:tc>
        <w:tc>
          <w:tcPr>
            <w:tcW w:w="980" w:type="dxa"/>
            <w:tcBorders>
              <w:top w:val="nil"/>
              <w:left w:val="nil"/>
              <w:bottom w:val="single" w:sz="4" w:space="0" w:color="auto"/>
              <w:right w:val="single" w:sz="4" w:space="0" w:color="auto"/>
            </w:tcBorders>
            <w:shd w:val="clear" w:color="auto" w:fill="auto"/>
            <w:noWrap/>
            <w:vAlign w:val="bottom"/>
            <w:hideMark/>
          </w:tcPr>
          <w:p w14:paraId="607BB1CB"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3.0</w:t>
            </w:r>
          </w:p>
        </w:tc>
        <w:tc>
          <w:tcPr>
            <w:tcW w:w="1000" w:type="dxa"/>
            <w:tcBorders>
              <w:top w:val="nil"/>
              <w:left w:val="nil"/>
              <w:bottom w:val="single" w:sz="4" w:space="0" w:color="auto"/>
              <w:right w:val="single" w:sz="4" w:space="0" w:color="auto"/>
            </w:tcBorders>
            <w:shd w:val="clear" w:color="auto" w:fill="auto"/>
            <w:noWrap/>
            <w:vAlign w:val="bottom"/>
            <w:hideMark/>
          </w:tcPr>
          <w:p w14:paraId="046098E2"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1296.0</w:t>
            </w:r>
          </w:p>
        </w:tc>
        <w:tc>
          <w:tcPr>
            <w:tcW w:w="1300" w:type="dxa"/>
            <w:tcBorders>
              <w:top w:val="nil"/>
              <w:left w:val="nil"/>
              <w:bottom w:val="single" w:sz="4" w:space="0" w:color="auto"/>
              <w:right w:val="single" w:sz="4" w:space="0" w:color="auto"/>
            </w:tcBorders>
            <w:shd w:val="clear" w:color="auto" w:fill="auto"/>
            <w:noWrap/>
            <w:vAlign w:val="bottom"/>
            <w:hideMark/>
          </w:tcPr>
          <w:p w14:paraId="08D5CB4E"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93</w:t>
            </w:r>
          </w:p>
        </w:tc>
      </w:tr>
      <w:tr w:rsidR="00C05DEF" w:rsidRPr="00B92144" w14:paraId="5A6DDD92" w14:textId="77777777" w:rsidTr="0071253E">
        <w:trPr>
          <w:trHeight w:val="300"/>
        </w:trPr>
        <w:tc>
          <w:tcPr>
            <w:tcW w:w="2857" w:type="dxa"/>
            <w:vMerge w:val="restart"/>
            <w:tcBorders>
              <w:top w:val="nil"/>
              <w:left w:val="single" w:sz="4" w:space="0" w:color="auto"/>
              <w:right w:val="single" w:sz="4" w:space="0" w:color="auto"/>
            </w:tcBorders>
            <w:shd w:val="clear" w:color="auto" w:fill="auto"/>
            <w:noWrap/>
            <w:vAlign w:val="bottom"/>
            <w:hideMark/>
          </w:tcPr>
          <w:p w14:paraId="4D419990"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 xml:space="preserve"> Qatar</w:t>
            </w:r>
          </w:p>
          <w:p w14:paraId="68AD0027"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FEBC603"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Islamic banks</w:t>
            </w:r>
          </w:p>
        </w:tc>
        <w:tc>
          <w:tcPr>
            <w:tcW w:w="1006" w:type="dxa"/>
            <w:tcBorders>
              <w:top w:val="nil"/>
              <w:left w:val="nil"/>
              <w:bottom w:val="single" w:sz="4" w:space="0" w:color="auto"/>
              <w:right w:val="single" w:sz="4" w:space="0" w:color="auto"/>
            </w:tcBorders>
            <w:shd w:val="clear" w:color="auto" w:fill="auto"/>
            <w:noWrap/>
            <w:vAlign w:val="bottom"/>
            <w:hideMark/>
          </w:tcPr>
          <w:p w14:paraId="231845DF"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239.8</w:t>
            </w:r>
          </w:p>
        </w:tc>
        <w:tc>
          <w:tcPr>
            <w:tcW w:w="980" w:type="dxa"/>
            <w:tcBorders>
              <w:top w:val="nil"/>
              <w:left w:val="nil"/>
              <w:bottom w:val="single" w:sz="4" w:space="0" w:color="auto"/>
              <w:right w:val="single" w:sz="4" w:space="0" w:color="auto"/>
            </w:tcBorders>
            <w:shd w:val="clear" w:color="auto" w:fill="auto"/>
            <w:noWrap/>
            <w:vAlign w:val="bottom"/>
            <w:hideMark/>
          </w:tcPr>
          <w:p w14:paraId="753D3B40"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96.9</w:t>
            </w:r>
          </w:p>
        </w:tc>
        <w:tc>
          <w:tcPr>
            <w:tcW w:w="980" w:type="dxa"/>
            <w:tcBorders>
              <w:top w:val="nil"/>
              <w:left w:val="nil"/>
              <w:bottom w:val="single" w:sz="4" w:space="0" w:color="auto"/>
              <w:right w:val="single" w:sz="4" w:space="0" w:color="auto"/>
            </w:tcBorders>
            <w:shd w:val="clear" w:color="auto" w:fill="auto"/>
            <w:noWrap/>
            <w:vAlign w:val="bottom"/>
            <w:hideMark/>
          </w:tcPr>
          <w:p w14:paraId="4916EBC7"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148.0</w:t>
            </w:r>
          </w:p>
        </w:tc>
        <w:tc>
          <w:tcPr>
            <w:tcW w:w="1000" w:type="dxa"/>
            <w:tcBorders>
              <w:top w:val="nil"/>
              <w:left w:val="nil"/>
              <w:bottom w:val="single" w:sz="4" w:space="0" w:color="auto"/>
              <w:right w:val="single" w:sz="4" w:space="0" w:color="auto"/>
            </w:tcBorders>
            <w:shd w:val="clear" w:color="auto" w:fill="auto"/>
            <w:noWrap/>
            <w:vAlign w:val="bottom"/>
            <w:hideMark/>
          </w:tcPr>
          <w:p w14:paraId="0F600FEE"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402.0</w:t>
            </w:r>
          </w:p>
        </w:tc>
        <w:tc>
          <w:tcPr>
            <w:tcW w:w="1300" w:type="dxa"/>
            <w:tcBorders>
              <w:top w:val="nil"/>
              <w:left w:val="nil"/>
              <w:bottom w:val="single" w:sz="4" w:space="0" w:color="auto"/>
              <w:right w:val="single" w:sz="4" w:space="0" w:color="auto"/>
            </w:tcBorders>
            <w:shd w:val="clear" w:color="auto" w:fill="auto"/>
            <w:noWrap/>
            <w:vAlign w:val="bottom"/>
            <w:hideMark/>
          </w:tcPr>
          <w:p w14:paraId="734FE0BE"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4</w:t>
            </w:r>
          </w:p>
        </w:tc>
      </w:tr>
      <w:tr w:rsidR="00C05DEF" w:rsidRPr="00B92144" w14:paraId="57AF0F2C" w14:textId="77777777" w:rsidTr="0071253E">
        <w:trPr>
          <w:trHeight w:val="300"/>
        </w:trPr>
        <w:tc>
          <w:tcPr>
            <w:tcW w:w="2857" w:type="dxa"/>
            <w:vMerge/>
            <w:tcBorders>
              <w:left w:val="single" w:sz="4" w:space="0" w:color="auto"/>
              <w:bottom w:val="single" w:sz="4" w:space="0" w:color="auto"/>
              <w:right w:val="single" w:sz="4" w:space="0" w:color="auto"/>
            </w:tcBorders>
            <w:shd w:val="clear" w:color="auto" w:fill="auto"/>
            <w:noWrap/>
            <w:vAlign w:val="bottom"/>
            <w:hideMark/>
          </w:tcPr>
          <w:p w14:paraId="43DA1051"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bottom"/>
            <w:hideMark/>
          </w:tcPr>
          <w:p w14:paraId="1FB0CAF2"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non-</w:t>
            </w:r>
            <w:r w:rsidR="00657977" w:rsidRPr="00B92144">
              <w:rPr>
                <w:rFonts w:asciiTheme="majorBidi" w:eastAsia="Times New Roman" w:hAnsiTheme="majorBidi" w:cstheme="majorBidi"/>
                <w:color w:val="000000"/>
                <w:sz w:val="20"/>
                <w:szCs w:val="20"/>
              </w:rPr>
              <w:t>Islamic</w:t>
            </w:r>
            <w:r w:rsidRPr="00B92144">
              <w:rPr>
                <w:rFonts w:asciiTheme="majorBidi" w:eastAsia="Times New Roman" w:hAnsiTheme="majorBidi" w:cstheme="majorBidi"/>
                <w:color w:val="000000"/>
                <w:sz w:val="20"/>
                <w:szCs w:val="20"/>
              </w:rPr>
              <w:t xml:space="preserve"> banks</w:t>
            </w:r>
          </w:p>
        </w:tc>
        <w:tc>
          <w:tcPr>
            <w:tcW w:w="1006" w:type="dxa"/>
            <w:tcBorders>
              <w:top w:val="nil"/>
              <w:left w:val="nil"/>
              <w:bottom w:val="single" w:sz="4" w:space="0" w:color="auto"/>
              <w:right w:val="single" w:sz="4" w:space="0" w:color="auto"/>
            </w:tcBorders>
            <w:shd w:val="clear" w:color="auto" w:fill="auto"/>
            <w:noWrap/>
            <w:vAlign w:val="bottom"/>
            <w:hideMark/>
          </w:tcPr>
          <w:p w14:paraId="5C665F62"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367.5</w:t>
            </w:r>
          </w:p>
        </w:tc>
        <w:tc>
          <w:tcPr>
            <w:tcW w:w="980" w:type="dxa"/>
            <w:tcBorders>
              <w:top w:val="nil"/>
              <w:left w:val="nil"/>
              <w:bottom w:val="single" w:sz="4" w:space="0" w:color="auto"/>
              <w:right w:val="single" w:sz="4" w:space="0" w:color="auto"/>
            </w:tcBorders>
            <w:shd w:val="clear" w:color="auto" w:fill="auto"/>
            <w:noWrap/>
            <w:vAlign w:val="bottom"/>
            <w:hideMark/>
          </w:tcPr>
          <w:p w14:paraId="5E6618A7"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188.4</w:t>
            </w:r>
          </w:p>
        </w:tc>
        <w:tc>
          <w:tcPr>
            <w:tcW w:w="980" w:type="dxa"/>
            <w:tcBorders>
              <w:top w:val="nil"/>
              <w:left w:val="nil"/>
              <w:bottom w:val="single" w:sz="4" w:space="0" w:color="auto"/>
              <w:right w:val="single" w:sz="4" w:space="0" w:color="auto"/>
            </w:tcBorders>
            <w:shd w:val="clear" w:color="auto" w:fill="auto"/>
            <w:noWrap/>
            <w:vAlign w:val="bottom"/>
            <w:hideMark/>
          </w:tcPr>
          <w:p w14:paraId="0DCCA7A5"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2.0</w:t>
            </w:r>
          </w:p>
        </w:tc>
        <w:tc>
          <w:tcPr>
            <w:tcW w:w="1000" w:type="dxa"/>
            <w:tcBorders>
              <w:top w:val="nil"/>
              <w:left w:val="nil"/>
              <w:bottom w:val="single" w:sz="4" w:space="0" w:color="auto"/>
              <w:right w:val="single" w:sz="4" w:space="0" w:color="auto"/>
            </w:tcBorders>
            <w:shd w:val="clear" w:color="auto" w:fill="auto"/>
            <w:noWrap/>
            <w:vAlign w:val="bottom"/>
            <w:hideMark/>
          </w:tcPr>
          <w:p w14:paraId="7F482AC5"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620.0</w:t>
            </w:r>
          </w:p>
        </w:tc>
        <w:tc>
          <w:tcPr>
            <w:tcW w:w="1300" w:type="dxa"/>
            <w:tcBorders>
              <w:top w:val="nil"/>
              <w:left w:val="nil"/>
              <w:bottom w:val="single" w:sz="4" w:space="0" w:color="auto"/>
              <w:right w:val="single" w:sz="4" w:space="0" w:color="auto"/>
            </w:tcBorders>
            <w:shd w:val="clear" w:color="auto" w:fill="auto"/>
            <w:noWrap/>
            <w:vAlign w:val="bottom"/>
            <w:hideMark/>
          </w:tcPr>
          <w:p w14:paraId="0E9DD2DD"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7</w:t>
            </w:r>
          </w:p>
        </w:tc>
      </w:tr>
      <w:tr w:rsidR="00C05DEF" w:rsidRPr="00B92144" w14:paraId="4A24F56B" w14:textId="77777777" w:rsidTr="0071253E">
        <w:trPr>
          <w:trHeight w:val="300"/>
        </w:trPr>
        <w:tc>
          <w:tcPr>
            <w:tcW w:w="2857" w:type="dxa"/>
            <w:vMerge w:val="restart"/>
            <w:tcBorders>
              <w:top w:val="nil"/>
              <w:left w:val="single" w:sz="4" w:space="0" w:color="auto"/>
              <w:right w:val="single" w:sz="4" w:space="0" w:color="auto"/>
            </w:tcBorders>
            <w:shd w:val="clear" w:color="auto" w:fill="auto"/>
            <w:noWrap/>
            <w:vAlign w:val="bottom"/>
            <w:hideMark/>
          </w:tcPr>
          <w:p w14:paraId="71E5EF3C"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Bahrain</w:t>
            </w:r>
          </w:p>
          <w:p w14:paraId="1D17D25A"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35ED7C6B"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Islamic banks</w:t>
            </w:r>
          </w:p>
        </w:tc>
        <w:tc>
          <w:tcPr>
            <w:tcW w:w="1006" w:type="dxa"/>
            <w:tcBorders>
              <w:top w:val="nil"/>
              <w:left w:val="nil"/>
              <w:bottom w:val="single" w:sz="4" w:space="0" w:color="auto"/>
              <w:right w:val="single" w:sz="4" w:space="0" w:color="auto"/>
            </w:tcBorders>
            <w:shd w:val="clear" w:color="auto" w:fill="auto"/>
            <w:noWrap/>
            <w:vAlign w:val="bottom"/>
            <w:hideMark/>
          </w:tcPr>
          <w:p w14:paraId="72CAF7C6"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365.0</w:t>
            </w:r>
          </w:p>
        </w:tc>
        <w:tc>
          <w:tcPr>
            <w:tcW w:w="980" w:type="dxa"/>
            <w:tcBorders>
              <w:top w:val="nil"/>
              <w:left w:val="nil"/>
              <w:bottom w:val="single" w:sz="4" w:space="0" w:color="auto"/>
              <w:right w:val="single" w:sz="4" w:space="0" w:color="auto"/>
            </w:tcBorders>
            <w:shd w:val="clear" w:color="auto" w:fill="auto"/>
            <w:noWrap/>
            <w:vAlign w:val="bottom"/>
            <w:hideMark/>
          </w:tcPr>
          <w:p w14:paraId="6F905E23"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148.0</w:t>
            </w:r>
          </w:p>
        </w:tc>
        <w:tc>
          <w:tcPr>
            <w:tcW w:w="980" w:type="dxa"/>
            <w:tcBorders>
              <w:top w:val="nil"/>
              <w:left w:val="nil"/>
              <w:bottom w:val="single" w:sz="4" w:space="0" w:color="auto"/>
              <w:right w:val="single" w:sz="4" w:space="0" w:color="auto"/>
            </w:tcBorders>
            <w:shd w:val="clear" w:color="auto" w:fill="auto"/>
            <w:noWrap/>
            <w:vAlign w:val="bottom"/>
            <w:hideMark/>
          </w:tcPr>
          <w:p w14:paraId="1078649F"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7.0</w:t>
            </w:r>
          </w:p>
        </w:tc>
        <w:tc>
          <w:tcPr>
            <w:tcW w:w="1000" w:type="dxa"/>
            <w:tcBorders>
              <w:top w:val="nil"/>
              <w:left w:val="nil"/>
              <w:bottom w:val="single" w:sz="4" w:space="0" w:color="auto"/>
              <w:right w:val="single" w:sz="4" w:space="0" w:color="auto"/>
            </w:tcBorders>
            <w:shd w:val="clear" w:color="auto" w:fill="auto"/>
            <w:noWrap/>
            <w:vAlign w:val="bottom"/>
            <w:hideMark/>
          </w:tcPr>
          <w:p w14:paraId="75B8DDA2"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657.0</w:t>
            </w:r>
          </w:p>
        </w:tc>
        <w:tc>
          <w:tcPr>
            <w:tcW w:w="1300" w:type="dxa"/>
            <w:tcBorders>
              <w:top w:val="nil"/>
              <w:left w:val="nil"/>
              <w:bottom w:val="single" w:sz="4" w:space="0" w:color="auto"/>
              <w:right w:val="single" w:sz="4" w:space="0" w:color="auto"/>
            </w:tcBorders>
            <w:shd w:val="clear" w:color="auto" w:fill="auto"/>
            <w:noWrap/>
            <w:vAlign w:val="bottom"/>
            <w:hideMark/>
          </w:tcPr>
          <w:p w14:paraId="501B80B1"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23</w:t>
            </w:r>
          </w:p>
        </w:tc>
      </w:tr>
      <w:tr w:rsidR="00C05DEF" w:rsidRPr="00B92144" w14:paraId="7BED09A5" w14:textId="77777777" w:rsidTr="0071253E">
        <w:trPr>
          <w:trHeight w:val="300"/>
        </w:trPr>
        <w:tc>
          <w:tcPr>
            <w:tcW w:w="2857" w:type="dxa"/>
            <w:vMerge/>
            <w:tcBorders>
              <w:left w:val="single" w:sz="4" w:space="0" w:color="auto"/>
              <w:bottom w:val="single" w:sz="4" w:space="0" w:color="auto"/>
              <w:right w:val="single" w:sz="4" w:space="0" w:color="auto"/>
            </w:tcBorders>
            <w:shd w:val="clear" w:color="auto" w:fill="auto"/>
            <w:noWrap/>
            <w:vAlign w:val="bottom"/>
            <w:hideMark/>
          </w:tcPr>
          <w:p w14:paraId="06E7F206"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bottom"/>
            <w:hideMark/>
          </w:tcPr>
          <w:p w14:paraId="0B3C9617"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non-</w:t>
            </w:r>
            <w:r w:rsidR="00657977" w:rsidRPr="00B92144">
              <w:rPr>
                <w:rFonts w:asciiTheme="majorBidi" w:eastAsia="Times New Roman" w:hAnsiTheme="majorBidi" w:cstheme="majorBidi"/>
                <w:color w:val="000000"/>
                <w:sz w:val="20"/>
                <w:szCs w:val="20"/>
              </w:rPr>
              <w:t>Islamic</w:t>
            </w:r>
            <w:r w:rsidRPr="00B92144">
              <w:rPr>
                <w:rFonts w:asciiTheme="majorBidi" w:eastAsia="Times New Roman" w:hAnsiTheme="majorBidi" w:cstheme="majorBidi"/>
                <w:color w:val="000000"/>
                <w:sz w:val="20"/>
                <w:szCs w:val="20"/>
              </w:rPr>
              <w:t xml:space="preserve"> banks</w:t>
            </w:r>
          </w:p>
        </w:tc>
        <w:tc>
          <w:tcPr>
            <w:tcW w:w="1006" w:type="dxa"/>
            <w:tcBorders>
              <w:top w:val="nil"/>
              <w:left w:val="nil"/>
              <w:bottom w:val="single" w:sz="4" w:space="0" w:color="auto"/>
              <w:right w:val="single" w:sz="4" w:space="0" w:color="auto"/>
            </w:tcBorders>
            <w:shd w:val="clear" w:color="auto" w:fill="auto"/>
            <w:noWrap/>
            <w:vAlign w:val="bottom"/>
            <w:hideMark/>
          </w:tcPr>
          <w:p w14:paraId="2E56B5E4"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398.0</w:t>
            </w:r>
          </w:p>
        </w:tc>
        <w:tc>
          <w:tcPr>
            <w:tcW w:w="980" w:type="dxa"/>
            <w:tcBorders>
              <w:top w:val="nil"/>
              <w:left w:val="nil"/>
              <w:bottom w:val="single" w:sz="4" w:space="0" w:color="auto"/>
              <w:right w:val="single" w:sz="4" w:space="0" w:color="auto"/>
            </w:tcBorders>
            <w:shd w:val="clear" w:color="auto" w:fill="auto"/>
            <w:noWrap/>
            <w:vAlign w:val="bottom"/>
            <w:hideMark/>
          </w:tcPr>
          <w:p w14:paraId="4F8CB4E2"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175.0</w:t>
            </w:r>
          </w:p>
        </w:tc>
        <w:tc>
          <w:tcPr>
            <w:tcW w:w="980" w:type="dxa"/>
            <w:tcBorders>
              <w:top w:val="nil"/>
              <w:left w:val="nil"/>
              <w:bottom w:val="single" w:sz="4" w:space="0" w:color="auto"/>
              <w:right w:val="single" w:sz="4" w:space="0" w:color="auto"/>
            </w:tcBorders>
            <w:shd w:val="clear" w:color="auto" w:fill="auto"/>
            <w:noWrap/>
            <w:vAlign w:val="bottom"/>
            <w:hideMark/>
          </w:tcPr>
          <w:p w14:paraId="64041FC3"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3.0</w:t>
            </w:r>
          </w:p>
        </w:tc>
        <w:tc>
          <w:tcPr>
            <w:tcW w:w="1000" w:type="dxa"/>
            <w:tcBorders>
              <w:top w:val="nil"/>
              <w:left w:val="nil"/>
              <w:bottom w:val="single" w:sz="4" w:space="0" w:color="auto"/>
              <w:right w:val="single" w:sz="4" w:space="0" w:color="auto"/>
            </w:tcBorders>
            <w:shd w:val="clear" w:color="auto" w:fill="auto"/>
            <w:noWrap/>
            <w:vAlign w:val="bottom"/>
            <w:hideMark/>
          </w:tcPr>
          <w:p w14:paraId="0D4357A1"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812.0</w:t>
            </w:r>
          </w:p>
        </w:tc>
        <w:tc>
          <w:tcPr>
            <w:tcW w:w="1300" w:type="dxa"/>
            <w:tcBorders>
              <w:top w:val="nil"/>
              <w:left w:val="nil"/>
              <w:bottom w:val="single" w:sz="4" w:space="0" w:color="auto"/>
              <w:right w:val="single" w:sz="4" w:space="0" w:color="auto"/>
            </w:tcBorders>
            <w:shd w:val="clear" w:color="auto" w:fill="auto"/>
            <w:noWrap/>
            <w:vAlign w:val="bottom"/>
            <w:hideMark/>
          </w:tcPr>
          <w:p w14:paraId="6B858285"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12</w:t>
            </w:r>
          </w:p>
        </w:tc>
      </w:tr>
      <w:tr w:rsidR="00C05DEF" w:rsidRPr="00B92144" w14:paraId="6D209477" w14:textId="77777777" w:rsidTr="0071253E">
        <w:trPr>
          <w:trHeight w:val="300"/>
        </w:trPr>
        <w:tc>
          <w:tcPr>
            <w:tcW w:w="2857" w:type="dxa"/>
            <w:vMerge w:val="restart"/>
            <w:tcBorders>
              <w:top w:val="nil"/>
              <w:left w:val="single" w:sz="4" w:space="0" w:color="auto"/>
              <w:right w:val="single" w:sz="4" w:space="0" w:color="auto"/>
            </w:tcBorders>
            <w:shd w:val="clear" w:color="auto" w:fill="auto"/>
            <w:noWrap/>
            <w:vAlign w:val="bottom"/>
            <w:hideMark/>
          </w:tcPr>
          <w:p w14:paraId="4F97FD58"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Egypt</w:t>
            </w:r>
          </w:p>
          <w:p w14:paraId="14DF034C"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A8E246B"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Islamic banks</w:t>
            </w:r>
          </w:p>
        </w:tc>
        <w:tc>
          <w:tcPr>
            <w:tcW w:w="1006" w:type="dxa"/>
            <w:tcBorders>
              <w:top w:val="nil"/>
              <w:left w:val="nil"/>
              <w:bottom w:val="single" w:sz="4" w:space="0" w:color="auto"/>
              <w:right w:val="single" w:sz="4" w:space="0" w:color="auto"/>
            </w:tcBorders>
            <w:shd w:val="clear" w:color="auto" w:fill="auto"/>
            <w:noWrap/>
            <w:vAlign w:val="bottom"/>
            <w:hideMark/>
          </w:tcPr>
          <w:p w14:paraId="4A180459"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167.8</w:t>
            </w:r>
          </w:p>
        </w:tc>
        <w:tc>
          <w:tcPr>
            <w:tcW w:w="980" w:type="dxa"/>
            <w:tcBorders>
              <w:top w:val="nil"/>
              <w:left w:val="nil"/>
              <w:bottom w:val="single" w:sz="4" w:space="0" w:color="auto"/>
              <w:right w:val="single" w:sz="4" w:space="0" w:color="auto"/>
            </w:tcBorders>
            <w:shd w:val="clear" w:color="auto" w:fill="auto"/>
            <w:noWrap/>
            <w:vAlign w:val="bottom"/>
            <w:hideMark/>
          </w:tcPr>
          <w:p w14:paraId="166B9E41"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143.4</w:t>
            </w:r>
          </w:p>
        </w:tc>
        <w:tc>
          <w:tcPr>
            <w:tcW w:w="980" w:type="dxa"/>
            <w:tcBorders>
              <w:top w:val="nil"/>
              <w:left w:val="nil"/>
              <w:bottom w:val="single" w:sz="4" w:space="0" w:color="auto"/>
              <w:right w:val="single" w:sz="4" w:space="0" w:color="auto"/>
            </w:tcBorders>
            <w:shd w:val="clear" w:color="auto" w:fill="auto"/>
            <w:noWrap/>
            <w:vAlign w:val="bottom"/>
            <w:hideMark/>
          </w:tcPr>
          <w:p w14:paraId="39A2E7E0"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13.0</w:t>
            </w:r>
          </w:p>
        </w:tc>
        <w:tc>
          <w:tcPr>
            <w:tcW w:w="1000" w:type="dxa"/>
            <w:tcBorders>
              <w:top w:val="nil"/>
              <w:left w:val="nil"/>
              <w:bottom w:val="single" w:sz="4" w:space="0" w:color="auto"/>
              <w:right w:val="single" w:sz="4" w:space="0" w:color="auto"/>
            </w:tcBorders>
            <w:shd w:val="clear" w:color="auto" w:fill="auto"/>
            <w:noWrap/>
            <w:vAlign w:val="bottom"/>
            <w:hideMark/>
          </w:tcPr>
          <w:p w14:paraId="39A6420F"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327.0</w:t>
            </w:r>
          </w:p>
        </w:tc>
        <w:tc>
          <w:tcPr>
            <w:tcW w:w="1300" w:type="dxa"/>
            <w:tcBorders>
              <w:top w:val="nil"/>
              <w:left w:val="nil"/>
              <w:bottom w:val="single" w:sz="4" w:space="0" w:color="auto"/>
              <w:right w:val="single" w:sz="4" w:space="0" w:color="auto"/>
            </w:tcBorders>
            <w:shd w:val="clear" w:color="auto" w:fill="auto"/>
            <w:noWrap/>
            <w:vAlign w:val="bottom"/>
            <w:hideMark/>
          </w:tcPr>
          <w:p w14:paraId="3A411071"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w:t>
            </w:r>
          </w:p>
        </w:tc>
      </w:tr>
      <w:tr w:rsidR="00C05DEF" w:rsidRPr="00B92144" w14:paraId="317DF5C5" w14:textId="77777777" w:rsidTr="0071253E">
        <w:trPr>
          <w:trHeight w:val="300"/>
        </w:trPr>
        <w:tc>
          <w:tcPr>
            <w:tcW w:w="2857" w:type="dxa"/>
            <w:vMerge/>
            <w:tcBorders>
              <w:left w:val="single" w:sz="4" w:space="0" w:color="auto"/>
              <w:bottom w:val="single" w:sz="4" w:space="0" w:color="auto"/>
              <w:right w:val="single" w:sz="4" w:space="0" w:color="auto"/>
            </w:tcBorders>
            <w:shd w:val="clear" w:color="auto" w:fill="auto"/>
            <w:noWrap/>
            <w:vAlign w:val="bottom"/>
            <w:hideMark/>
          </w:tcPr>
          <w:p w14:paraId="15EC9C22"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bottom"/>
            <w:hideMark/>
          </w:tcPr>
          <w:p w14:paraId="312E846B"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non-</w:t>
            </w:r>
            <w:r w:rsidR="00657977" w:rsidRPr="00B92144">
              <w:rPr>
                <w:rFonts w:asciiTheme="majorBidi" w:eastAsia="Times New Roman" w:hAnsiTheme="majorBidi" w:cstheme="majorBidi"/>
                <w:color w:val="000000"/>
                <w:sz w:val="20"/>
                <w:szCs w:val="20"/>
              </w:rPr>
              <w:t>Islamic</w:t>
            </w:r>
            <w:r w:rsidRPr="00B92144">
              <w:rPr>
                <w:rFonts w:asciiTheme="majorBidi" w:eastAsia="Times New Roman" w:hAnsiTheme="majorBidi" w:cstheme="majorBidi"/>
                <w:color w:val="000000"/>
                <w:sz w:val="20"/>
                <w:szCs w:val="20"/>
              </w:rPr>
              <w:t xml:space="preserve"> banks</w:t>
            </w:r>
          </w:p>
        </w:tc>
        <w:tc>
          <w:tcPr>
            <w:tcW w:w="1006" w:type="dxa"/>
            <w:tcBorders>
              <w:top w:val="nil"/>
              <w:left w:val="nil"/>
              <w:bottom w:val="single" w:sz="4" w:space="0" w:color="auto"/>
              <w:right w:val="single" w:sz="4" w:space="0" w:color="auto"/>
            </w:tcBorders>
            <w:shd w:val="clear" w:color="auto" w:fill="auto"/>
            <w:noWrap/>
            <w:vAlign w:val="bottom"/>
            <w:hideMark/>
          </w:tcPr>
          <w:p w14:paraId="609ABBF6"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203.9</w:t>
            </w:r>
          </w:p>
        </w:tc>
        <w:tc>
          <w:tcPr>
            <w:tcW w:w="980" w:type="dxa"/>
            <w:tcBorders>
              <w:top w:val="nil"/>
              <w:left w:val="nil"/>
              <w:bottom w:val="single" w:sz="4" w:space="0" w:color="auto"/>
              <w:right w:val="single" w:sz="4" w:space="0" w:color="auto"/>
            </w:tcBorders>
            <w:shd w:val="clear" w:color="auto" w:fill="auto"/>
            <w:noWrap/>
            <w:vAlign w:val="bottom"/>
            <w:hideMark/>
          </w:tcPr>
          <w:p w14:paraId="2B29A3F6"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174.3</w:t>
            </w:r>
          </w:p>
        </w:tc>
        <w:tc>
          <w:tcPr>
            <w:tcW w:w="980" w:type="dxa"/>
            <w:tcBorders>
              <w:top w:val="nil"/>
              <w:left w:val="nil"/>
              <w:bottom w:val="single" w:sz="4" w:space="0" w:color="auto"/>
              <w:right w:val="single" w:sz="4" w:space="0" w:color="auto"/>
            </w:tcBorders>
            <w:shd w:val="clear" w:color="auto" w:fill="auto"/>
            <w:noWrap/>
            <w:vAlign w:val="bottom"/>
            <w:hideMark/>
          </w:tcPr>
          <w:p w14:paraId="7783D4CD"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41.0</w:t>
            </w:r>
          </w:p>
        </w:tc>
        <w:tc>
          <w:tcPr>
            <w:tcW w:w="1000" w:type="dxa"/>
            <w:tcBorders>
              <w:top w:val="nil"/>
              <w:left w:val="nil"/>
              <w:bottom w:val="single" w:sz="4" w:space="0" w:color="auto"/>
              <w:right w:val="single" w:sz="4" w:space="0" w:color="auto"/>
            </w:tcBorders>
            <w:shd w:val="clear" w:color="auto" w:fill="auto"/>
            <w:noWrap/>
            <w:vAlign w:val="bottom"/>
            <w:hideMark/>
          </w:tcPr>
          <w:p w14:paraId="1787C4C5"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398.0</w:t>
            </w:r>
          </w:p>
        </w:tc>
        <w:tc>
          <w:tcPr>
            <w:tcW w:w="1300" w:type="dxa"/>
            <w:tcBorders>
              <w:top w:val="nil"/>
              <w:left w:val="nil"/>
              <w:bottom w:val="single" w:sz="4" w:space="0" w:color="auto"/>
              <w:right w:val="single" w:sz="4" w:space="0" w:color="auto"/>
            </w:tcBorders>
            <w:shd w:val="clear" w:color="auto" w:fill="auto"/>
            <w:noWrap/>
            <w:vAlign w:val="bottom"/>
            <w:hideMark/>
          </w:tcPr>
          <w:p w14:paraId="4E947CA0"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8</w:t>
            </w:r>
          </w:p>
        </w:tc>
      </w:tr>
      <w:tr w:rsidR="00C05DEF" w:rsidRPr="00B92144" w14:paraId="7045C6A0" w14:textId="77777777" w:rsidTr="0071253E">
        <w:trPr>
          <w:trHeight w:val="300"/>
        </w:trPr>
        <w:tc>
          <w:tcPr>
            <w:tcW w:w="2857" w:type="dxa"/>
            <w:vMerge w:val="restart"/>
            <w:tcBorders>
              <w:top w:val="nil"/>
              <w:left w:val="single" w:sz="4" w:space="0" w:color="auto"/>
              <w:right w:val="single" w:sz="4" w:space="0" w:color="auto"/>
            </w:tcBorders>
            <w:shd w:val="clear" w:color="auto" w:fill="auto"/>
            <w:noWrap/>
            <w:vAlign w:val="bottom"/>
            <w:hideMark/>
          </w:tcPr>
          <w:p w14:paraId="484A52C5"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Jordan</w:t>
            </w:r>
          </w:p>
          <w:p w14:paraId="66561EFD"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0EFBE6F"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Islamic banks</w:t>
            </w:r>
          </w:p>
        </w:tc>
        <w:tc>
          <w:tcPr>
            <w:tcW w:w="1006" w:type="dxa"/>
            <w:tcBorders>
              <w:top w:val="nil"/>
              <w:left w:val="nil"/>
              <w:bottom w:val="single" w:sz="4" w:space="0" w:color="auto"/>
              <w:right w:val="single" w:sz="4" w:space="0" w:color="auto"/>
            </w:tcBorders>
            <w:shd w:val="clear" w:color="auto" w:fill="auto"/>
            <w:noWrap/>
            <w:vAlign w:val="bottom"/>
            <w:hideMark/>
          </w:tcPr>
          <w:p w14:paraId="586958BA"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257.6</w:t>
            </w:r>
          </w:p>
        </w:tc>
        <w:tc>
          <w:tcPr>
            <w:tcW w:w="980" w:type="dxa"/>
            <w:tcBorders>
              <w:top w:val="nil"/>
              <w:left w:val="nil"/>
              <w:bottom w:val="single" w:sz="4" w:space="0" w:color="auto"/>
              <w:right w:val="single" w:sz="4" w:space="0" w:color="auto"/>
            </w:tcBorders>
            <w:shd w:val="clear" w:color="auto" w:fill="auto"/>
            <w:noWrap/>
            <w:vAlign w:val="bottom"/>
            <w:hideMark/>
          </w:tcPr>
          <w:p w14:paraId="5C7DBE72"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42.6</w:t>
            </w:r>
          </w:p>
        </w:tc>
        <w:tc>
          <w:tcPr>
            <w:tcW w:w="980" w:type="dxa"/>
            <w:tcBorders>
              <w:top w:val="nil"/>
              <w:left w:val="nil"/>
              <w:bottom w:val="single" w:sz="4" w:space="0" w:color="auto"/>
              <w:right w:val="single" w:sz="4" w:space="0" w:color="auto"/>
            </w:tcBorders>
            <w:shd w:val="clear" w:color="auto" w:fill="auto"/>
            <w:noWrap/>
            <w:vAlign w:val="bottom"/>
            <w:hideMark/>
          </w:tcPr>
          <w:p w14:paraId="5F000450"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182.0</w:t>
            </w:r>
          </w:p>
        </w:tc>
        <w:tc>
          <w:tcPr>
            <w:tcW w:w="1000" w:type="dxa"/>
            <w:tcBorders>
              <w:top w:val="nil"/>
              <w:left w:val="nil"/>
              <w:bottom w:val="single" w:sz="4" w:space="0" w:color="auto"/>
              <w:right w:val="single" w:sz="4" w:space="0" w:color="auto"/>
            </w:tcBorders>
            <w:shd w:val="clear" w:color="auto" w:fill="auto"/>
            <w:noWrap/>
            <w:vAlign w:val="bottom"/>
            <w:hideMark/>
          </w:tcPr>
          <w:p w14:paraId="1EB2564B"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318.0</w:t>
            </w:r>
          </w:p>
        </w:tc>
        <w:tc>
          <w:tcPr>
            <w:tcW w:w="1300" w:type="dxa"/>
            <w:tcBorders>
              <w:top w:val="nil"/>
              <w:left w:val="nil"/>
              <w:bottom w:val="single" w:sz="4" w:space="0" w:color="auto"/>
              <w:right w:val="single" w:sz="4" w:space="0" w:color="auto"/>
            </w:tcBorders>
            <w:shd w:val="clear" w:color="auto" w:fill="auto"/>
            <w:noWrap/>
            <w:vAlign w:val="bottom"/>
            <w:hideMark/>
          </w:tcPr>
          <w:p w14:paraId="3AA53DEF"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w:t>
            </w:r>
          </w:p>
        </w:tc>
      </w:tr>
      <w:tr w:rsidR="00C05DEF" w:rsidRPr="00B92144" w14:paraId="11822185" w14:textId="77777777" w:rsidTr="0071253E">
        <w:trPr>
          <w:trHeight w:val="300"/>
        </w:trPr>
        <w:tc>
          <w:tcPr>
            <w:tcW w:w="2857" w:type="dxa"/>
            <w:vMerge/>
            <w:tcBorders>
              <w:left w:val="single" w:sz="4" w:space="0" w:color="auto"/>
              <w:bottom w:val="single" w:sz="4" w:space="0" w:color="auto"/>
              <w:right w:val="single" w:sz="4" w:space="0" w:color="auto"/>
            </w:tcBorders>
            <w:shd w:val="clear" w:color="auto" w:fill="auto"/>
            <w:noWrap/>
            <w:vAlign w:val="bottom"/>
            <w:hideMark/>
          </w:tcPr>
          <w:p w14:paraId="3FE1C8EF"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bottom"/>
            <w:hideMark/>
          </w:tcPr>
          <w:p w14:paraId="53E64660"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non-</w:t>
            </w:r>
            <w:r w:rsidR="00657977" w:rsidRPr="00B92144">
              <w:rPr>
                <w:rFonts w:asciiTheme="majorBidi" w:eastAsia="Times New Roman" w:hAnsiTheme="majorBidi" w:cstheme="majorBidi"/>
                <w:color w:val="000000"/>
                <w:sz w:val="20"/>
                <w:szCs w:val="20"/>
              </w:rPr>
              <w:t>Islamic</w:t>
            </w:r>
            <w:r w:rsidRPr="00B92144">
              <w:rPr>
                <w:rFonts w:asciiTheme="majorBidi" w:eastAsia="Times New Roman" w:hAnsiTheme="majorBidi" w:cstheme="majorBidi"/>
                <w:color w:val="000000"/>
                <w:sz w:val="20"/>
                <w:szCs w:val="20"/>
              </w:rPr>
              <w:t xml:space="preserve"> banks</w:t>
            </w:r>
          </w:p>
        </w:tc>
        <w:tc>
          <w:tcPr>
            <w:tcW w:w="1006" w:type="dxa"/>
            <w:tcBorders>
              <w:top w:val="nil"/>
              <w:left w:val="nil"/>
              <w:bottom w:val="single" w:sz="4" w:space="0" w:color="auto"/>
              <w:right w:val="single" w:sz="4" w:space="0" w:color="auto"/>
            </w:tcBorders>
            <w:shd w:val="clear" w:color="auto" w:fill="auto"/>
            <w:noWrap/>
            <w:vAlign w:val="bottom"/>
            <w:hideMark/>
          </w:tcPr>
          <w:p w14:paraId="4426AAA4"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367.0</w:t>
            </w:r>
          </w:p>
        </w:tc>
        <w:tc>
          <w:tcPr>
            <w:tcW w:w="980" w:type="dxa"/>
            <w:tcBorders>
              <w:top w:val="nil"/>
              <w:left w:val="nil"/>
              <w:bottom w:val="single" w:sz="4" w:space="0" w:color="auto"/>
              <w:right w:val="single" w:sz="4" w:space="0" w:color="auto"/>
            </w:tcBorders>
            <w:shd w:val="clear" w:color="auto" w:fill="auto"/>
            <w:noWrap/>
            <w:vAlign w:val="bottom"/>
            <w:hideMark/>
          </w:tcPr>
          <w:p w14:paraId="1A6D2049"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199.7</w:t>
            </w:r>
          </w:p>
        </w:tc>
        <w:tc>
          <w:tcPr>
            <w:tcW w:w="980" w:type="dxa"/>
            <w:tcBorders>
              <w:top w:val="nil"/>
              <w:left w:val="nil"/>
              <w:bottom w:val="single" w:sz="4" w:space="0" w:color="auto"/>
              <w:right w:val="single" w:sz="4" w:space="0" w:color="auto"/>
            </w:tcBorders>
            <w:shd w:val="clear" w:color="auto" w:fill="auto"/>
            <w:noWrap/>
            <w:vAlign w:val="bottom"/>
            <w:hideMark/>
          </w:tcPr>
          <w:p w14:paraId="677C47AA"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75.0</w:t>
            </w:r>
          </w:p>
        </w:tc>
        <w:tc>
          <w:tcPr>
            <w:tcW w:w="1000" w:type="dxa"/>
            <w:tcBorders>
              <w:top w:val="nil"/>
              <w:left w:val="nil"/>
              <w:bottom w:val="single" w:sz="4" w:space="0" w:color="auto"/>
              <w:right w:val="single" w:sz="4" w:space="0" w:color="auto"/>
            </w:tcBorders>
            <w:shd w:val="clear" w:color="auto" w:fill="auto"/>
            <w:noWrap/>
            <w:vAlign w:val="bottom"/>
            <w:hideMark/>
          </w:tcPr>
          <w:p w14:paraId="25D638F9"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860.0</w:t>
            </w:r>
          </w:p>
        </w:tc>
        <w:tc>
          <w:tcPr>
            <w:tcW w:w="1300" w:type="dxa"/>
            <w:tcBorders>
              <w:top w:val="nil"/>
              <w:left w:val="nil"/>
              <w:bottom w:val="single" w:sz="4" w:space="0" w:color="auto"/>
              <w:right w:val="single" w:sz="4" w:space="0" w:color="auto"/>
            </w:tcBorders>
            <w:shd w:val="clear" w:color="auto" w:fill="auto"/>
            <w:noWrap/>
            <w:vAlign w:val="bottom"/>
            <w:hideMark/>
          </w:tcPr>
          <w:p w14:paraId="265477BC"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7</w:t>
            </w:r>
          </w:p>
        </w:tc>
      </w:tr>
      <w:tr w:rsidR="00C05DEF" w:rsidRPr="00B92144" w14:paraId="66D2DA37" w14:textId="77777777" w:rsidTr="0071253E">
        <w:trPr>
          <w:trHeight w:val="300"/>
        </w:trPr>
        <w:tc>
          <w:tcPr>
            <w:tcW w:w="2857" w:type="dxa"/>
            <w:vMerge w:val="restart"/>
            <w:tcBorders>
              <w:top w:val="nil"/>
              <w:left w:val="single" w:sz="4" w:space="0" w:color="auto"/>
              <w:right w:val="single" w:sz="4" w:space="0" w:color="auto"/>
            </w:tcBorders>
            <w:shd w:val="clear" w:color="auto" w:fill="auto"/>
            <w:noWrap/>
            <w:vAlign w:val="bottom"/>
            <w:hideMark/>
          </w:tcPr>
          <w:p w14:paraId="484CA3F6"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 xml:space="preserve">Kuwait </w:t>
            </w:r>
          </w:p>
          <w:p w14:paraId="3F3AFA7F"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4A8A3B7"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Islamic banks</w:t>
            </w:r>
          </w:p>
        </w:tc>
        <w:tc>
          <w:tcPr>
            <w:tcW w:w="1006" w:type="dxa"/>
            <w:tcBorders>
              <w:top w:val="nil"/>
              <w:left w:val="nil"/>
              <w:bottom w:val="single" w:sz="4" w:space="0" w:color="auto"/>
              <w:right w:val="single" w:sz="4" w:space="0" w:color="auto"/>
            </w:tcBorders>
            <w:shd w:val="clear" w:color="auto" w:fill="auto"/>
            <w:noWrap/>
            <w:vAlign w:val="bottom"/>
            <w:hideMark/>
          </w:tcPr>
          <w:p w14:paraId="649D8B8E"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414.6</w:t>
            </w:r>
          </w:p>
        </w:tc>
        <w:tc>
          <w:tcPr>
            <w:tcW w:w="980" w:type="dxa"/>
            <w:tcBorders>
              <w:top w:val="nil"/>
              <w:left w:val="nil"/>
              <w:bottom w:val="single" w:sz="4" w:space="0" w:color="auto"/>
              <w:right w:val="single" w:sz="4" w:space="0" w:color="auto"/>
            </w:tcBorders>
            <w:shd w:val="clear" w:color="auto" w:fill="auto"/>
            <w:noWrap/>
            <w:vAlign w:val="bottom"/>
            <w:hideMark/>
          </w:tcPr>
          <w:p w14:paraId="0AFFABE4"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129.0</w:t>
            </w:r>
          </w:p>
        </w:tc>
        <w:tc>
          <w:tcPr>
            <w:tcW w:w="980" w:type="dxa"/>
            <w:tcBorders>
              <w:top w:val="nil"/>
              <w:left w:val="nil"/>
              <w:bottom w:val="single" w:sz="4" w:space="0" w:color="auto"/>
              <w:right w:val="single" w:sz="4" w:space="0" w:color="auto"/>
            </w:tcBorders>
            <w:shd w:val="clear" w:color="auto" w:fill="auto"/>
            <w:noWrap/>
            <w:vAlign w:val="bottom"/>
            <w:hideMark/>
          </w:tcPr>
          <w:p w14:paraId="0D72137C"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98.0</w:t>
            </w:r>
          </w:p>
        </w:tc>
        <w:tc>
          <w:tcPr>
            <w:tcW w:w="1000" w:type="dxa"/>
            <w:tcBorders>
              <w:top w:val="nil"/>
              <w:left w:val="nil"/>
              <w:bottom w:val="single" w:sz="4" w:space="0" w:color="auto"/>
              <w:right w:val="single" w:sz="4" w:space="0" w:color="auto"/>
            </w:tcBorders>
            <w:shd w:val="clear" w:color="auto" w:fill="auto"/>
            <w:noWrap/>
            <w:vAlign w:val="bottom"/>
            <w:hideMark/>
          </w:tcPr>
          <w:p w14:paraId="6C6244BA"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654.0</w:t>
            </w:r>
          </w:p>
        </w:tc>
        <w:tc>
          <w:tcPr>
            <w:tcW w:w="1300" w:type="dxa"/>
            <w:tcBorders>
              <w:top w:val="nil"/>
              <w:left w:val="nil"/>
              <w:bottom w:val="single" w:sz="4" w:space="0" w:color="auto"/>
              <w:right w:val="single" w:sz="4" w:space="0" w:color="auto"/>
            </w:tcBorders>
            <w:shd w:val="clear" w:color="auto" w:fill="auto"/>
            <w:noWrap/>
            <w:vAlign w:val="bottom"/>
            <w:hideMark/>
          </w:tcPr>
          <w:p w14:paraId="10F374C1"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5</w:t>
            </w:r>
          </w:p>
        </w:tc>
      </w:tr>
      <w:tr w:rsidR="00C05DEF" w:rsidRPr="00B92144" w14:paraId="73B54555" w14:textId="77777777" w:rsidTr="0071253E">
        <w:trPr>
          <w:trHeight w:val="300"/>
        </w:trPr>
        <w:tc>
          <w:tcPr>
            <w:tcW w:w="2857" w:type="dxa"/>
            <w:vMerge/>
            <w:tcBorders>
              <w:left w:val="single" w:sz="4" w:space="0" w:color="auto"/>
              <w:bottom w:val="single" w:sz="4" w:space="0" w:color="auto"/>
              <w:right w:val="single" w:sz="4" w:space="0" w:color="auto"/>
            </w:tcBorders>
            <w:shd w:val="clear" w:color="auto" w:fill="auto"/>
            <w:noWrap/>
            <w:vAlign w:val="bottom"/>
            <w:hideMark/>
          </w:tcPr>
          <w:p w14:paraId="420A6279"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bottom"/>
            <w:hideMark/>
          </w:tcPr>
          <w:p w14:paraId="2370846A"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non-</w:t>
            </w:r>
            <w:r w:rsidR="00657977" w:rsidRPr="00B92144">
              <w:rPr>
                <w:rFonts w:asciiTheme="majorBidi" w:eastAsia="Times New Roman" w:hAnsiTheme="majorBidi" w:cstheme="majorBidi"/>
                <w:color w:val="000000"/>
                <w:sz w:val="20"/>
                <w:szCs w:val="20"/>
              </w:rPr>
              <w:t>Islamic</w:t>
            </w:r>
            <w:r w:rsidRPr="00B92144">
              <w:rPr>
                <w:rFonts w:asciiTheme="majorBidi" w:eastAsia="Times New Roman" w:hAnsiTheme="majorBidi" w:cstheme="majorBidi"/>
                <w:color w:val="000000"/>
                <w:sz w:val="20"/>
                <w:szCs w:val="20"/>
              </w:rPr>
              <w:t xml:space="preserve"> banks</w:t>
            </w:r>
          </w:p>
        </w:tc>
        <w:tc>
          <w:tcPr>
            <w:tcW w:w="1006" w:type="dxa"/>
            <w:tcBorders>
              <w:top w:val="nil"/>
              <w:left w:val="nil"/>
              <w:bottom w:val="single" w:sz="4" w:space="0" w:color="auto"/>
              <w:right w:val="single" w:sz="4" w:space="0" w:color="auto"/>
            </w:tcBorders>
            <w:shd w:val="clear" w:color="auto" w:fill="auto"/>
            <w:noWrap/>
            <w:vAlign w:val="bottom"/>
            <w:hideMark/>
          </w:tcPr>
          <w:p w14:paraId="2E94A2C9"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428.4</w:t>
            </w:r>
          </w:p>
        </w:tc>
        <w:tc>
          <w:tcPr>
            <w:tcW w:w="980" w:type="dxa"/>
            <w:tcBorders>
              <w:top w:val="nil"/>
              <w:left w:val="nil"/>
              <w:bottom w:val="single" w:sz="4" w:space="0" w:color="auto"/>
              <w:right w:val="single" w:sz="4" w:space="0" w:color="auto"/>
            </w:tcBorders>
            <w:shd w:val="clear" w:color="auto" w:fill="auto"/>
            <w:noWrap/>
            <w:vAlign w:val="bottom"/>
            <w:hideMark/>
          </w:tcPr>
          <w:p w14:paraId="1735CF6A"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166.4</w:t>
            </w:r>
          </w:p>
        </w:tc>
        <w:tc>
          <w:tcPr>
            <w:tcW w:w="980" w:type="dxa"/>
            <w:tcBorders>
              <w:top w:val="nil"/>
              <w:left w:val="nil"/>
              <w:bottom w:val="single" w:sz="4" w:space="0" w:color="auto"/>
              <w:right w:val="single" w:sz="4" w:space="0" w:color="auto"/>
            </w:tcBorders>
            <w:shd w:val="clear" w:color="auto" w:fill="auto"/>
            <w:noWrap/>
            <w:vAlign w:val="bottom"/>
            <w:hideMark/>
          </w:tcPr>
          <w:p w14:paraId="0662D98C"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398.0</w:t>
            </w:r>
          </w:p>
        </w:tc>
        <w:tc>
          <w:tcPr>
            <w:tcW w:w="1000" w:type="dxa"/>
            <w:tcBorders>
              <w:top w:val="nil"/>
              <w:left w:val="nil"/>
              <w:bottom w:val="single" w:sz="4" w:space="0" w:color="auto"/>
              <w:right w:val="single" w:sz="4" w:space="0" w:color="auto"/>
            </w:tcBorders>
            <w:shd w:val="clear" w:color="auto" w:fill="auto"/>
            <w:noWrap/>
            <w:vAlign w:val="bottom"/>
            <w:hideMark/>
          </w:tcPr>
          <w:p w14:paraId="194080A4"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562.0</w:t>
            </w:r>
          </w:p>
        </w:tc>
        <w:tc>
          <w:tcPr>
            <w:tcW w:w="1300" w:type="dxa"/>
            <w:tcBorders>
              <w:top w:val="nil"/>
              <w:left w:val="nil"/>
              <w:bottom w:val="single" w:sz="4" w:space="0" w:color="auto"/>
              <w:right w:val="single" w:sz="4" w:space="0" w:color="auto"/>
            </w:tcBorders>
            <w:shd w:val="clear" w:color="auto" w:fill="auto"/>
            <w:noWrap/>
            <w:vAlign w:val="bottom"/>
            <w:hideMark/>
          </w:tcPr>
          <w:p w14:paraId="5A93D092"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5</w:t>
            </w:r>
          </w:p>
        </w:tc>
      </w:tr>
      <w:tr w:rsidR="00C05DEF" w:rsidRPr="00B92144" w14:paraId="2C6C5DCB" w14:textId="77777777" w:rsidTr="0071253E">
        <w:trPr>
          <w:trHeight w:val="300"/>
        </w:trPr>
        <w:tc>
          <w:tcPr>
            <w:tcW w:w="2857" w:type="dxa"/>
            <w:vMerge w:val="restart"/>
            <w:tcBorders>
              <w:top w:val="nil"/>
              <w:left w:val="single" w:sz="4" w:space="0" w:color="auto"/>
              <w:right w:val="single" w:sz="4" w:space="0" w:color="auto"/>
            </w:tcBorders>
            <w:shd w:val="clear" w:color="auto" w:fill="auto"/>
            <w:noWrap/>
            <w:vAlign w:val="bottom"/>
            <w:hideMark/>
          </w:tcPr>
          <w:p w14:paraId="0C31B4FC"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Malaysia</w:t>
            </w:r>
          </w:p>
          <w:p w14:paraId="69F8D89F"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0A9B4AFE"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Islamic banks</w:t>
            </w:r>
          </w:p>
        </w:tc>
        <w:tc>
          <w:tcPr>
            <w:tcW w:w="1006" w:type="dxa"/>
            <w:tcBorders>
              <w:top w:val="nil"/>
              <w:left w:val="nil"/>
              <w:bottom w:val="single" w:sz="4" w:space="0" w:color="auto"/>
              <w:right w:val="single" w:sz="4" w:space="0" w:color="auto"/>
            </w:tcBorders>
            <w:shd w:val="clear" w:color="auto" w:fill="auto"/>
            <w:noWrap/>
            <w:vAlign w:val="bottom"/>
            <w:hideMark/>
          </w:tcPr>
          <w:p w14:paraId="0298B616"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617.4</w:t>
            </w:r>
          </w:p>
        </w:tc>
        <w:tc>
          <w:tcPr>
            <w:tcW w:w="980" w:type="dxa"/>
            <w:tcBorders>
              <w:top w:val="nil"/>
              <w:left w:val="nil"/>
              <w:bottom w:val="single" w:sz="4" w:space="0" w:color="auto"/>
              <w:right w:val="single" w:sz="4" w:space="0" w:color="auto"/>
            </w:tcBorders>
            <w:shd w:val="clear" w:color="auto" w:fill="auto"/>
            <w:noWrap/>
            <w:vAlign w:val="bottom"/>
            <w:hideMark/>
          </w:tcPr>
          <w:p w14:paraId="378E2C3B"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311.1</w:t>
            </w:r>
          </w:p>
        </w:tc>
        <w:tc>
          <w:tcPr>
            <w:tcW w:w="980" w:type="dxa"/>
            <w:tcBorders>
              <w:top w:val="nil"/>
              <w:left w:val="nil"/>
              <w:bottom w:val="single" w:sz="4" w:space="0" w:color="auto"/>
              <w:right w:val="single" w:sz="4" w:space="0" w:color="auto"/>
            </w:tcBorders>
            <w:shd w:val="clear" w:color="auto" w:fill="auto"/>
            <w:noWrap/>
            <w:vAlign w:val="bottom"/>
            <w:hideMark/>
          </w:tcPr>
          <w:p w14:paraId="64439CCA"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17.0</w:t>
            </w:r>
          </w:p>
        </w:tc>
        <w:tc>
          <w:tcPr>
            <w:tcW w:w="1000" w:type="dxa"/>
            <w:tcBorders>
              <w:top w:val="nil"/>
              <w:left w:val="nil"/>
              <w:bottom w:val="single" w:sz="4" w:space="0" w:color="auto"/>
              <w:right w:val="single" w:sz="4" w:space="0" w:color="auto"/>
            </w:tcBorders>
            <w:shd w:val="clear" w:color="auto" w:fill="auto"/>
            <w:noWrap/>
            <w:vAlign w:val="bottom"/>
            <w:hideMark/>
          </w:tcPr>
          <w:p w14:paraId="10E2DB8F"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1684.0</w:t>
            </w:r>
          </w:p>
        </w:tc>
        <w:tc>
          <w:tcPr>
            <w:tcW w:w="1300" w:type="dxa"/>
            <w:tcBorders>
              <w:top w:val="nil"/>
              <w:left w:val="nil"/>
              <w:bottom w:val="single" w:sz="4" w:space="0" w:color="auto"/>
              <w:right w:val="single" w:sz="4" w:space="0" w:color="auto"/>
            </w:tcBorders>
            <w:shd w:val="clear" w:color="auto" w:fill="auto"/>
            <w:noWrap/>
            <w:vAlign w:val="bottom"/>
            <w:hideMark/>
          </w:tcPr>
          <w:p w14:paraId="6A0DBF2F"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15</w:t>
            </w:r>
          </w:p>
        </w:tc>
      </w:tr>
      <w:tr w:rsidR="00C05DEF" w:rsidRPr="00B92144" w14:paraId="5B218B8E" w14:textId="77777777" w:rsidTr="0071253E">
        <w:trPr>
          <w:trHeight w:val="300"/>
        </w:trPr>
        <w:tc>
          <w:tcPr>
            <w:tcW w:w="2857" w:type="dxa"/>
            <w:vMerge/>
            <w:tcBorders>
              <w:left w:val="single" w:sz="4" w:space="0" w:color="auto"/>
              <w:bottom w:val="single" w:sz="4" w:space="0" w:color="auto"/>
              <w:right w:val="single" w:sz="4" w:space="0" w:color="auto"/>
            </w:tcBorders>
            <w:shd w:val="clear" w:color="auto" w:fill="auto"/>
            <w:noWrap/>
            <w:vAlign w:val="bottom"/>
            <w:hideMark/>
          </w:tcPr>
          <w:p w14:paraId="545707EA"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bottom"/>
            <w:hideMark/>
          </w:tcPr>
          <w:p w14:paraId="29D78DAD"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non-</w:t>
            </w:r>
            <w:r w:rsidR="00657977" w:rsidRPr="00B92144">
              <w:rPr>
                <w:rFonts w:asciiTheme="majorBidi" w:eastAsia="Times New Roman" w:hAnsiTheme="majorBidi" w:cstheme="majorBidi"/>
                <w:color w:val="000000"/>
                <w:sz w:val="20"/>
                <w:szCs w:val="20"/>
              </w:rPr>
              <w:t>Islamic</w:t>
            </w:r>
            <w:r w:rsidRPr="00B92144">
              <w:rPr>
                <w:rFonts w:asciiTheme="majorBidi" w:eastAsia="Times New Roman" w:hAnsiTheme="majorBidi" w:cstheme="majorBidi"/>
                <w:color w:val="000000"/>
                <w:sz w:val="20"/>
                <w:szCs w:val="20"/>
              </w:rPr>
              <w:t xml:space="preserve"> banks</w:t>
            </w:r>
          </w:p>
        </w:tc>
        <w:tc>
          <w:tcPr>
            <w:tcW w:w="1006" w:type="dxa"/>
            <w:tcBorders>
              <w:top w:val="nil"/>
              <w:left w:val="nil"/>
              <w:bottom w:val="single" w:sz="4" w:space="0" w:color="auto"/>
              <w:right w:val="single" w:sz="4" w:space="0" w:color="auto"/>
            </w:tcBorders>
            <w:shd w:val="clear" w:color="auto" w:fill="auto"/>
            <w:noWrap/>
            <w:vAlign w:val="bottom"/>
            <w:hideMark/>
          </w:tcPr>
          <w:p w14:paraId="4D62EE61"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538.6</w:t>
            </w:r>
          </w:p>
        </w:tc>
        <w:tc>
          <w:tcPr>
            <w:tcW w:w="980" w:type="dxa"/>
            <w:tcBorders>
              <w:top w:val="nil"/>
              <w:left w:val="nil"/>
              <w:bottom w:val="single" w:sz="4" w:space="0" w:color="auto"/>
              <w:right w:val="single" w:sz="4" w:space="0" w:color="auto"/>
            </w:tcBorders>
            <w:shd w:val="clear" w:color="auto" w:fill="auto"/>
            <w:noWrap/>
            <w:vAlign w:val="bottom"/>
            <w:hideMark/>
          </w:tcPr>
          <w:p w14:paraId="675FD27B"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297.5</w:t>
            </w:r>
          </w:p>
        </w:tc>
        <w:tc>
          <w:tcPr>
            <w:tcW w:w="980" w:type="dxa"/>
            <w:tcBorders>
              <w:top w:val="nil"/>
              <w:left w:val="nil"/>
              <w:bottom w:val="single" w:sz="4" w:space="0" w:color="auto"/>
              <w:right w:val="single" w:sz="4" w:space="0" w:color="auto"/>
            </w:tcBorders>
            <w:shd w:val="clear" w:color="auto" w:fill="auto"/>
            <w:noWrap/>
            <w:vAlign w:val="bottom"/>
            <w:hideMark/>
          </w:tcPr>
          <w:p w14:paraId="621AB151"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153.0</w:t>
            </w:r>
          </w:p>
        </w:tc>
        <w:tc>
          <w:tcPr>
            <w:tcW w:w="1000" w:type="dxa"/>
            <w:tcBorders>
              <w:top w:val="nil"/>
              <w:left w:val="nil"/>
              <w:bottom w:val="single" w:sz="4" w:space="0" w:color="auto"/>
              <w:right w:val="single" w:sz="4" w:space="0" w:color="auto"/>
            </w:tcBorders>
            <w:shd w:val="clear" w:color="auto" w:fill="auto"/>
            <w:noWrap/>
            <w:vAlign w:val="bottom"/>
            <w:hideMark/>
          </w:tcPr>
          <w:p w14:paraId="35115B33"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1296.0</w:t>
            </w:r>
          </w:p>
        </w:tc>
        <w:tc>
          <w:tcPr>
            <w:tcW w:w="1300" w:type="dxa"/>
            <w:tcBorders>
              <w:top w:val="nil"/>
              <w:left w:val="nil"/>
              <w:bottom w:val="single" w:sz="4" w:space="0" w:color="auto"/>
              <w:right w:val="single" w:sz="4" w:space="0" w:color="auto"/>
            </w:tcBorders>
            <w:shd w:val="clear" w:color="auto" w:fill="auto"/>
            <w:noWrap/>
            <w:vAlign w:val="bottom"/>
            <w:hideMark/>
          </w:tcPr>
          <w:p w14:paraId="75E48725"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17</w:t>
            </w:r>
          </w:p>
        </w:tc>
      </w:tr>
      <w:tr w:rsidR="00C05DEF" w:rsidRPr="00B92144" w14:paraId="2E188AAE" w14:textId="77777777" w:rsidTr="0071253E">
        <w:trPr>
          <w:trHeight w:val="300"/>
        </w:trPr>
        <w:tc>
          <w:tcPr>
            <w:tcW w:w="2857" w:type="dxa"/>
            <w:vMerge w:val="restart"/>
            <w:tcBorders>
              <w:top w:val="nil"/>
              <w:left w:val="single" w:sz="4" w:space="0" w:color="auto"/>
              <w:right w:val="single" w:sz="4" w:space="0" w:color="auto"/>
            </w:tcBorders>
            <w:shd w:val="clear" w:color="auto" w:fill="auto"/>
            <w:noWrap/>
            <w:vAlign w:val="bottom"/>
            <w:hideMark/>
          </w:tcPr>
          <w:p w14:paraId="30F39CD4"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Pakistan</w:t>
            </w:r>
          </w:p>
          <w:p w14:paraId="0CD44D7B"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7AD20B4"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Islamic banks</w:t>
            </w:r>
          </w:p>
        </w:tc>
        <w:tc>
          <w:tcPr>
            <w:tcW w:w="1006" w:type="dxa"/>
            <w:tcBorders>
              <w:top w:val="nil"/>
              <w:left w:val="nil"/>
              <w:bottom w:val="single" w:sz="4" w:space="0" w:color="auto"/>
              <w:right w:val="single" w:sz="4" w:space="0" w:color="auto"/>
            </w:tcBorders>
            <w:shd w:val="clear" w:color="auto" w:fill="auto"/>
            <w:noWrap/>
            <w:vAlign w:val="bottom"/>
            <w:hideMark/>
          </w:tcPr>
          <w:p w14:paraId="57CC7BFF"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448.7</w:t>
            </w:r>
          </w:p>
        </w:tc>
        <w:tc>
          <w:tcPr>
            <w:tcW w:w="980" w:type="dxa"/>
            <w:tcBorders>
              <w:top w:val="nil"/>
              <w:left w:val="nil"/>
              <w:bottom w:val="single" w:sz="4" w:space="0" w:color="auto"/>
              <w:right w:val="single" w:sz="4" w:space="0" w:color="auto"/>
            </w:tcBorders>
            <w:shd w:val="clear" w:color="auto" w:fill="auto"/>
            <w:noWrap/>
            <w:vAlign w:val="bottom"/>
            <w:hideMark/>
          </w:tcPr>
          <w:p w14:paraId="5ABDC0F9"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163.8</w:t>
            </w:r>
          </w:p>
        </w:tc>
        <w:tc>
          <w:tcPr>
            <w:tcW w:w="980" w:type="dxa"/>
            <w:tcBorders>
              <w:top w:val="nil"/>
              <w:left w:val="nil"/>
              <w:bottom w:val="single" w:sz="4" w:space="0" w:color="auto"/>
              <w:right w:val="single" w:sz="4" w:space="0" w:color="auto"/>
            </w:tcBorders>
            <w:shd w:val="clear" w:color="auto" w:fill="auto"/>
            <w:noWrap/>
            <w:vAlign w:val="bottom"/>
            <w:hideMark/>
          </w:tcPr>
          <w:p w14:paraId="3CA0FA68"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292.0</w:t>
            </w:r>
          </w:p>
        </w:tc>
        <w:tc>
          <w:tcPr>
            <w:tcW w:w="1000" w:type="dxa"/>
            <w:tcBorders>
              <w:top w:val="nil"/>
              <w:left w:val="nil"/>
              <w:bottom w:val="single" w:sz="4" w:space="0" w:color="auto"/>
              <w:right w:val="single" w:sz="4" w:space="0" w:color="auto"/>
            </w:tcBorders>
            <w:shd w:val="clear" w:color="auto" w:fill="auto"/>
            <w:noWrap/>
            <w:vAlign w:val="bottom"/>
            <w:hideMark/>
          </w:tcPr>
          <w:p w14:paraId="06B33B7B"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680.0</w:t>
            </w:r>
          </w:p>
        </w:tc>
        <w:tc>
          <w:tcPr>
            <w:tcW w:w="1300" w:type="dxa"/>
            <w:tcBorders>
              <w:top w:val="nil"/>
              <w:left w:val="nil"/>
              <w:bottom w:val="single" w:sz="4" w:space="0" w:color="auto"/>
              <w:right w:val="single" w:sz="4" w:space="0" w:color="auto"/>
            </w:tcBorders>
            <w:shd w:val="clear" w:color="auto" w:fill="auto"/>
            <w:noWrap/>
            <w:vAlign w:val="bottom"/>
            <w:hideMark/>
          </w:tcPr>
          <w:p w14:paraId="24FD8D0A"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w:t>
            </w:r>
          </w:p>
        </w:tc>
      </w:tr>
      <w:tr w:rsidR="00C05DEF" w:rsidRPr="00B92144" w14:paraId="1CCEE275" w14:textId="77777777" w:rsidTr="0071253E">
        <w:trPr>
          <w:trHeight w:val="300"/>
        </w:trPr>
        <w:tc>
          <w:tcPr>
            <w:tcW w:w="2857" w:type="dxa"/>
            <w:vMerge/>
            <w:tcBorders>
              <w:left w:val="single" w:sz="4" w:space="0" w:color="auto"/>
              <w:bottom w:val="single" w:sz="4" w:space="0" w:color="auto"/>
              <w:right w:val="single" w:sz="4" w:space="0" w:color="auto"/>
            </w:tcBorders>
            <w:shd w:val="clear" w:color="auto" w:fill="auto"/>
            <w:noWrap/>
            <w:vAlign w:val="bottom"/>
            <w:hideMark/>
          </w:tcPr>
          <w:p w14:paraId="7E8D0B13"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bottom"/>
            <w:hideMark/>
          </w:tcPr>
          <w:p w14:paraId="03EEDE41"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non-</w:t>
            </w:r>
            <w:r w:rsidR="00657977" w:rsidRPr="00B92144">
              <w:rPr>
                <w:rFonts w:asciiTheme="majorBidi" w:eastAsia="Times New Roman" w:hAnsiTheme="majorBidi" w:cstheme="majorBidi"/>
                <w:color w:val="000000"/>
                <w:sz w:val="20"/>
                <w:szCs w:val="20"/>
              </w:rPr>
              <w:t>Islamic</w:t>
            </w:r>
            <w:r w:rsidRPr="00B92144">
              <w:rPr>
                <w:rFonts w:asciiTheme="majorBidi" w:eastAsia="Times New Roman" w:hAnsiTheme="majorBidi" w:cstheme="majorBidi"/>
                <w:color w:val="000000"/>
                <w:sz w:val="20"/>
                <w:szCs w:val="20"/>
              </w:rPr>
              <w:t xml:space="preserve"> banks</w:t>
            </w:r>
          </w:p>
        </w:tc>
        <w:tc>
          <w:tcPr>
            <w:tcW w:w="1006" w:type="dxa"/>
            <w:tcBorders>
              <w:top w:val="nil"/>
              <w:left w:val="nil"/>
              <w:bottom w:val="single" w:sz="4" w:space="0" w:color="auto"/>
              <w:right w:val="single" w:sz="4" w:space="0" w:color="auto"/>
            </w:tcBorders>
            <w:shd w:val="clear" w:color="auto" w:fill="auto"/>
            <w:noWrap/>
            <w:vAlign w:val="bottom"/>
            <w:hideMark/>
          </w:tcPr>
          <w:p w14:paraId="7DD10AF2"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370.8</w:t>
            </w:r>
          </w:p>
        </w:tc>
        <w:tc>
          <w:tcPr>
            <w:tcW w:w="980" w:type="dxa"/>
            <w:tcBorders>
              <w:top w:val="nil"/>
              <w:left w:val="nil"/>
              <w:bottom w:val="single" w:sz="4" w:space="0" w:color="auto"/>
              <w:right w:val="single" w:sz="4" w:space="0" w:color="auto"/>
            </w:tcBorders>
            <w:shd w:val="clear" w:color="auto" w:fill="auto"/>
            <w:noWrap/>
            <w:vAlign w:val="bottom"/>
            <w:hideMark/>
          </w:tcPr>
          <w:p w14:paraId="579DF3FA"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135.4</w:t>
            </w:r>
          </w:p>
        </w:tc>
        <w:tc>
          <w:tcPr>
            <w:tcW w:w="980" w:type="dxa"/>
            <w:tcBorders>
              <w:top w:val="nil"/>
              <w:left w:val="nil"/>
              <w:bottom w:val="single" w:sz="4" w:space="0" w:color="auto"/>
              <w:right w:val="single" w:sz="4" w:space="0" w:color="auto"/>
            </w:tcBorders>
            <w:shd w:val="clear" w:color="auto" w:fill="auto"/>
            <w:noWrap/>
            <w:vAlign w:val="bottom"/>
            <w:hideMark/>
          </w:tcPr>
          <w:p w14:paraId="61A5A6A5"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242.0</w:t>
            </w:r>
          </w:p>
        </w:tc>
        <w:tc>
          <w:tcPr>
            <w:tcW w:w="1000" w:type="dxa"/>
            <w:tcBorders>
              <w:top w:val="nil"/>
              <w:left w:val="nil"/>
              <w:bottom w:val="single" w:sz="4" w:space="0" w:color="auto"/>
              <w:right w:val="single" w:sz="4" w:space="0" w:color="auto"/>
            </w:tcBorders>
            <w:shd w:val="clear" w:color="auto" w:fill="auto"/>
            <w:noWrap/>
            <w:vAlign w:val="bottom"/>
            <w:hideMark/>
          </w:tcPr>
          <w:p w14:paraId="2AF6E634"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562.0</w:t>
            </w:r>
          </w:p>
        </w:tc>
        <w:tc>
          <w:tcPr>
            <w:tcW w:w="1300" w:type="dxa"/>
            <w:tcBorders>
              <w:top w:val="nil"/>
              <w:left w:val="nil"/>
              <w:bottom w:val="single" w:sz="4" w:space="0" w:color="auto"/>
              <w:right w:val="single" w:sz="4" w:space="0" w:color="auto"/>
            </w:tcBorders>
            <w:shd w:val="clear" w:color="auto" w:fill="auto"/>
            <w:noWrap/>
            <w:vAlign w:val="bottom"/>
            <w:hideMark/>
          </w:tcPr>
          <w:p w14:paraId="5CEA1FB2"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6</w:t>
            </w:r>
          </w:p>
        </w:tc>
      </w:tr>
      <w:tr w:rsidR="00C05DEF" w:rsidRPr="00B92144" w14:paraId="5C64D5FB" w14:textId="77777777" w:rsidTr="0071253E">
        <w:trPr>
          <w:trHeight w:val="300"/>
        </w:trPr>
        <w:tc>
          <w:tcPr>
            <w:tcW w:w="2857" w:type="dxa"/>
            <w:vMerge w:val="restart"/>
            <w:tcBorders>
              <w:top w:val="nil"/>
              <w:left w:val="single" w:sz="4" w:space="0" w:color="auto"/>
              <w:right w:val="single" w:sz="4" w:space="0" w:color="auto"/>
            </w:tcBorders>
            <w:shd w:val="clear" w:color="auto" w:fill="auto"/>
            <w:noWrap/>
            <w:vAlign w:val="bottom"/>
            <w:hideMark/>
          </w:tcPr>
          <w:p w14:paraId="47D26078"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Saudi Arabia</w:t>
            </w:r>
          </w:p>
          <w:p w14:paraId="6CCBBDBF"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F3B46A4"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Islamic banks</w:t>
            </w:r>
          </w:p>
        </w:tc>
        <w:tc>
          <w:tcPr>
            <w:tcW w:w="1006" w:type="dxa"/>
            <w:tcBorders>
              <w:top w:val="nil"/>
              <w:left w:val="nil"/>
              <w:bottom w:val="single" w:sz="4" w:space="0" w:color="auto"/>
              <w:right w:val="single" w:sz="4" w:space="0" w:color="auto"/>
            </w:tcBorders>
            <w:shd w:val="clear" w:color="auto" w:fill="auto"/>
            <w:noWrap/>
            <w:vAlign w:val="bottom"/>
            <w:hideMark/>
          </w:tcPr>
          <w:p w14:paraId="0011DDF8"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419.7</w:t>
            </w:r>
          </w:p>
        </w:tc>
        <w:tc>
          <w:tcPr>
            <w:tcW w:w="980" w:type="dxa"/>
            <w:tcBorders>
              <w:top w:val="nil"/>
              <w:left w:val="nil"/>
              <w:bottom w:val="single" w:sz="4" w:space="0" w:color="auto"/>
              <w:right w:val="single" w:sz="4" w:space="0" w:color="auto"/>
            </w:tcBorders>
            <w:shd w:val="clear" w:color="auto" w:fill="auto"/>
            <w:noWrap/>
            <w:vAlign w:val="bottom"/>
            <w:hideMark/>
          </w:tcPr>
          <w:p w14:paraId="487D2525"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152.7</w:t>
            </w:r>
          </w:p>
        </w:tc>
        <w:tc>
          <w:tcPr>
            <w:tcW w:w="980" w:type="dxa"/>
            <w:tcBorders>
              <w:top w:val="nil"/>
              <w:left w:val="nil"/>
              <w:bottom w:val="single" w:sz="4" w:space="0" w:color="auto"/>
              <w:right w:val="single" w:sz="4" w:space="0" w:color="auto"/>
            </w:tcBorders>
            <w:shd w:val="clear" w:color="auto" w:fill="auto"/>
            <w:noWrap/>
            <w:vAlign w:val="bottom"/>
            <w:hideMark/>
          </w:tcPr>
          <w:p w14:paraId="0406E32C"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66.0</w:t>
            </w:r>
          </w:p>
        </w:tc>
        <w:tc>
          <w:tcPr>
            <w:tcW w:w="1000" w:type="dxa"/>
            <w:tcBorders>
              <w:top w:val="nil"/>
              <w:left w:val="nil"/>
              <w:bottom w:val="single" w:sz="4" w:space="0" w:color="auto"/>
              <w:right w:val="single" w:sz="4" w:space="0" w:color="auto"/>
            </w:tcBorders>
            <w:shd w:val="clear" w:color="auto" w:fill="auto"/>
            <w:noWrap/>
            <w:vAlign w:val="bottom"/>
            <w:hideMark/>
          </w:tcPr>
          <w:p w14:paraId="1745D139"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656.0</w:t>
            </w:r>
          </w:p>
        </w:tc>
        <w:tc>
          <w:tcPr>
            <w:tcW w:w="1300" w:type="dxa"/>
            <w:tcBorders>
              <w:top w:val="nil"/>
              <w:left w:val="nil"/>
              <w:bottom w:val="single" w:sz="4" w:space="0" w:color="auto"/>
              <w:right w:val="single" w:sz="4" w:space="0" w:color="auto"/>
            </w:tcBorders>
            <w:shd w:val="clear" w:color="auto" w:fill="auto"/>
            <w:noWrap/>
            <w:vAlign w:val="bottom"/>
            <w:hideMark/>
          </w:tcPr>
          <w:p w14:paraId="6C78410F"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6</w:t>
            </w:r>
          </w:p>
        </w:tc>
      </w:tr>
      <w:tr w:rsidR="00C05DEF" w:rsidRPr="00B92144" w14:paraId="1ECF512F" w14:textId="77777777" w:rsidTr="0071253E">
        <w:trPr>
          <w:trHeight w:val="300"/>
        </w:trPr>
        <w:tc>
          <w:tcPr>
            <w:tcW w:w="2857" w:type="dxa"/>
            <w:vMerge/>
            <w:tcBorders>
              <w:left w:val="single" w:sz="4" w:space="0" w:color="auto"/>
              <w:bottom w:val="single" w:sz="4" w:space="0" w:color="auto"/>
              <w:right w:val="single" w:sz="4" w:space="0" w:color="auto"/>
            </w:tcBorders>
            <w:shd w:val="clear" w:color="auto" w:fill="auto"/>
            <w:noWrap/>
            <w:vAlign w:val="bottom"/>
            <w:hideMark/>
          </w:tcPr>
          <w:p w14:paraId="2371F000"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bottom"/>
            <w:hideMark/>
          </w:tcPr>
          <w:p w14:paraId="65110677"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non-</w:t>
            </w:r>
            <w:r w:rsidR="00657977" w:rsidRPr="00B92144">
              <w:rPr>
                <w:rFonts w:asciiTheme="majorBidi" w:eastAsia="Times New Roman" w:hAnsiTheme="majorBidi" w:cstheme="majorBidi"/>
                <w:color w:val="000000"/>
                <w:sz w:val="20"/>
                <w:szCs w:val="20"/>
              </w:rPr>
              <w:t>Islamic</w:t>
            </w:r>
            <w:r w:rsidRPr="00B92144">
              <w:rPr>
                <w:rFonts w:asciiTheme="majorBidi" w:eastAsia="Times New Roman" w:hAnsiTheme="majorBidi" w:cstheme="majorBidi"/>
                <w:color w:val="000000"/>
                <w:sz w:val="20"/>
                <w:szCs w:val="20"/>
              </w:rPr>
              <w:t xml:space="preserve"> banks</w:t>
            </w:r>
          </w:p>
        </w:tc>
        <w:tc>
          <w:tcPr>
            <w:tcW w:w="1006" w:type="dxa"/>
            <w:tcBorders>
              <w:top w:val="nil"/>
              <w:left w:val="nil"/>
              <w:bottom w:val="single" w:sz="4" w:space="0" w:color="auto"/>
              <w:right w:val="single" w:sz="4" w:space="0" w:color="auto"/>
            </w:tcBorders>
            <w:shd w:val="clear" w:color="auto" w:fill="auto"/>
            <w:noWrap/>
            <w:vAlign w:val="bottom"/>
            <w:hideMark/>
          </w:tcPr>
          <w:p w14:paraId="5931F499"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414.2</w:t>
            </w:r>
          </w:p>
        </w:tc>
        <w:tc>
          <w:tcPr>
            <w:tcW w:w="980" w:type="dxa"/>
            <w:tcBorders>
              <w:top w:val="nil"/>
              <w:left w:val="nil"/>
              <w:bottom w:val="single" w:sz="4" w:space="0" w:color="auto"/>
              <w:right w:val="single" w:sz="4" w:space="0" w:color="auto"/>
            </w:tcBorders>
            <w:shd w:val="clear" w:color="auto" w:fill="auto"/>
            <w:noWrap/>
            <w:vAlign w:val="bottom"/>
            <w:hideMark/>
          </w:tcPr>
          <w:p w14:paraId="6C81649A"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183.6</w:t>
            </w:r>
          </w:p>
        </w:tc>
        <w:tc>
          <w:tcPr>
            <w:tcW w:w="980" w:type="dxa"/>
            <w:tcBorders>
              <w:top w:val="nil"/>
              <w:left w:val="nil"/>
              <w:bottom w:val="single" w:sz="4" w:space="0" w:color="auto"/>
              <w:right w:val="single" w:sz="4" w:space="0" w:color="auto"/>
            </w:tcBorders>
            <w:shd w:val="clear" w:color="auto" w:fill="auto"/>
            <w:noWrap/>
            <w:vAlign w:val="bottom"/>
            <w:hideMark/>
          </w:tcPr>
          <w:p w14:paraId="3AFD4BAD"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118.0</w:t>
            </w:r>
          </w:p>
        </w:tc>
        <w:tc>
          <w:tcPr>
            <w:tcW w:w="1000" w:type="dxa"/>
            <w:tcBorders>
              <w:top w:val="nil"/>
              <w:left w:val="nil"/>
              <w:bottom w:val="single" w:sz="4" w:space="0" w:color="auto"/>
              <w:right w:val="single" w:sz="4" w:space="0" w:color="auto"/>
            </w:tcBorders>
            <w:shd w:val="clear" w:color="auto" w:fill="auto"/>
            <w:noWrap/>
            <w:vAlign w:val="bottom"/>
            <w:hideMark/>
          </w:tcPr>
          <w:p w14:paraId="224CFCB3"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633.0</w:t>
            </w:r>
          </w:p>
        </w:tc>
        <w:tc>
          <w:tcPr>
            <w:tcW w:w="1300" w:type="dxa"/>
            <w:tcBorders>
              <w:top w:val="nil"/>
              <w:left w:val="nil"/>
              <w:bottom w:val="single" w:sz="4" w:space="0" w:color="auto"/>
              <w:right w:val="single" w:sz="4" w:space="0" w:color="auto"/>
            </w:tcBorders>
            <w:shd w:val="clear" w:color="auto" w:fill="auto"/>
            <w:noWrap/>
            <w:vAlign w:val="bottom"/>
            <w:hideMark/>
          </w:tcPr>
          <w:p w14:paraId="7E871220"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5</w:t>
            </w:r>
          </w:p>
        </w:tc>
      </w:tr>
      <w:tr w:rsidR="00C05DEF" w:rsidRPr="00B92144" w14:paraId="008E7D85" w14:textId="77777777" w:rsidTr="0071253E">
        <w:trPr>
          <w:trHeight w:val="300"/>
        </w:trPr>
        <w:tc>
          <w:tcPr>
            <w:tcW w:w="2857" w:type="dxa"/>
            <w:vMerge w:val="restart"/>
            <w:tcBorders>
              <w:top w:val="nil"/>
              <w:left w:val="single" w:sz="4" w:space="0" w:color="auto"/>
              <w:right w:val="single" w:sz="4" w:space="0" w:color="auto"/>
            </w:tcBorders>
            <w:shd w:val="clear" w:color="auto" w:fill="auto"/>
            <w:noWrap/>
            <w:vAlign w:val="bottom"/>
            <w:hideMark/>
          </w:tcPr>
          <w:p w14:paraId="126A3FC9"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Tunisia</w:t>
            </w:r>
          </w:p>
          <w:p w14:paraId="111DAEFB"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3ACE8610"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Islamic banks</w:t>
            </w:r>
          </w:p>
        </w:tc>
        <w:tc>
          <w:tcPr>
            <w:tcW w:w="1006" w:type="dxa"/>
            <w:tcBorders>
              <w:top w:val="nil"/>
              <w:left w:val="nil"/>
              <w:bottom w:val="single" w:sz="4" w:space="0" w:color="auto"/>
              <w:right w:val="single" w:sz="4" w:space="0" w:color="auto"/>
            </w:tcBorders>
            <w:shd w:val="clear" w:color="auto" w:fill="auto"/>
            <w:noWrap/>
            <w:vAlign w:val="bottom"/>
            <w:hideMark/>
          </w:tcPr>
          <w:p w14:paraId="1FF9D41A"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20.0</w:t>
            </w:r>
          </w:p>
        </w:tc>
        <w:tc>
          <w:tcPr>
            <w:tcW w:w="980" w:type="dxa"/>
            <w:tcBorders>
              <w:top w:val="nil"/>
              <w:left w:val="nil"/>
              <w:bottom w:val="single" w:sz="4" w:space="0" w:color="auto"/>
              <w:right w:val="single" w:sz="4" w:space="0" w:color="auto"/>
            </w:tcBorders>
            <w:shd w:val="clear" w:color="auto" w:fill="auto"/>
            <w:noWrap/>
            <w:vAlign w:val="bottom"/>
            <w:hideMark/>
          </w:tcPr>
          <w:p w14:paraId="4E4ABD70"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15.2</w:t>
            </w:r>
          </w:p>
        </w:tc>
        <w:tc>
          <w:tcPr>
            <w:tcW w:w="980" w:type="dxa"/>
            <w:tcBorders>
              <w:top w:val="nil"/>
              <w:left w:val="nil"/>
              <w:bottom w:val="single" w:sz="4" w:space="0" w:color="auto"/>
              <w:right w:val="single" w:sz="4" w:space="0" w:color="auto"/>
            </w:tcBorders>
            <w:shd w:val="clear" w:color="auto" w:fill="auto"/>
            <w:noWrap/>
            <w:vAlign w:val="bottom"/>
            <w:hideMark/>
          </w:tcPr>
          <w:p w14:paraId="24526348"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bottom"/>
            <w:hideMark/>
          </w:tcPr>
          <w:p w14:paraId="07B782B9"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42.0</w:t>
            </w:r>
          </w:p>
        </w:tc>
        <w:tc>
          <w:tcPr>
            <w:tcW w:w="1300" w:type="dxa"/>
            <w:tcBorders>
              <w:top w:val="nil"/>
              <w:left w:val="nil"/>
              <w:bottom w:val="single" w:sz="4" w:space="0" w:color="auto"/>
              <w:right w:val="single" w:sz="4" w:space="0" w:color="auto"/>
            </w:tcBorders>
            <w:shd w:val="clear" w:color="auto" w:fill="auto"/>
            <w:noWrap/>
            <w:vAlign w:val="bottom"/>
            <w:hideMark/>
          </w:tcPr>
          <w:p w14:paraId="261EA436"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w:t>
            </w:r>
          </w:p>
        </w:tc>
      </w:tr>
      <w:tr w:rsidR="00C05DEF" w:rsidRPr="00B92144" w14:paraId="5867C6EF" w14:textId="77777777" w:rsidTr="0071253E">
        <w:trPr>
          <w:trHeight w:val="300"/>
        </w:trPr>
        <w:tc>
          <w:tcPr>
            <w:tcW w:w="2857" w:type="dxa"/>
            <w:vMerge/>
            <w:tcBorders>
              <w:left w:val="single" w:sz="4" w:space="0" w:color="auto"/>
              <w:bottom w:val="single" w:sz="4" w:space="0" w:color="auto"/>
              <w:right w:val="single" w:sz="4" w:space="0" w:color="auto"/>
            </w:tcBorders>
            <w:shd w:val="clear" w:color="auto" w:fill="auto"/>
            <w:noWrap/>
            <w:vAlign w:val="bottom"/>
            <w:hideMark/>
          </w:tcPr>
          <w:p w14:paraId="7571F8E2"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bottom"/>
            <w:hideMark/>
          </w:tcPr>
          <w:p w14:paraId="3065DE54"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non-</w:t>
            </w:r>
            <w:r w:rsidR="00657977" w:rsidRPr="00B92144">
              <w:rPr>
                <w:rFonts w:asciiTheme="majorBidi" w:eastAsia="Times New Roman" w:hAnsiTheme="majorBidi" w:cstheme="majorBidi"/>
                <w:color w:val="000000"/>
                <w:sz w:val="20"/>
                <w:szCs w:val="20"/>
              </w:rPr>
              <w:t>Islamic</w:t>
            </w:r>
            <w:r w:rsidRPr="00B92144">
              <w:rPr>
                <w:rFonts w:asciiTheme="majorBidi" w:eastAsia="Times New Roman" w:hAnsiTheme="majorBidi" w:cstheme="majorBidi"/>
                <w:color w:val="000000"/>
                <w:sz w:val="20"/>
                <w:szCs w:val="20"/>
              </w:rPr>
              <w:t xml:space="preserve"> banks</w:t>
            </w:r>
          </w:p>
        </w:tc>
        <w:tc>
          <w:tcPr>
            <w:tcW w:w="1006" w:type="dxa"/>
            <w:tcBorders>
              <w:top w:val="nil"/>
              <w:left w:val="nil"/>
              <w:bottom w:val="single" w:sz="4" w:space="0" w:color="auto"/>
              <w:right w:val="single" w:sz="4" w:space="0" w:color="auto"/>
            </w:tcBorders>
            <w:shd w:val="clear" w:color="auto" w:fill="auto"/>
            <w:noWrap/>
            <w:vAlign w:val="bottom"/>
            <w:hideMark/>
          </w:tcPr>
          <w:p w14:paraId="4F0F1501"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69.2</w:t>
            </w:r>
          </w:p>
        </w:tc>
        <w:tc>
          <w:tcPr>
            <w:tcW w:w="980" w:type="dxa"/>
            <w:tcBorders>
              <w:top w:val="nil"/>
              <w:left w:val="nil"/>
              <w:bottom w:val="single" w:sz="4" w:space="0" w:color="auto"/>
              <w:right w:val="single" w:sz="4" w:space="0" w:color="auto"/>
            </w:tcBorders>
            <w:shd w:val="clear" w:color="auto" w:fill="auto"/>
            <w:noWrap/>
            <w:vAlign w:val="bottom"/>
            <w:hideMark/>
          </w:tcPr>
          <w:p w14:paraId="10A5B510"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56.2</w:t>
            </w:r>
          </w:p>
        </w:tc>
        <w:tc>
          <w:tcPr>
            <w:tcW w:w="980" w:type="dxa"/>
            <w:tcBorders>
              <w:top w:val="nil"/>
              <w:left w:val="nil"/>
              <w:bottom w:val="single" w:sz="4" w:space="0" w:color="auto"/>
              <w:right w:val="single" w:sz="4" w:space="0" w:color="auto"/>
            </w:tcBorders>
            <w:shd w:val="clear" w:color="auto" w:fill="auto"/>
            <w:noWrap/>
            <w:vAlign w:val="bottom"/>
            <w:hideMark/>
          </w:tcPr>
          <w:p w14:paraId="401FD74B"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40.0</w:t>
            </w:r>
          </w:p>
        </w:tc>
        <w:tc>
          <w:tcPr>
            <w:tcW w:w="1000" w:type="dxa"/>
            <w:tcBorders>
              <w:top w:val="nil"/>
              <w:left w:val="nil"/>
              <w:bottom w:val="single" w:sz="4" w:space="0" w:color="auto"/>
              <w:right w:val="single" w:sz="4" w:space="0" w:color="auto"/>
            </w:tcBorders>
            <w:shd w:val="clear" w:color="auto" w:fill="auto"/>
            <w:noWrap/>
            <w:vAlign w:val="bottom"/>
            <w:hideMark/>
          </w:tcPr>
          <w:p w14:paraId="20931FBB"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222.0</w:t>
            </w:r>
          </w:p>
        </w:tc>
        <w:tc>
          <w:tcPr>
            <w:tcW w:w="1300" w:type="dxa"/>
            <w:tcBorders>
              <w:top w:val="nil"/>
              <w:left w:val="nil"/>
              <w:bottom w:val="single" w:sz="4" w:space="0" w:color="auto"/>
              <w:right w:val="single" w:sz="4" w:space="0" w:color="auto"/>
            </w:tcBorders>
            <w:shd w:val="clear" w:color="auto" w:fill="auto"/>
            <w:noWrap/>
            <w:vAlign w:val="bottom"/>
            <w:hideMark/>
          </w:tcPr>
          <w:p w14:paraId="47350759"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9</w:t>
            </w:r>
          </w:p>
        </w:tc>
      </w:tr>
      <w:tr w:rsidR="00C05DEF" w:rsidRPr="00B92144" w14:paraId="749E5A12" w14:textId="77777777" w:rsidTr="0071253E">
        <w:trPr>
          <w:trHeight w:val="300"/>
        </w:trPr>
        <w:tc>
          <w:tcPr>
            <w:tcW w:w="2857" w:type="dxa"/>
            <w:vMerge w:val="restart"/>
            <w:tcBorders>
              <w:top w:val="nil"/>
              <w:left w:val="single" w:sz="4" w:space="0" w:color="auto"/>
              <w:right w:val="single" w:sz="4" w:space="0" w:color="auto"/>
            </w:tcBorders>
            <w:shd w:val="clear" w:color="auto" w:fill="auto"/>
            <w:noWrap/>
            <w:vAlign w:val="bottom"/>
            <w:hideMark/>
          </w:tcPr>
          <w:p w14:paraId="2047A45B"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Turkey</w:t>
            </w:r>
          </w:p>
          <w:p w14:paraId="7778EF40"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57F734A"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Islamic banks</w:t>
            </w:r>
          </w:p>
        </w:tc>
        <w:tc>
          <w:tcPr>
            <w:tcW w:w="1006" w:type="dxa"/>
            <w:tcBorders>
              <w:top w:val="nil"/>
              <w:left w:val="nil"/>
              <w:bottom w:val="single" w:sz="4" w:space="0" w:color="auto"/>
              <w:right w:val="single" w:sz="4" w:space="0" w:color="auto"/>
            </w:tcBorders>
            <w:shd w:val="clear" w:color="auto" w:fill="auto"/>
            <w:noWrap/>
            <w:vAlign w:val="bottom"/>
            <w:hideMark/>
          </w:tcPr>
          <w:p w14:paraId="3576E6A1"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662.3</w:t>
            </w:r>
          </w:p>
        </w:tc>
        <w:tc>
          <w:tcPr>
            <w:tcW w:w="980" w:type="dxa"/>
            <w:tcBorders>
              <w:top w:val="nil"/>
              <w:left w:val="nil"/>
              <w:bottom w:val="single" w:sz="4" w:space="0" w:color="auto"/>
              <w:right w:val="single" w:sz="4" w:space="0" w:color="auto"/>
            </w:tcBorders>
            <w:shd w:val="clear" w:color="auto" w:fill="auto"/>
            <w:noWrap/>
            <w:vAlign w:val="bottom"/>
            <w:hideMark/>
          </w:tcPr>
          <w:p w14:paraId="2D7A74FF"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317.1</w:t>
            </w:r>
          </w:p>
        </w:tc>
        <w:tc>
          <w:tcPr>
            <w:tcW w:w="980" w:type="dxa"/>
            <w:tcBorders>
              <w:top w:val="nil"/>
              <w:left w:val="nil"/>
              <w:bottom w:val="single" w:sz="4" w:space="0" w:color="auto"/>
              <w:right w:val="single" w:sz="4" w:space="0" w:color="auto"/>
            </w:tcBorders>
            <w:shd w:val="clear" w:color="auto" w:fill="auto"/>
            <w:noWrap/>
            <w:vAlign w:val="bottom"/>
            <w:hideMark/>
          </w:tcPr>
          <w:p w14:paraId="4DE7318E"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234.0</w:t>
            </w:r>
          </w:p>
        </w:tc>
        <w:tc>
          <w:tcPr>
            <w:tcW w:w="1000" w:type="dxa"/>
            <w:tcBorders>
              <w:top w:val="nil"/>
              <w:left w:val="nil"/>
              <w:bottom w:val="single" w:sz="4" w:space="0" w:color="auto"/>
              <w:right w:val="single" w:sz="4" w:space="0" w:color="auto"/>
            </w:tcBorders>
            <w:shd w:val="clear" w:color="auto" w:fill="auto"/>
            <w:noWrap/>
            <w:vAlign w:val="bottom"/>
            <w:hideMark/>
          </w:tcPr>
          <w:p w14:paraId="3964E309"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1284.0</w:t>
            </w:r>
          </w:p>
        </w:tc>
        <w:tc>
          <w:tcPr>
            <w:tcW w:w="1300" w:type="dxa"/>
            <w:tcBorders>
              <w:top w:val="nil"/>
              <w:left w:val="nil"/>
              <w:bottom w:val="single" w:sz="4" w:space="0" w:color="auto"/>
              <w:right w:val="single" w:sz="4" w:space="0" w:color="auto"/>
            </w:tcBorders>
            <w:shd w:val="clear" w:color="auto" w:fill="auto"/>
            <w:noWrap/>
            <w:vAlign w:val="bottom"/>
            <w:hideMark/>
          </w:tcPr>
          <w:p w14:paraId="6E66B0ED"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4</w:t>
            </w:r>
          </w:p>
        </w:tc>
      </w:tr>
      <w:tr w:rsidR="00C05DEF" w:rsidRPr="00B92144" w14:paraId="79206397" w14:textId="77777777" w:rsidTr="0071253E">
        <w:trPr>
          <w:trHeight w:val="300"/>
        </w:trPr>
        <w:tc>
          <w:tcPr>
            <w:tcW w:w="2857" w:type="dxa"/>
            <w:vMerge/>
            <w:tcBorders>
              <w:left w:val="single" w:sz="4" w:space="0" w:color="auto"/>
              <w:bottom w:val="single" w:sz="4" w:space="0" w:color="auto"/>
              <w:right w:val="single" w:sz="4" w:space="0" w:color="auto"/>
            </w:tcBorders>
            <w:shd w:val="clear" w:color="auto" w:fill="auto"/>
            <w:noWrap/>
            <w:vAlign w:val="bottom"/>
            <w:hideMark/>
          </w:tcPr>
          <w:p w14:paraId="79F26CFB" w14:textId="77777777" w:rsidR="00C05DEF" w:rsidRPr="00B92144" w:rsidRDefault="00C05DEF" w:rsidP="00C05DEF">
            <w:pPr>
              <w:spacing w:after="0" w:line="240" w:lineRule="auto"/>
              <w:rPr>
                <w:rFonts w:asciiTheme="majorBidi" w:eastAsia="Times New Roman" w:hAnsiTheme="majorBidi" w:cstheme="majorBidi"/>
                <w:b/>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bottom"/>
            <w:hideMark/>
          </w:tcPr>
          <w:p w14:paraId="644BD08B"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non-</w:t>
            </w:r>
            <w:r w:rsidR="00657977" w:rsidRPr="00B92144">
              <w:rPr>
                <w:rFonts w:asciiTheme="majorBidi" w:eastAsia="Times New Roman" w:hAnsiTheme="majorBidi" w:cstheme="majorBidi"/>
                <w:color w:val="000000"/>
                <w:sz w:val="20"/>
                <w:szCs w:val="20"/>
              </w:rPr>
              <w:t>Islamic</w:t>
            </w:r>
            <w:r w:rsidRPr="00B92144">
              <w:rPr>
                <w:rFonts w:asciiTheme="majorBidi" w:eastAsia="Times New Roman" w:hAnsiTheme="majorBidi" w:cstheme="majorBidi"/>
                <w:color w:val="000000"/>
                <w:sz w:val="20"/>
                <w:szCs w:val="20"/>
              </w:rPr>
              <w:t xml:space="preserve"> banks</w:t>
            </w:r>
          </w:p>
        </w:tc>
        <w:tc>
          <w:tcPr>
            <w:tcW w:w="1006" w:type="dxa"/>
            <w:tcBorders>
              <w:top w:val="nil"/>
              <w:left w:val="nil"/>
              <w:bottom w:val="single" w:sz="4" w:space="0" w:color="auto"/>
              <w:right w:val="single" w:sz="4" w:space="0" w:color="auto"/>
            </w:tcBorders>
            <w:shd w:val="clear" w:color="auto" w:fill="auto"/>
            <w:noWrap/>
            <w:vAlign w:val="bottom"/>
            <w:hideMark/>
          </w:tcPr>
          <w:p w14:paraId="4B8C4BF9"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526.6</w:t>
            </w:r>
          </w:p>
        </w:tc>
        <w:tc>
          <w:tcPr>
            <w:tcW w:w="980" w:type="dxa"/>
            <w:tcBorders>
              <w:top w:val="nil"/>
              <w:left w:val="nil"/>
              <w:bottom w:val="single" w:sz="4" w:space="0" w:color="auto"/>
              <w:right w:val="single" w:sz="4" w:space="0" w:color="auto"/>
            </w:tcBorders>
            <w:shd w:val="clear" w:color="auto" w:fill="auto"/>
            <w:noWrap/>
            <w:vAlign w:val="bottom"/>
            <w:hideMark/>
          </w:tcPr>
          <w:p w14:paraId="604B6360"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166.5</w:t>
            </w:r>
          </w:p>
        </w:tc>
        <w:tc>
          <w:tcPr>
            <w:tcW w:w="980" w:type="dxa"/>
            <w:tcBorders>
              <w:top w:val="nil"/>
              <w:left w:val="nil"/>
              <w:bottom w:val="single" w:sz="4" w:space="0" w:color="auto"/>
              <w:right w:val="single" w:sz="4" w:space="0" w:color="auto"/>
            </w:tcBorders>
            <w:shd w:val="clear" w:color="auto" w:fill="auto"/>
            <w:noWrap/>
            <w:vAlign w:val="bottom"/>
            <w:hideMark/>
          </w:tcPr>
          <w:p w14:paraId="4730447F"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345.0</w:t>
            </w:r>
          </w:p>
        </w:tc>
        <w:tc>
          <w:tcPr>
            <w:tcW w:w="1000" w:type="dxa"/>
            <w:tcBorders>
              <w:top w:val="nil"/>
              <w:left w:val="nil"/>
              <w:bottom w:val="single" w:sz="4" w:space="0" w:color="auto"/>
              <w:right w:val="single" w:sz="4" w:space="0" w:color="auto"/>
            </w:tcBorders>
            <w:shd w:val="clear" w:color="auto" w:fill="auto"/>
            <w:noWrap/>
            <w:vAlign w:val="bottom"/>
            <w:hideMark/>
          </w:tcPr>
          <w:p w14:paraId="21C0A82F"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795.0</w:t>
            </w:r>
          </w:p>
        </w:tc>
        <w:tc>
          <w:tcPr>
            <w:tcW w:w="1300" w:type="dxa"/>
            <w:tcBorders>
              <w:top w:val="nil"/>
              <w:left w:val="nil"/>
              <w:bottom w:val="single" w:sz="4" w:space="0" w:color="auto"/>
              <w:right w:val="single" w:sz="4" w:space="0" w:color="auto"/>
            </w:tcBorders>
            <w:shd w:val="clear" w:color="auto" w:fill="auto"/>
            <w:noWrap/>
            <w:vAlign w:val="bottom"/>
            <w:hideMark/>
          </w:tcPr>
          <w:p w14:paraId="7700EA10"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7</w:t>
            </w:r>
          </w:p>
        </w:tc>
      </w:tr>
      <w:tr w:rsidR="00C05DEF" w:rsidRPr="00B92144" w14:paraId="77470B93" w14:textId="77777777" w:rsidTr="0071253E">
        <w:trPr>
          <w:trHeight w:val="300"/>
        </w:trPr>
        <w:tc>
          <w:tcPr>
            <w:tcW w:w="2857" w:type="dxa"/>
            <w:vMerge w:val="restart"/>
            <w:tcBorders>
              <w:top w:val="nil"/>
              <w:left w:val="single" w:sz="4" w:space="0" w:color="auto"/>
              <w:right w:val="single" w:sz="4" w:space="0" w:color="auto"/>
            </w:tcBorders>
            <w:shd w:val="clear" w:color="auto" w:fill="auto"/>
            <w:noWrap/>
            <w:vAlign w:val="bottom"/>
            <w:hideMark/>
          </w:tcPr>
          <w:p w14:paraId="21D2C48B" w14:textId="64606911" w:rsidR="00C05DEF" w:rsidRPr="00B92144" w:rsidRDefault="00C05DEF" w:rsidP="00FB4B88">
            <w:pPr>
              <w:spacing w:after="0" w:line="240" w:lineRule="auto"/>
              <w:rPr>
                <w:rFonts w:asciiTheme="majorBidi" w:eastAsia="Times New Roman" w:hAnsiTheme="majorBidi" w:cstheme="majorBidi"/>
                <w:b/>
                <w:color w:val="000000"/>
                <w:sz w:val="20"/>
                <w:szCs w:val="20"/>
              </w:rPr>
            </w:pPr>
            <w:r w:rsidRPr="00B92144">
              <w:rPr>
                <w:rFonts w:asciiTheme="majorBidi" w:eastAsia="Times New Roman" w:hAnsiTheme="majorBidi" w:cstheme="majorBidi"/>
                <w:b/>
                <w:color w:val="000000"/>
                <w:sz w:val="20"/>
                <w:szCs w:val="20"/>
              </w:rPr>
              <w:t>United Arab Emirates (UAE) </w:t>
            </w:r>
          </w:p>
        </w:tc>
        <w:tc>
          <w:tcPr>
            <w:tcW w:w="2070" w:type="dxa"/>
            <w:tcBorders>
              <w:top w:val="nil"/>
              <w:left w:val="nil"/>
              <w:bottom w:val="single" w:sz="4" w:space="0" w:color="auto"/>
              <w:right w:val="single" w:sz="4" w:space="0" w:color="auto"/>
            </w:tcBorders>
            <w:shd w:val="clear" w:color="auto" w:fill="auto"/>
            <w:noWrap/>
            <w:vAlign w:val="bottom"/>
            <w:hideMark/>
          </w:tcPr>
          <w:p w14:paraId="2DCAC796"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Islamic banks</w:t>
            </w:r>
          </w:p>
        </w:tc>
        <w:tc>
          <w:tcPr>
            <w:tcW w:w="1006" w:type="dxa"/>
            <w:tcBorders>
              <w:top w:val="nil"/>
              <w:left w:val="nil"/>
              <w:bottom w:val="single" w:sz="4" w:space="0" w:color="auto"/>
              <w:right w:val="single" w:sz="4" w:space="0" w:color="auto"/>
            </w:tcBorders>
            <w:shd w:val="clear" w:color="auto" w:fill="auto"/>
            <w:noWrap/>
            <w:vAlign w:val="bottom"/>
            <w:hideMark/>
          </w:tcPr>
          <w:p w14:paraId="57579D15"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414.5</w:t>
            </w:r>
          </w:p>
        </w:tc>
        <w:tc>
          <w:tcPr>
            <w:tcW w:w="980" w:type="dxa"/>
            <w:tcBorders>
              <w:top w:val="nil"/>
              <w:left w:val="nil"/>
              <w:bottom w:val="single" w:sz="4" w:space="0" w:color="auto"/>
              <w:right w:val="single" w:sz="4" w:space="0" w:color="auto"/>
            </w:tcBorders>
            <w:shd w:val="clear" w:color="auto" w:fill="auto"/>
            <w:noWrap/>
            <w:vAlign w:val="bottom"/>
            <w:hideMark/>
          </w:tcPr>
          <w:p w14:paraId="5732156E"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169.6</w:t>
            </w:r>
          </w:p>
        </w:tc>
        <w:tc>
          <w:tcPr>
            <w:tcW w:w="980" w:type="dxa"/>
            <w:tcBorders>
              <w:top w:val="nil"/>
              <w:left w:val="nil"/>
              <w:bottom w:val="single" w:sz="4" w:space="0" w:color="auto"/>
              <w:right w:val="single" w:sz="4" w:space="0" w:color="auto"/>
            </w:tcBorders>
            <w:shd w:val="clear" w:color="auto" w:fill="auto"/>
            <w:noWrap/>
            <w:vAlign w:val="bottom"/>
            <w:hideMark/>
          </w:tcPr>
          <w:p w14:paraId="376CFEE5"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230.0</w:t>
            </w:r>
          </w:p>
        </w:tc>
        <w:tc>
          <w:tcPr>
            <w:tcW w:w="1000" w:type="dxa"/>
            <w:tcBorders>
              <w:top w:val="nil"/>
              <w:left w:val="nil"/>
              <w:bottom w:val="single" w:sz="4" w:space="0" w:color="auto"/>
              <w:right w:val="single" w:sz="4" w:space="0" w:color="auto"/>
            </w:tcBorders>
            <w:shd w:val="clear" w:color="auto" w:fill="auto"/>
            <w:noWrap/>
            <w:vAlign w:val="bottom"/>
            <w:hideMark/>
          </w:tcPr>
          <w:p w14:paraId="6B7B5A2D"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1345.0</w:t>
            </w:r>
          </w:p>
        </w:tc>
        <w:tc>
          <w:tcPr>
            <w:tcW w:w="1300" w:type="dxa"/>
            <w:tcBorders>
              <w:top w:val="nil"/>
              <w:left w:val="nil"/>
              <w:bottom w:val="single" w:sz="4" w:space="0" w:color="auto"/>
              <w:right w:val="single" w:sz="4" w:space="0" w:color="auto"/>
            </w:tcBorders>
            <w:shd w:val="clear" w:color="auto" w:fill="auto"/>
            <w:noWrap/>
            <w:vAlign w:val="bottom"/>
            <w:hideMark/>
          </w:tcPr>
          <w:p w14:paraId="763F5905"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10</w:t>
            </w:r>
          </w:p>
        </w:tc>
      </w:tr>
      <w:tr w:rsidR="00C05DEF" w:rsidRPr="00B92144" w14:paraId="6CAAA165" w14:textId="77777777" w:rsidTr="0071253E">
        <w:trPr>
          <w:trHeight w:val="188"/>
        </w:trPr>
        <w:tc>
          <w:tcPr>
            <w:tcW w:w="2857" w:type="dxa"/>
            <w:vMerge/>
            <w:tcBorders>
              <w:left w:val="single" w:sz="4" w:space="0" w:color="auto"/>
              <w:bottom w:val="single" w:sz="4" w:space="0" w:color="auto"/>
              <w:right w:val="single" w:sz="4" w:space="0" w:color="auto"/>
            </w:tcBorders>
            <w:shd w:val="clear" w:color="auto" w:fill="auto"/>
            <w:noWrap/>
            <w:vAlign w:val="bottom"/>
            <w:hideMark/>
          </w:tcPr>
          <w:p w14:paraId="7B9402DB"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bottom"/>
            <w:hideMark/>
          </w:tcPr>
          <w:p w14:paraId="783E8085" w14:textId="77777777" w:rsidR="00C05DEF" w:rsidRPr="00B92144" w:rsidRDefault="00C05DEF" w:rsidP="00C05DEF">
            <w:pPr>
              <w:spacing w:after="0" w:line="240" w:lineRule="auto"/>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non-</w:t>
            </w:r>
            <w:r w:rsidR="00657977" w:rsidRPr="00B92144">
              <w:rPr>
                <w:rFonts w:asciiTheme="majorBidi" w:eastAsia="Times New Roman" w:hAnsiTheme="majorBidi" w:cstheme="majorBidi"/>
                <w:color w:val="000000"/>
                <w:sz w:val="20"/>
                <w:szCs w:val="20"/>
              </w:rPr>
              <w:t>Islamic</w:t>
            </w:r>
            <w:r w:rsidRPr="00B92144">
              <w:rPr>
                <w:rFonts w:asciiTheme="majorBidi" w:eastAsia="Times New Roman" w:hAnsiTheme="majorBidi" w:cstheme="majorBidi"/>
                <w:color w:val="000000"/>
                <w:sz w:val="20"/>
                <w:szCs w:val="20"/>
              </w:rPr>
              <w:t xml:space="preserve"> banks</w:t>
            </w:r>
          </w:p>
        </w:tc>
        <w:tc>
          <w:tcPr>
            <w:tcW w:w="1006" w:type="dxa"/>
            <w:tcBorders>
              <w:top w:val="nil"/>
              <w:left w:val="nil"/>
              <w:bottom w:val="single" w:sz="4" w:space="0" w:color="auto"/>
              <w:right w:val="single" w:sz="4" w:space="0" w:color="auto"/>
            </w:tcBorders>
            <w:shd w:val="clear" w:color="auto" w:fill="auto"/>
            <w:noWrap/>
            <w:vAlign w:val="bottom"/>
            <w:hideMark/>
          </w:tcPr>
          <w:p w14:paraId="10D55CFD"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613.1</w:t>
            </w:r>
          </w:p>
        </w:tc>
        <w:tc>
          <w:tcPr>
            <w:tcW w:w="980" w:type="dxa"/>
            <w:tcBorders>
              <w:top w:val="nil"/>
              <w:left w:val="nil"/>
              <w:bottom w:val="single" w:sz="4" w:space="0" w:color="auto"/>
              <w:right w:val="single" w:sz="4" w:space="0" w:color="auto"/>
            </w:tcBorders>
            <w:shd w:val="clear" w:color="auto" w:fill="auto"/>
            <w:noWrap/>
            <w:vAlign w:val="bottom"/>
            <w:hideMark/>
          </w:tcPr>
          <w:p w14:paraId="645D1453"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186.3</w:t>
            </w:r>
          </w:p>
        </w:tc>
        <w:tc>
          <w:tcPr>
            <w:tcW w:w="980" w:type="dxa"/>
            <w:tcBorders>
              <w:top w:val="nil"/>
              <w:left w:val="nil"/>
              <w:bottom w:val="single" w:sz="4" w:space="0" w:color="auto"/>
              <w:right w:val="single" w:sz="4" w:space="0" w:color="auto"/>
            </w:tcBorders>
            <w:shd w:val="clear" w:color="auto" w:fill="auto"/>
            <w:noWrap/>
            <w:vAlign w:val="bottom"/>
            <w:hideMark/>
          </w:tcPr>
          <w:p w14:paraId="61E199C1"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134.0</w:t>
            </w:r>
          </w:p>
        </w:tc>
        <w:tc>
          <w:tcPr>
            <w:tcW w:w="1000" w:type="dxa"/>
            <w:tcBorders>
              <w:top w:val="nil"/>
              <w:left w:val="nil"/>
              <w:bottom w:val="single" w:sz="4" w:space="0" w:color="auto"/>
              <w:right w:val="single" w:sz="4" w:space="0" w:color="auto"/>
            </w:tcBorders>
            <w:shd w:val="clear" w:color="auto" w:fill="auto"/>
            <w:noWrap/>
            <w:vAlign w:val="bottom"/>
            <w:hideMark/>
          </w:tcPr>
          <w:p w14:paraId="26D466A5"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1227.0</w:t>
            </w:r>
          </w:p>
        </w:tc>
        <w:tc>
          <w:tcPr>
            <w:tcW w:w="1300" w:type="dxa"/>
            <w:tcBorders>
              <w:top w:val="nil"/>
              <w:left w:val="nil"/>
              <w:bottom w:val="single" w:sz="4" w:space="0" w:color="auto"/>
              <w:right w:val="single" w:sz="4" w:space="0" w:color="auto"/>
            </w:tcBorders>
            <w:shd w:val="clear" w:color="auto" w:fill="auto"/>
            <w:noWrap/>
            <w:vAlign w:val="bottom"/>
            <w:hideMark/>
          </w:tcPr>
          <w:p w14:paraId="3D728023" w14:textId="77777777" w:rsidR="00C05DEF" w:rsidRPr="00B92144" w:rsidRDefault="00C05DEF" w:rsidP="00C05DEF">
            <w:pPr>
              <w:spacing w:after="0" w:line="240" w:lineRule="auto"/>
              <w:jc w:val="center"/>
              <w:rPr>
                <w:rFonts w:asciiTheme="majorBidi" w:eastAsia="Times New Roman" w:hAnsiTheme="majorBidi" w:cstheme="majorBidi"/>
                <w:color w:val="000000"/>
                <w:sz w:val="20"/>
                <w:szCs w:val="20"/>
              </w:rPr>
            </w:pPr>
            <w:r w:rsidRPr="00B92144">
              <w:rPr>
                <w:rFonts w:asciiTheme="majorBidi" w:eastAsia="Times New Roman" w:hAnsiTheme="majorBidi" w:cstheme="majorBidi"/>
                <w:color w:val="000000"/>
                <w:sz w:val="20"/>
                <w:szCs w:val="20"/>
              </w:rPr>
              <w:t>10</w:t>
            </w:r>
          </w:p>
        </w:tc>
      </w:tr>
    </w:tbl>
    <w:p w14:paraId="68FE81FF" w14:textId="77777777" w:rsidR="00E8071C" w:rsidRPr="00B92144" w:rsidRDefault="00E8071C" w:rsidP="00365270">
      <w:pPr>
        <w:spacing w:line="360" w:lineRule="auto"/>
        <w:jc w:val="both"/>
        <w:rPr>
          <w:rFonts w:asciiTheme="majorBidi" w:hAnsiTheme="majorBidi" w:cstheme="majorBidi"/>
          <w:sz w:val="24"/>
          <w:szCs w:val="24"/>
        </w:rPr>
      </w:pPr>
    </w:p>
    <w:p w14:paraId="3E702706" w14:textId="77777777" w:rsidR="009E28CC" w:rsidRPr="00B92144" w:rsidRDefault="009E28CC" w:rsidP="009E28CC">
      <w:pPr>
        <w:rPr>
          <w:rFonts w:asciiTheme="majorBidi" w:hAnsiTheme="majorBidi" w:cstheme="majorBidi"/>
          <w:sz w:val="24"/>
          <w:szCs w:val="24"/>
        </w:rPr>
        <w:sectPr w:rsidR="009E28CC" w:rsidRPr="00B92144">
          <w:pgSz w:w="12240" w:h="15840"/>
          <w:pgMar w:top="1440" w:right="1440" w:bottom="1440" w:left="1440" w:header="720" w:footer="720" w:gutter="0"/>
          <w:cols w:space="720"/>
          <w:docGrid w:linePitch="360"/>
        </w:sectPr>
      </w:pPr>
    </w:p>
    <w:tbl>
      <w:tblPr>
        <w:tblpPr w:leftFromText="141" w:rightFromText="141" w:vertAnchor="text" w:horzAnchor="margin" w:tblpY="-74"/>
        <w:tblW w:w="11831" w:type="dxa"/>
        <w:tblLook w:val="04A0" w:firstRow="1" w:lastRow="0" w:firstColumn="1" w:lastColumn="0" w:noHBand="0" w:noVBand="1"/>
      </w:tblPr>
      <w:tblGrid>
        <w:gridCol w:w="2700"/>
        <w:gridCol w:w="2100"/>
        <w:gridCol w:w="955"/>
        <w:gridCol w:w="900"/>
        <w:gridCol w:w="810"/>
        <w:gridCol w:w="876"/>
        <w:gridCol w:w="880"/>
        <w:gridCol w:w="900"/>
        <w:gridCol w:w="900"/>
        <w:gridCol w:w="810"/>
      </w:tblGrid>
      <w:tr w:rsidR="009E28CC" w:rsidRPr="00B92144" w14:paraId="45699B0F" w14:textId="77777777" w:rsidTr="009E28CC">
        <w:trPr>
          <w:trHeight w:val="300"/>
        </w:trPr>
        <w:tc>
          <w:tcPr>
            <w:tcW w:w="11831" w:type="dxa"/>
            <w:gridSpan w:val="10"/>
            <w:tcBorders>
              <w:bottom w:val="single" w:sz="4" w:space="0" w:color="auto"/>
            </w:tcBorders>
            <w:shd w:val="clear" w:color="auto" w:fill="auto"/>
            <w:noWrap/>
            <w:vAlign w:val="bottom"/>
          </w:tcPr>
          <w:p w14:paraId="47EF3B01" w14:textId="77777777" w:rsidR="009E28CC" w:rsidRPr="00B92144" w:rsidRDefault="009E28CC" w:rsidP="009E28CC">
            <w:pPr>
              <w:spacing w:after="0" w:line="240" w:lineRule="auto"/>
              <w:rPr>
                <w:rFonts w:asciiTheme="majorBidi" w:eastAsia="Times New Roman" w:hAnsiTheme="majorBidi" w:cstheme="majorBidi"/>
                <w:b/>
                <w:color w:val="000000"/>
              </w:rPr>
            </w:pPr>
            <w:r w:rsidRPr="00B92144">
              <w:rPr>
                <w:rFonts w:asciiTheme="majorBidi" w:eastAsia="Times New Roman" w:hAnsiTheme="majorBidi" w:cstheme="majorBidi"/>
                <w:b/>
                <w:color w:val="000000"/>
                <w:u w:val="single"/>
              </w:rPr>
              <w:lastRenderedPageBreak/>
              <w:t xml:space="preserve">Table 3: </w:t>
            </w:r>
            <w:r w:rsidRPr="00B92144">
              <w:rPr>
                <w:rFonts w:asciiTheme="majorBidi" w:eastAsia="Times New Roman" w:hAnsiTheme="majorBidi" w:cstheme="majorBidi"/>
                <w:b/>
                <w:color w:val="000000"/>
              </w:rPr>
              <w:t>Weighted average RRD Index by dimension during 2009-2014</w:t>
            </w:r>
          </w:p>
          <w:p w14:paraId="2E3514BE" w14:textId="03BB6A72" w:rsidR="0071253E" w:rsidRPr="00B92144" w:rsidRDefault="0071253E" w:rsidP="009E28CC">
            <w:pPr>
              <w:spacing w:after="0" w:line="240" w:lineRule="auto"/>
              <w:rPr>
                <w:rFonts w:asciiTheme="majorBidi" w:eastAsia="Times New Roman" w:hAnsiTheme="majorBidi" w:cstheme="majorBidi"/>
                <w:b/>
                <w:color w:val="000000"/>
                <w:u w:val="single"/>
              </w:rPr>
            </w:pPr>
          </w:p>
        </w:tc>
      </w:tr>
      <w:tr w:rsidR="009E28CC" w:rsidRPr="00B92144" w14:paraId="2103C7CE" w14:textId="77777777" w:rsidTr="009E28CC">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E66B6"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 </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49675345"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1BF26159" w14:textId="77777777" w:rsidR="009E28CC" w:rsidRPr="00B92144" w:rsidRDefault="009E28CC" w:rsidP="009E28CC">
            <w:pPr>
              <w:spacing w:after="0" w:line="240" w:lineRule="auto"/>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D1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C8D60A9" w14:textId="77777777" w:rsidR="009E28CC" w:rsidRPr="00B92144" w:rsidRDefault="009E28CC" w:rsidP="009E28CC">
            <w:pPr>
              <w:spacing w:after="0" w:line="240" w:lineRule="auto"/>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D2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6C1F842" w14:textId="77777777" w:rsidR="009E28CC" w:rsidRPr="00B92144" w:rsidRDefault="009E28CC" w:rsidP="009E28CC">
            <w:pPr>
              <w:spacing w:after="0" w:line="240" w:lineRule="auto"/>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D3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2A5DACAE" w14:textId="77777777" w:rsidR="009E28CC" w:rsidRPr="00B92144" w:rsidRDefault="009E28CC" w:rsidP="009E28CC">
            <w:pPr>
              <w:spacing w:after="0" w:line="240" w:lineRule="auto"/>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D4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6B66B98" w14:textId="77777777" w:rsidR="009E28CC" w:rsidRPr="00B92144" w:rsidRDefault="009E28CC" w:rsidP="009E28CC">
            <w:pPr>
              <w:spacing w:after="0" w:line="240" w:lineRule="auto"/>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D5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F4AA4FE" w14:textId="77777777" w:rsidR="009E28CC" w:rsidRPr="00B92144" w:rsidRDefault="009E28CC" w:rsidP="009E28CC">
            <w:pPr>
              <w:spacing w:after="0" w:line="240" w:lineRule="auto"/>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D6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DA8B15C" w14:textId="77777777" w:rsidR="009E28CC" w:rsidRPr="00B92144" w:rsidRDefault="009E28CC" w:rsidP="009E28CC">
            <w:pPr>
              <w:spacing w:after="0" w:line="240" w:lineRule="auto"/>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D7</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BA917D2" w14:textId="77777777" w:rsidR="009E28CC" w:rsidRPr="00B92144" w:rsidRDefault="009E28CC" w:rsidP="009E28CC">
            <w:pPr>
              <w:spacing w:after="0" w:line="240" w:lineRule="auto"/>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D8</w:t>
            </w:r>
          </w:p>
        </w:tc>
      </w:tr>
      <w:tr w:rsidR="009E28CC" w:rsidRPr="00B92144" w14:paraId="224DAA13" w14:textId="77777777" w:rsidTr="009E28CC">
        <w:trPr>
          <w:trHeight w:val="300"/>
        </w:trPr>
        <w:tc>
          <w:tcPr>
            <w:tcW w:w="2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914EEB2" w14:textId="746E1D1D" w:rsidR="009E28CC" w:rsidRPr="00B92144" w:rsidRDefault="009E28CC" w:rsidP="009E28CC">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 xml:space="preserve">Aggregate </w:t>
            </w:r>
            <w:r w:rsidR="00EB3533" w:rsidRPr="00B92144">
              <w:rPr>
                <w:rFonts w:asciiTheme="majorBidi" w:eastAsia="Times New Roman" w:hAnsiTheme="majorBidi" w:cstheme="majorBidi"/>
                <w:b/>
                <w:color w:val="000000"/>
              </w:rPr>
              <w:t>R</w:t>
            </w:r>
            <w:r w:rsidRPr="00B92144">
              <w:rPr>
                <w:rFonts w:asciiTheme="majorBidi" w:eastAsia="Times New Roman" w:hAnsiTheme="majorBidi" w:cstheme="majorBidi"/>
                <w:b/>
                <w:color w:val="000000"/>
              </w:rPr>
              <w:t>RD Index</w:t>
            </w:r>
          </w:p>
        </w:tc>
        <w:tc>
          <w:tcPr>
            <w:tcW w:w="2100" w:type="dxa"/>
            <w:tcBorders>
              <w:top w:val="nil"/>
              <w:left w:val="nil"/>
              <w:bottom w:val="single" w:sz="4" w:space="0" w:color="auto"/>
              <w:right w:val="single" w:sz="4" w:space="0" w:color="auto"/>
            </w:tcBorders>
            <w:shd w:val="clear" w:color="auto" w:fill="auto"/>
            <w:noWrap/>
            <w:vAlign w:val="bottom"/>
            <w:hideMark/>
          </w:tcPr>
          <w:p w14:paraId="2315F9BC"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1D1A5753"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25.29</w:t>
            </w:r>
          </w:p>
        </w:tc>
        <w:tc>
          <w:tcPr>
            <w:tcW w:w="900" w:type="dxa"/>
            <w:tcBorders>
              <w:top w:val="nil"/>
              <w:left w:val="nil"/>
              <w:bottom w:val="single" w:sz="4" w:space="0" w:color="auto"/>
              <w:right w:val="single" w:sz="4" w:space="0" w:color="auto"/>
            </w:tcBorders>
            <w:shd w:val="clear" w:color="auto" w:fill="auto"/>
            <w:noWrap/>
            <w:vAlign w:val="bottom"/>
            <w:hideMark/>
          </w:tcPr>
          <w:p w14:paraId="1694BD35"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182.59</w:t>
            </w:r>
          </w:p>
        </w:tc>
        <w:tc>
          <w:tcPr>
            <w:tcW w:w="810" w:type="dxa"/>
            <w:tcBorders>
              <w:top w:val="nil"/>
              <w:left w:val="nil"/>
              <w:bottom w:val="single" w:sz="4" w:space="0" w:color="auto"/>
              <w:right w:val="single" w:sz="4" w:space="0" w:color="auto"/>
            </w:tcBorders>
            <w:shd w:val="clear" w:color="auto" w:fill="auto"/>
            <w:noWrap/>
            <w:vAlign w:val="bottom"/>
            <w:hideMark/>
          </w:tcPr>
          <w:p w14:paraId="632B5A9E"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9.76</w:t>
            </w:r>
          </w:p>
        </w:tc>
        <w:tc>
          <w:tcPr>
            <w:tcW w:w="876" w:type="dxa"/>
            <w:tcBorders>
              <w:top w:val="nil"/>
              <w:left w:val="nil"/>
              <w:bottom w:val="single" w:sz="4" w:space="0" w:color="auto"/>
              <w:right w:val="single" w:sz="4" w:space="0" w:color="auto"/>
            </w:tcBorders>
            <w:shd w:val="clear" w:color="auto" w:fill="auto"/>
            <w:noWrap/>
            <w:vAlign w:val="bottom"/>
            <w:hideMark/>
          </w:tcPr>
          <w:p w14:paraId="11403A5D"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82.06</w:t>
            </w:r>
          </w:p>
        </w:tc>
        <w:tc>
          <w:tcPr>
            <w:tcW w:w="880" w:type="dxa"/>
            <w:tcBorders>
              <w:top w:val="nil"/>
              <w:left w:val="nil"/>
              <w:bottom w:val="single" w:sz="4" w:space="0" w:color="auto"/>
              <w:right w:val="single" w:sz="4" w:space="0" w:color="auto"/>
            </w:tcBorders>
            <w:shd w:val="clear" w:color="auto" w:fill="auto"/>
            <w:noWrap/>
            <w:vAlign w:val="bottom"/>
            <w:hideMark/>
          </w:tcPr>
          <w:p w14:paraId="680BC8E4"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20.38</w:t>
            </w:r>
          </w:p>
        </w:tc>
        <w:tc>
          <w:tcPr>
            <w:tcW w:w="900" w:type="dxa"/>
            <w:tcBorders>
              <w:top w:val="nil"/>
              <w:left w:val="nil"/>
              <w:bottom w:val="single" w:sz="4" w:space="0" w:color="auto"/>
              <w:right w:val="single" w:sz="4" w:space="0" w:color="auto"/>
            </w:tcBorders>
            <w:shd w:val="clear" w:color="auto" w:fill="auto"/>
            <w:noWrap/>
            <w:vAlign w:val="bottom"/>
            <w:hideMark/>
          </w:tcPr>
          <w:p w14:paraId="2726BB21"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0.86</w:t>
            </w:r>
          </w:p>
        </w:tc>
        <w:tc>
          <w:tcPr>
            <w:tcW w:w="900" w:type="dxa"/>
            <w:tcBorders>
              <w:top w:val="nil"/>
              <w:left w:val="nil"/>
              <w:bottom w:val="single" w:sz="4" w:space="0" w:color="auto"/>
              <w:right w:val="single" w:sz="4" w:space="0" w:color="auto"/>
            </w:tcBorders>
            <w:shd w:val="clear" w:color="auto" w:fill="auto"/>
            <w:noWrap/>
            <w:vAlign w:val="bottom"/>
            <w:hideMark/>
          </w:tcPr>
          <w:p w14:paraId="13E5B4D6"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73.48</w:t>
            </w:r>
          </w:p>
        </w:tc>
        <w:tc>
          <w:tcPr>
            <w:tcW w:w="810" w:type="dxa"/>
            <w:tcBorders>
              <w:top w:val="nil"/>
              <w:left w:val="nil"/>
              <w:bottom w:val="single" w:sz="4" w:space="0" w:color="auto"/>
              <w:right w:val="single" w:sz="4" w:space="0" w:color="auto"/>
            </w:tcBorders>
            <w:shd w:val="clear" w:color="auto" w:fill="auto"/>
            <w:noWrap/>
            <w:vAlign w:val="bottom"/>
            <w:hideMark/>
          </w:tcPr>
          <w:p w14:paraId="6E573308"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14.57</w:t>
            </w:r>
          </w:p>
        </w:tc>
      </w:tr>
      <w:tr w:rsidR="009E28CC" w:rsidRPr="00B92144" w14:paraId="4FE5C04A" w14:textId="77777777" w:rsidTr="009E28CC">
        <w:trPr>
          <w:trHeight w:val="300"/>
        </w:trPr>
        <w:tc>
          <w:tcPr>
            <w:tcW w:w="2700" w:type="dxa"/>
            <w:vMerge/>
            <w:tcBorders>
              <w:top w:val="nil"/>
              <w:left w:val="single" w:sz="4" w:space="0" w:color="auto"/>
              <w:bottom w:val="single" w:sz="4" w:space="0" w:color="auto"/>
              <w:right w:val="single" w:sz="4" w:space="0" w:color="auto"/>
            </w:tcBorders>
            <w:vAlign w:val="center"/>
            <w:hideMark/>
          </w:tcPr>
          <w:p w14:paraId="18827199" w14:textId="77777777" w:rsidR="009E28CC" w:rsidRPr="00B92144" w:rsidRDefault="009E28CC" w:rsidP="009E28CC">
            <w:pPr>
              <w:spacing w:after="0" w:line="240" w:lineRule="auto"/>
              <w:rPr>
                <w:rFonts w:asciiTheme="majorBidi" w:eastAsia="Times New Roman" w:hAnsiTheme="majorBidi" w:cstheme="majorBidi"/>
                <w:b/>
                <w:color w:val="000000"/>
              </w:rPr>
            </w:pPr>
          </w:p>
        </w:tc>
        <w:tc>
          <w:tcPr>
            <w:tcW w:w="2100" w:type="dxa"/>
            <w:tcBorders>
              <w:top w:val="nil"/>
              <w:left w:val="nil"/>
              <w:bottom w:val="single" w:sz="4" w:space="0" w:color="auto"/>
              <w:right w:val="single" w:sz="4" w:space="0" w:color="auto"/>
            </w:tcBorders>
            <w:shd w:val="clear" w:color="auto" w:fill="auto"/>
            <w:noWrap/>
            <w:vAlign w:val="bottom"/>
            <w:hideMark/>
          </w:tcPr>
          <w:p w14:paraId="5F4CB420"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non-Islamic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1CA71CA6"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45.85</w:t>
            </w:r>
          </w:p>
        </w:tc>
        <w:tc>
          <w:tcPr>
            <w:tcW w:w="900" w:type="dxa"/>
            <w:tcBorders>
              <w:top w:val="nil"/>
              <w:left w:val="nil"/>
              <w:bottom w:val="single" w:sz="4" w:space="0" w:color="auto"/>
              <w:right w:val="single" w:sz="4" w:space="0" w:color="auto"/>
            </w:tcBorders>
            <w:shd w:val="clear" w:color="auto" w:fill="auto"/>
            <w:noWrap/>
            <w:vAlign w:val="bottom"/>
            <w:hideMark/>
          </w:tcPr>
          <w:p w14:paraId="5202CACB"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166.65</w:t>
            </w:r>
          </w:p>
        </w:tc>
        <w:tc>
          <w:tcPr>
            <w:tcW w:w="810" w:type="dxa"/>
            <w:tcBorders>
              <w:top w:val="nil"/>
              <w:left w:val="nil"/>
              <w:bottom w:val="single" w:sz="4" w:space="0" w:color="auto"/>
              <w:right w:val="single" w:sz="4" w:space="0" w:color="auto"/>
            </w:tcBorders>
            <w:shd w:val="clear" w:color="auto" w:fill="auto"/>
            <w:noWrap/>
            <w:vAlign w:val="bottom"/>
            <w:hideMark/>
          </w:tcPr>
          <w:p w14:paraId="502ABA51"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40.86</w:t>
            </w:r>
          </w:p>
        </w:tc>
        <w:tc>
          <w:tcPr>
            <w:tcW w:w="876" w:type="dxa"/>
            <w:tcBorders>
              <w:top w:val="nil"/>
              <w:left w:val="nil"/>
              <w:bottom w:val="single" w:sz="4" w:space="0" w:color="auto"/>
              <w:right w:val="single" w:sz="4" w:space="0" w:color="auto"/>
            </w:tcBorders>
            <w:shd w:val="clear" w:color="auto" w:fill="auto"/>
            <w:noWrap/>
            <w:vAlign w:val="bottom"/>
            <w:hideMark/>
          </w:tcPr>
          <w:p w14:paraId="123A96D6"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46.84</w:t>
            </w:r>
          </w:p>
        </w:tc>
        <w:tc>
          <w:tcPr>
            <w:tcW w:w="880" w:type="dxa"/>
            <w:tcBorders>
              <w:top w:val="nil"/>
              <w:left w:val="nil"/>
              <w:bottom w:val="single" w:sz="4" w:space="0" w:color="auto"/>
              <w:right w:val="single" w:sz="4" w:space="0" w:color="auto"/>
            </w:tcBorders>
            <w:shd w:val="clear" w:color="auto" w:fill="auto"/>
            <w:noWrap/>
            <w:vAlign w:val="bottom"/>
            <w:hideMark/>
          </w:tcPr>
          <w:p w14:paraId="6CB9485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9.68</w:t>
            </w:r>
          </w:p>
        </w:tc>
        <w:tc>
          <w:tcPr>
            <w:tcW w:w="900" w:type="dxa"/>
            <w:tcBorders>
              <w:top w:val="nil"/>
              <w:left w:val="nil"/>
              <w:bottom w:val="single" w:sz="4" w:space="0" w:color="auto"/>
              <w:right w:val="single" w:sz="4" w:space="0" w:color="auto"/>
            </w:tcBorders>
            <w:shd w:val="clear" w:color="auto" w:fill="auto"/>
            <w:noWrap/>
            <w:vAlign w:val="bottom"/>
            <w:hideMark/>
          </w:tcPr>
          <w:p w14:paraId="1B180439"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9.08</w:t>
            </w:r>
          </w:p>
        </w:tc>
        <w:tc>
          <w:tcPr>
            <w:tcW w:w="900" w:type="dxa"/>
            <w:tcBorders>
              <w:top w:val="nil"/>
              <w:left w:val="nil"/>
              <w:bottom w:val="single" w:sz="4" w:space="0" w:color="auto"/>
              <w:right w:val="single" w:sz="4" w:space="0" w:color="auto"/>
            </w:tcBorders>
            <w:shd w:val="clear" w:color="auto" w:fill="auto"/>
            <w:noWrap/>
            <w:vAlign w:val="bottom"/>
            <w:hideMark/>
          </w:tcPr>
          <w:p w14:paraId="0366CC9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69.98</w:t>
            </w:r>
          </w:p>
        </w:tc>
        <w:tc>
          <w:tcPr>
            <w:tcW w:w="810" w:type="dxa"/>
            <w:tcBorders>
              <w:top w:val="nil"/>
              <w:left w:val="nil"/>
              <w:bottom w:val="single" w:sz="4" w:space="0" w:color="auto"/>
              <w:right w:val="single" w:sz="4" w:space="0" w:color="auto"/>
            </w:tcBorders>
            <w:shd w:val="clear" w:color="auto" w:fill="auto"/>
            <w:noWrap/>
            <w:vAlign w:val="bottom"/>
            <w:hideMark/>
          </w:tcPr>
          <w:p w14:paraId="19C2593A"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15.52</w:t>
            </w:r>
          </w:p>
        </w:tc>
      </w:tr>
      <w:tr w:rsidR="009E28CC" w:rsidRPr="00B92144" w14:paraId="2E185F24" w14:textId="77777777" w:rsidTr="009E28CC">
        <w:trPr>
          <w:trHeight w:val="300"/>
        </w:trPr>
        <w:tc>
          <w:tcPr>
            <w:tcW w:w="2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0EB5E4" w14:textId="77777777" w:rsidR="009E28CC" w:rsidRPr="00B92144" w:rsidRDefault="009E28CC" w:rsidP="009E28CC">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 xml:space="preserve"> Qatar</w:t>
            </w:r>
          </w:p>
        </w:tc>
        <w:tc>
          <w:tcPr>
            <w:tcW w:w="2100" w:type="dxa"/>
            <w:tcBorders>
              <w:top w:val="nil"/>
              <w:left w:val="nil"/>
              <w:bottom w:val="single" w:sz="4" w:space="0" w:color="auto"/>
              <w:right w:val="single" w:sz="4" w:space="0" w:color="auto"/>
            </w:tcBorders>
            <w:shd w:val="clear" w:color="auto" w:fill="auto"/>
            <w:noWrap/>
            <w:vAlign w:val="bottom"/>
            <w:hideMark/>
          </w:tcPr>
          <w:p w14:paraId="1B64D1F5"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05D76D96"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3.38</w:t>
            </w:r>
          </w:p>
        </w:tc>
        <w:tc>
          <w:tcPr>
            <w:tcW w:w="900" w:type="dxa"/>
            <w:tcBorders>
              <w:top w:val="nil"/>
              <w:left w:val="nil"/>
              <w:bottom w:val="single" w:sz="4" w:space="0" w:color="auto"/>
              <w:right w:val="single" w:sz="4" w:space="0" w:color="auto"/>
            </w:tcBorders>
            <w:shd w:val="clear" w:color="auto" w:fill="auto"/>
            <w:noWrap/>
            <w:vAlign w:val="bottom"/>
            <w:hideMark/>
          </w:tcPr>
          <w:p w14:paraId="3493D535"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93.75</w:t>
            </w:r>
          </w:p>
        </w:tc>
        <w:tc>
          <w:tcPr>
            <w:tcW w:w="810" w:type="dxa"/>
            <w:tcBorders>
              <w:top w:val="nil"/>
              <w:left w:val="nil"/>
              <w:bottom w:val="single" w:sz="4" w:space="0" w:color="auto"/>
              <w:right w:val="single" w:sz="4" w:space="0" w:color="auto"/>
            </w:tcBorders>
            <w:shd w:val="clear" w:color="auto" w:fill="auto"/>
            <w:noWrap/>
            <w:vAlign w:val="bottom"/>
            <w:hideMark/>
          </w:tcPr>
          <w:p w14:paraId="26671132"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1.94</w:t>
            </w:r>
          </w:p>
        </w:tc>
        <w:tc>
          <w:tcPr>
            <w:tcW w:w="876" w:type="dxa"/>
            <w:tcBorders>
              <w:top w:val="nil"/>
              <w:left w:val="nil"/>
              <w:bottom w:val="single" w:sz="4" w:space="0" w:color="auto"/>
              <w:right w:val="single" w:sz="4" w:space="0" w:color="auto"/>
            </w:tcBorders>
            <w:shd w:val="clear" w:color="auto" w:fill="auto"/>
            <w:noWrap/>
            <w:vAlign w:val="bottom"/>
            <w:hideMark/>
          </w:tcPr>
          <w:p w14:paraId="5B0B74D1"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60.13</w:t>
            </w:r>
          </w:p>
        </w:tc>
        <w:tc>
          <w:tcPr>
            <w:tcW w:w="880" w:type="dxa"/>
            <w:tcBorders>
              <w:top w:val="nil"/>
              <w:left w:val="nil"/>
              <w:bottom w:val="single" w:sz="4" w:space="0" w:color="auto"/>
              <w:right w:val="single" w:sz="4" w:space="0" w:color="auto"/>
            </w:tcBorders>
            <w:shd w:val="clear" w:color="auto" w:fill="auto"/>
            <w:noWrap/>
            <w:vAlign w:val="bottom"/>
            <w:hideMark/>
          </w:tcPr>
          <w:p w14:paraId="618D64F8"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6.75</w:t>
            </w:r>
          </w:p>
        </w:tc>
        <w:tc>
          <w:tcPr>
            <w:tcW w:w="900" w:type="dxa"/>
            <w:tcBorders>
              <w:top w:val="nil"/>
              <w:left w:val="nil"/>
              <w:bottom w:val="single" w:sz="4" w:space="0" w:color="auto"/>
              <w:right w:val="single" w:sz="4" w:space="0" w:color="auto"/>
            </w:tcBorders>
            <w:shd w:val="clear" w:color="auto" w:fill="auto"/>
            <w:noWrap/>
            <w:vAlign w:val="bottom"/>
            <w:hideMark/>
          </w:tcPr>
          <w:p w14:paraId="08675F48"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0.00</w:t>
            </w:r>
          </w:p>
        </w:tc>
        <w:tc>
          <w:tcPr>
            <w:tcW w:w="900" w:type="dxa"/>
            <w:tcBorders>
              <w:top w:val="nil"/>
              <w:left w:val="nil"/>
              <w:bottom w:val="single" w:sz="4" w:space="0" w:color="auto"/>
              <w:right w:val="single" w:sz="4" w:space="0" w:color="auto"/>
            </w:tcBorders>
            <w:shd w:val="clear" w:color="auto" w:fill="auto"/>
            <w:noWrap/>
            <w:vAlign w:val="bottom"/>
            <w:hideMark/>
          </w:tcPr>
          <w:p w14:paraId="00BEF0D4"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45.81</w:t>
            </w:r>
          </w:p>
        </w:tc>
        <w:tc>
          <w:tcPr>
            <w:tcW w:w="810" w:type="dxa"/>
            <w:tcBorders>
              <w:top w:val="nil"/>
              <w:left w:val="nil"/>
              <w:bottom w:val="single" w:sz="4" w:space="0" w:color="auto"/>
              <w:right w:val="single" w:sz="4" w:space="0" w:color="auto"/>
            </w:tcBorders>
            <w:shd w:val="clear" w:color="auto" w:fill="auto"/>
            <w:noWrap/>
            <w:vAlign w:val="bottom"/>
            <w:hideMark/>
          </w:tcPr>
          <w:p w14:paraId="382993D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12.94</w:t>
            </w:r>
          </w:p>
        </w:tc>
      </w:tr>
      <w:tr w:rsidR="009E28CC" w:rsidRPr="00B92144" w14:paraId="2CC431B1" w14:textId="77777777" w:rsidTr="009E28CC">
        <w:trPr>
          <w:trHeight w:val="300"/>
        </w:trPr>
        <w:tc>
          <w:tcPr>
            <w:tcW w:w="2700" w:type="dxa"/>
            <w:vMerge/>
            <w:tcBorders>
              <w:top w:val="nil"/>
              <w:left w:val="single" w:sz="4" w:space="0" w:color="auto"/>
              <w:bottom w:val="single" w:sz="4" w:space="0" w:color="auto"/>
              <w:right w:val="single" w:sz="4" w:space="0" w:color="auto"/>
            </w:tcBorders>
            <w:vAlign w:val="center"/>
            <w:hideMark/>
          </w:tcPr>
          <w:p w14:paraId="7806BF71" w14:textId="77777777" w:rsidR="009E28CC" w:rsidRPr="00B92144" w:rsidRDefault="009E28CC" w:rsidP="009E28CC">
            <w:pPr>
              <w:spacing w:after="0" w:line="240" w:lineRule="auto"/>
              <w:rPr>
                <w:rFonts w:asciiTheme="majorBidi" w:eastAsia="Times New Roman" w:hAnsiTheme="majorBidi" w:cstheme="majorBidi"/>
                <w:b/>
                <w:color w:val="000000"/>
              </w:rPr>
            </w:pPr>
          </w:p>
        </w:tc>
        <w:tc>
          <w:tcPr>
            <w:tcW w:w="2100" w:type="dxa"/>
            <w:tcBorders>
              <w:top w:val="nil"/>
              <w:left w:val="nil"/>
              <w:bottom w:val="single" w:sz="4" w:space="0" w:color="auto"/>
              <w:right w:val="single" w:sz="4" w:space="0" w:color="auto"/>
            </w:tcBorders>
            <w:shd w:val="clear" w:color="auto" w:fill="auto"/>
            <w:noWrap/>
            <w:vAlign w:val="bottom"/>
            <w:hideMark/>
          </w:tcPr>
          <w:p w14:paraId="35EB4A50"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non-Islamic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1E8EA712"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15.51</w:t>
            </w:r>
          </w:p>
        </w:tc>
        <w:tc>
          <w:tcPr>
            <w:tcW w:w="900" w:type="dxa"/>
            <w:tcBorders>
              <w:top w:val="nil"/>
              <w:left w:val="nil"/>
              <w:bottom w:val="single" w:sz="4" w:space="0" w:color="auto"/>
              <w:right w:val="single" w:sz="4" w:space="0" w:color="auto"/>
            </w:tcBorders>
            <w:shd w:val="clear" w:color="auto" w:fill="auto"/>
            <w:noWrap/>
            <w:vAlign w:val="bottom"/>
            <w:hideMark/>
          </w:tcPr>
          <w:p w14:paraId="61AC265E"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141.60</w:t>
            </w:r>
          </w:p>
        </w:tc>
        <w:tc>
          <w:tcPr>
            <w:tcW w:w="810" w:type="dxa"/>
            <w:tcBorders>
              <w:top w:val="nil"/>
              <w:left w:val="nil"/>
              <w:bottom w:val="single" w:sz="4" w:space="0" w:color="auto"/>
              <w:right w:val="single" w:sz="4" w:space="0" w:color="auto"/>
            </w:tcBorders>
            <w:shd w:val="clear" w:color="auto" w:fill="auto"/>
            <w:noWrap/>
            <w:vAlign w:val="bottom"/>
            <w:hideMark/>
          </w:tcPr>
          <w:p w14:paraId="2448D345"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38.00</w:t>
            </w:r>
          </w:p>
        </w:tc>
        <w:tc>
          <w:tcPr>
            <w:tcW w:w="876" w:type="dxa"/>
            <w:tcBorders>
              <w:top w:val="nil"/>
              <w:left w:val="nil"/>
              <w:bottom w:val="single" w:sz="4" w:space="0" w:color="auto"/>
              <w:right w:val="single" w:sz="4" w:space="0" w:color="auto"/>
            </w:tcBorders>
            <w:shd w:val="clear" w:color="auto" w:fill="auto"/>
            <w:noWrap/>
            <w:vAlign w:val="bottom"/>
            <w:hideMark/>
          </w:tcPr>
          <w:p w14:paraId="18DDBFDB"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50.89</w:t>
            </w:r>
          </w:p>
        </w:tc>
        <w:tc>
          <w:tcPr>
            <w:tcW w:w="880" w:type="dxa"/>
            <w:tcBorders>
              <w:top w:val="nil"/>
              <w:left w:val="nil"/>
              <w:bottom w:val="single" w:sz="4" w:space="0" w:color="auto"/>
              <w:right w:val="single" w:sz="4" w:space="0" w:color="auto"/>
            </w:tcBorders>
            <w:shd w:val="clear" w:color="auto" w:fill="auto"/>
            <w:noWrap/>
            <w:vAlign w:val="bottom"/>
            <w:hideMark/>
          </w:tcPr>
          <w:p w14:paraId="0E15FA78"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16.66</w:t>
            </w:r>
          </w:p>
        </w:tc>
        <w:tc>
          <w:tcPr>
            <w:tcW w:w="900" w:type="dxa"/>
            <w:tcBorders>
              <w:top w:val="nil"/>
              <w:left w:val="nil"/>
              <w:bottom w:val="single" w:sz="4" w:space="0" w:color="auto"/>
              <w:right w:val="single" w:sz="4" w:space="0" w:color="auto"/>
            </w:tcBorders>
            <w:shd w:val="clear" w:color="auto" w:fill="auto"/>
            <w:noWrap/>
            <w:vAlign w:val="bottom"/>
            <w:hideMark/>
          </w:tcPr>
          <w:p w14:paraId="7C36932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5.26</w:t>
            </w:r>
          </w:p>
        </w:tc>
        <w:tc>
          <w:tcPr>
            <w:tcW w:w="900" w:type="dxa"/>
            <w:tcBorders>
              <w:top w:val="nil"/>
              <w:left w:val="nil"/>
              <w:bottom w:val="single" w:sz="4" w:space="0" w:color="auto"/>
              <w:right w:val="single" w:sz="4" w:space="0" w:color="auto"/>
            </w:tcBorders>
            <w:shd w:val="clear" w:color="auto" w:fill="auto"/>
            <w:noWrap/>
            <w:vAlign w:val="bottom"/>
            <w:hideMark/>
          </w:tcPr>
          <w:p w14:paraId="54B7220B"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78.40</w:t>
            </w:r>
          </w:p>
        </w:tc>
        <w:tc>
          <w:tcPr>
            <w:tcW w:w="810" w:type="dxa"/>
            <w:tcBorders>
              <w:top w:val="nil"/>
              <w:left w:val="nil"/>
              <w:bottom w:val="single" w:sz="4" w:space="0" w:color="auto"/>
              <w:right w:val="single" w:sz="4" w:space="0" w:color="auto"/>
            </w:tcBorders>
            <w:shd w:val="clear" w:color="auto" w:fill="auto"/>
            <w:noWrap/>
            <w:vAlign w:val="bottom"/>
            <w:hideMark/>
          </w:tcPr>
          <w:p w14:paraId="10A1DDBC"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21.14</w:t>
            </w:r>
          </w:p>
        </w:tc>
      </w:tr>
      <w:tr w:rsidR="009E28CC" w:rsidRPr="00B92144" w14:paraId="673BADD8" w14:textId="77777777" w:rsidTr="009E28CC">
        <w:trPr>
          <w:trHeight w:val="300"/>
        </w:trPr>
        <w:tc>
          <w:tcPr>
            <w:tcW w:w="2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DB31635" w14:textId="77777777" w:rsidR="009E28CC" w:rsidRPr="00B92144" w:rsidRDefault="009E28CC" w:rsidP="009E28CC">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Bahrain</w:t>
            </w:r>
          </w:p>
        </w:tc>
        <w:tc>
          <w:tcPr>
            <w:tcW w:w="2100" w:type="dxa"/>
            <w:tcBorders>
              <w:top w:val="nil"/>
              <w:left w:val="nil"/>
              <w:bottom w:val="single" w:sz="4" w:space="0" w:color="auto"/>
              <w:right w:val="single" w:sz="4" w:space="0" w:color="auto"/>
            </w:tcBorders>
            <w:shd w:val="clear" w:color="auto" w:fill="auto"/>
            <w:noWrap/>
            <w:vAlign w:val="bottom"/>
            <w:hideMark/>
          </w:tcPr>
          <w:p w14:paraId="5A67F753"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6187FF98"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23.70</w:t>
            </w:r>
          </w:p>
        </w:tc>
        <w:tc>
          <w:tcPr>
            <w:tcW w:w="900" w:type="dxa"/>
            <w:tcBorders>
              <w:top w:val="nil"/>
              <w:left w:val="nil"/>
              <w:bottom w:val="single" w:sz="4" w:space="0" w:color="auto"/>
              <w:right w:val="single" w:sz="4" w:space="0" w:color="auto"/>
            </w:tcBorders>
            <w:shd w:val="clear" w:color="auto" w:fill="auto"/>
            <w:noWrap/>
            <w:vAlign w:val="bottom"/>
            <w:hideMark/>
          </w:tcPr>
          <w:p w14:paraId="39655F42"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153.60</w:t>
            </w:r>
          </w:p>
        </w:tc>
        <w:tc>
          <w:tcPr>
            <w:tcW w:w="810" w:type="dxa"/>
            <w:tcBorders>
              <w:top w:val="nil"/>
              <w:left w:val="nil"/>
              <w:bottom w:val="single" w:sz="4" w:space="0" w:color="auto"/>
              <w:right w:val="single" w:sz="4" w:space="0" w:color="auto"/>
            </w:tcBorders>
            <w:shd w:val="clear" w:color="auto" w:fill="auto"/>
            <w:noWrap/>
            <w:vAlign w:val="bottom"/>
            <w:hideMark/>
          </w:tcPr>
          <w:p w14:paraId="0104362E"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8.98</w:t>
            </w:r>
          </w:p>
        </w:tc>
        <w:tc>
          <w:tcPr>
            <w:tcW w:w="876" w:type="dxa"/>
            <w:tcBorders>
              <w:top w:val="nil"/>
              <w:left w:val="nil"/>
              <w:bottom w:val="single" w:sz="4" w:space="0" w:color="auto"/>
              <w:right w:val="single" w:sz="4" w:space="0" w:color="auto"/>
            </w:tcBorders>
            <w:shd w:val="clear" w:color="auto" w:fill="auto"/>
            <w:noWrap/>
            <w:vAlign w:val="bottom"/>
            <w:hideMark/>
          </w:tcPr>
          <w:p w14:paraId="199F35F7"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72.03</w:t>
            </w:r>
          </w:p>
        </w:tc>
        <w:tc>
          <w:tcPr>
            <w:tcW w:w="880" w:type="dxa"/>
            <w:tcBorders>
              <w:top w:val="nil"/>
              <w:left w:val="nil"/>
              <w:bottom w:val="single" w:sz="4" w:space="0" w:color="auto"/>
              <w:right w:val="single" w:sz="4" w:space="0" w:color="auto"/>
            </w:tcBorders>
            <w:shd w:val="clear" w:color="auto" w:fill="auto"/>
            <w:noWrap/>
            <w:vAlign w:val="bottom"/>
            <w:hideMark/>
          </w:tcPr>
          <w:p w14:paraId="0BE60181"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8.80</w:t>
            </w:r>
          </w:p>
        </w:tc>
        <w:tc>
          <w:tcPr>
            <w:tcW w:w="900" w:type="dxa"/>
            <w:tcBorders>
              <w:top w:val="nil"/>
              <w:left w:val="nil"/>
              <w:bottom w:val="single" w:sz="4" w:space="0" w:color="auto"/>
              <w:right w:val="single" w:sz="4" w:space="0" w:color="auto"/>
            </w:tcBorders>
            <w:shd w:val="clear" w:color="auto" w:fill="auto"/>
            <w:noWrap/>
            <w:vAlign w:val="bottom"/>
            <w:hideMark/>
          </w:tcPr>
          <w:p w14:paraId="11D45665"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0.18</w:t>
            </w:r>
          </w:p>
        </w:tc>
        <w:tc>
          <w:tcPr>
            <w:tcW w:w="900" w:type="dxa"/>
            <w:tcBorders>
              <w:top w:val="nil"/>
              <w:left w:val="nil"/>
              <w:bottom w:val="single" w:sz="4" w:space="0" w:color="auto"/>
              <w:right w:val="single" w:sz="4" w:space="0" w:color="auto"/>
            </w:tcBorders>
            <w:shd w:val="clear" w:color="auto" w:fill="auto"/>
            <w:noWrap/>
            <w:vAlign w:val="bottom"/>
            <w:hideMark/>
          </w:tcPr>
          <w:p w14:paraId="1A031615"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70.73</w:t>
            </w:r>
          </w:p>
        </w:tc>
        <w:tc>
          <w:tcPr>
            <w:tcW w:w="810" w:type="dxa"/>
            <w:tcBorders>
              <w:top w:val="nil"/>
              <w:left w:val="nil"/>
              <w:bottom w:val="single" w:sz="4" w:space="0" w:color="auto"/>
              <w:right w:val="single" w:sz="4" w:space="0" w:color="auto"/>
            </w:tcBorders>
            <w:shd w:val="clear" w:color="auto" w:fill="auto"/>
            <w:noWrap/>
            <w:vAlign w:val="bottom"/>
            <w:hideMark/>
          </w:tcPr>
          <w:p w14:paraId="0372D40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15.06</w:t>
            </w:r>
          </w:p>
        </w:tc>
      </w:tr>
      <w:tr w:rsidR="009E28CC" w:rsidRPr="00B92144" w14:paraId="731FC91A" w14:textId="77777777" w:rsidTr="009E28CC">
        <w:trPr>
          <w:trHeight w:val="300"/>
        </w:trPr>
        <w:tc>
          <w:tcPr>
            <w:tcW w:w="2700" w:type="dxa"/>
            <w:vMerge/>
            <w:tcBorders>
              <w:top w:val="nil"/>
              <w:left w:val="single" w:sz="4" w:space="0" w:color="auto"/>
              <w:bottom w:val="single" w:sz="4" w:space="0" w:color="auto"/>
              <w:right w:val="single" w:sz="4" w:space="0" w:color="auto"/>
            </w:tcBorders>
            <w:vAlign w:val="center"/>
            <w:hideMark/>
          </w:tcPr>
          <w:p w14:paraId="7789359C" w14:textId="77777777" w:rsidR="009E28CC" w:rsidRPr="00B92144" w:rsidRDefault="009E28CC" w:rsidP="009E28CC">
            <w:pPr>
              <w:spacing w:after="0" w:line="240" w:lineRule="auto"/>
              <w:rPr>
                <w:rFonts w:asciiTheme="majorBidi" w:eastAsia="Times New Roman" w:hAnsiTheme="majorBidi" w:cstheme="majorBidi"/>
                <w:b/>
                <w:color w:val="000000"/>
              </w:rPr>
            </w:pPr>
          </w:p>
        </w:tc>
        <w:tc>
          <w:tcPr>
            <w:tcW w:w="2100" w:type="dxa"/>
            <w:tcBorders>
              <w:top w:val="nil"/>
              <w:left w:val="nil"/>
              <w:bottom w:val="single" w:sz="4" w:space="0" w:color="auto"/>
              <w:right w:val="single" w:sz="4" w:space="0" w:color="auto"/>
            </w:tcBorders>
            <w:shd w:val="clear" w:color="auto" w:fill="auto"/>
            <w:noWrap/>
            <w:vAlign w:val="bottom"/>
            <w:hideMark/>
          </w:tcPr>
          <w:p w14:paraId="65DA86AC"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non-Islamic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0B6D6EFF"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40.53</w:t>
            </w:r>
          </w:p>
        </w:tc>
        <w:tc>
          <w:tcPr>
            <w:tcW w:w="900" w:type="dxa"/>
            <w:tcBorders>
              <w:top w:val="nil"/>
              <w:left w:val="nil"/>
              <w:bottom w:val="single" w:sz="4" w:space="0" w:color="auto"/>
              <w:right w:val="single" w:sz="4" w:space="0" w:color="auto"/>
            </w:tcBorders>
            <w:shd w:val="clear" w:color="auto" w:fill="auto"/>
            <w:noWrap/>
            <w:vAlign w:val="bottom"/>
            <w:hideMark/>
          </w:tcPr>
          <w:p w14:paraId="0047DF71"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151.23</w:t>
            </w:r>
          </w:p>
        </w:tc>
        <w:tc>
          <w:tcPr>
            <w:tcW w:w="810" w:type="dxa"/>
            <w:tcBorders>
              <w:top w:val="nil"/>
              <w:left w:val="nil"/>
              <w:bottom w:val="single" w:sz="4" w:space="0" w:color="auto"/>
              <w:right w:val="single" w:sz="4" w:space="0" w:color="auto"/>
            </w:tcBorders>
            <w:shd w:val="clear" w:color="auto" w:fill="auto"/>
            <w:noWrap/>
            <w:vAlign w:val="bottom"/>
            <w:hideMark/>
          </w:tcPr>
          <w:p w14:paraId="6053AB5F"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42.92</w:t>
            </w:r>
          </w:p>
        </w:tc>
        <w:tc>
          <w:tcPr>
            <w:tcW w:w="876" w:type="dxa"/>
            <w:tcBorders>
              <w:top w:val="nil"/>
              <w:left w:val="nil"/>
              <w:bottom w:val="single" w:sz="4" w:space="0" w:color="auto"/>
              <w:right w:val="single" w:sz="4" w:space="0" w:color="auto"/>
            </w:tcBorders>
            <w:shd w:val="clear" w:color="auto" w:fill="auto"/>
            <w:noWrap/>
            <w:vAlign w:val="bottom"/>
            <w:hideMark/>
          </w:tcPr>
          <w:p w14:paraId="04E233A2"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49.28</w:t>
            </w:r>
          </w:p>
        </w:tc>
        <w:tc>
          <w:tcPr>
            <w:tcW w:w="880" w:type="dxa"/>
            <w:tcBorders>
              <w:top w:val="nil"/>
              <w:left w:val="nil"/>
              <w:bottom w:val="single" w:sz="4" w:space="0" w:color="auto"/>
              <w:right w:val="single" w:sz="4" w:space="0" w:color="auto"/>
            </w:tcBorders>
            <w:shd w:val="clear" w:color="auto" w:fill="auto"/>
            <w:noWrap/>
            <w:vAlign w:val="bottom"/>
            <w:hideMark/>
          </w:tcPr>
          <w:p w14:paraId="74E380BA"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9.11</w:t>
            </w:r>
          </w:p>
        </w:tc>
        <w:tc>
          <w:tcPr>
            <w:tcW w:w="900" w:type="dxa"/>
            <w:tcBorders>
              <w:top w:val="nil"/>
              <w:left w:val="nil"/>
              <w:bottom w:val="single" w:sz="4" w:space="0" w:color="auto"/>
              <w:right w:val="single" w:sz="4" w:space="0" w:color="auto"/>
            </w:tcBorders>
            <w:shd w:val="clear" w:color="auto" w:fill="auto"/>
            <w:noWrap/>
            <w:vAlign w:val="bottom"/>
            <w:hideMark/>
          </w:tcPr>
          <w:p w14:paraId="56CE4639"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14.51</w:t>
            </w:r>
          </w:p>
        </w:tc>
        <w:tc>
          <w:tcPr>
            <w:tcW w:w="900" w:type="dxa"/>
            <w:tcBorders>
              <w:top w:val="nil"/>
              <w:left w:val="nil"/>
              <w:bottom w:val="single" w:sz="4" w:space="0" w:color="auto"/>
              <w:right w:val="single" w:sz="4" w:space="0" w:color="auto"/>
            </w:tcBorders>
            <w:shd w:val="clear" w:color="auto" w:fill="auto"/>
            <w:noWrap/>
            <w:vAlign w:val="bottom"/>
            <w:hideMark/>
          </w:tcPr>
          <w:p w14:paraId="4268CCDA"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72.26</w:t>
            </w:r>
          </w:p>
        </w:tc>
        <w:tc>
          <w:tcPr>
            <w:tcW w:w="810" w:type="dxa"/>
            <w:tcBorders>
              <w:top w:val="nil"/>
              <w:left w:val="nil"/>
              <w:bottom w:val="single" w:sz="4" w:space="0" w:color="auto"/>
              <w:right w:val="single" w:sz="4" w:space="0" w:color="auto"/>
            </w:tcBorders>
            <w:shd w:val="clear" w:color="auto" w:fill="auto"/>
            <w:noWrap/>
            <w:vAlign w:val="bottom"/>
            <w:hideMark/>
          </w:tcPr>
          <w:p w14:paraId="4987A05C"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14.28</w:t>
            </w:r>
          </w:p>
        </w:tc>
      </w:tr>
      <w:tr w:rsidR="009E28CC" w:rsidRPr="00B92144" w14:paraId="3F88DBF0" w14:textId="77777777" w:rsidTr="009E28CC">
        <w:trPr>
          <w:trHeight w:val="300"/>
        </w:trPr>
        <w:tc>
          <w:tcPr>
            <w:tcW w:w="2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72E8ED" w14:textId="77777777" w:rsidR="009E28CC" w:rsidRPr="00B92144" w:rsidRDefault="009E28CC" w:rsidP="009E28CC">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Egypt</w:t>
            </w:r>
          </w:p>
        </w:tc>
        <w:tc>
          <w:tcPr>
            <w:tcW w:w="2100" w:type="dxa"/>
            <w:tcBorders>
              <w:top w:val="nil"/>
              <w:left w:val="nil"/>
              <w:bottom w:val="single" w:sz="4" w:space="0" w:color="auto"/>
              <w:right w:val="single" w:sz="4" w:space="0" w:color="auto"/>
            </w:tcBorders>
            <w:shd w:val="clear" w:color="auto" w:fill="auto"/>
            <w:noWrap/>
            <w:vAlign w:val="bottom"/>
            <w:hideMark/>
          </w:tcPr>
          <w:p w14:paraId="445E96F3"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7BD1D3B9"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10.37</w:t>
            </w:r>
          </w:p>
        </w:tc>
        <w:tc>
          <w:tcPr>
            <w:tcW w:w="900" w:type="dxa"/>
            <w:tcBorders>
              <w:top w:val="nil"/>
              <w:left w:val="nil"/>
              <w:bottom w:val="single" w:sz="4" w:space="0" w:color="auto"/>
              <w:right w:val="single" w:sz="4" w:space="0" w:color="auto"/>
            </w:tcBorders>
            <w:shd w:val="clear" w:color="auto" w:fill="auto"/>
            <w:noWrap/>
            <w:vAlign w:val="bottom"/>
            <w:hideMark/>
          </w:tcPr>
          <w:p w14:paraId="3BB44C2E"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52.40</w:t>
            </w:r>
          </w:p>
        </w:tc>
        <w:tc>
          <w:tcPr>
            <w:tcW w:w="810" w:type="dxa"/>
            <w:tcBorders>
              <w:top w:val="nil"/>
              <w:left w:val="nil"/>
              <w:bottom w:val="single" w:sz="4" w:space="0" w:color="auto"/>
              <w:right w:val="single" w:sz="4" w:space="0" w:color="auto"/>
            </w:tcBorders>
            <w:shd w:val="clear" w:color="auto" w:fill="auto"/>
            <w:noWrap/>
            <w:vAlign w:val="bottom"/>
            <w:hideMark/>
          </w:tcPr>
          <w:p w14:paraId="0EDB50D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5.88</w:t>
            </w:r>
          </w:p>
        </w:tc>
        <w:tc>
          <w:tcPr>
            <w:tcW w:w="876" w:type="dxa"/>
            <w:tcBorders>
              <w:top w:val="nil"/>
              <w:left w:val="nil"/>
              <w:bottom w:val="single" w:sz="4" w:space="0" w:color="auto"/>
              <w:right w:val="single" w:sz="4" w:space="0" w:color="auto"/>
            </w:tcBorders>
            <w:shd w:val="clear" w:color="auto" w:fill="auto"/>
            <w:noWrap/>
            <w:vAlign w:val="bottom"/>
            <w:hideMark/>
          </w:tcPr>
          <w:p w14:paraId="0EB7F5B6"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26.42</w:t>
            </w:r>
          </w:p>
        </w:tc>
        <w:tc>
          <w:tcPr>
            <w:tcW w:w="880" w:type="dxa"/>
            <w:tcBorders>
              <w:top w:val="nil"/>
              <w:left w:val="nil"/>
              <w:bottom w:val="single" w:sz="4" w:space="0" w:color="auto"/>
              <w:right w:val="single" w:sz="4" w:space="0" w:color="auto"/>
            </w:tcBorders>
            <w:shd w:val="clear" w:color="auto" w:fill="auto"/>
            <w:noWrap/>
            <w:vAlign w:val="bottom"/>
            <w:hideMark/>
          </w:tcPr>
          <w:p w14:paraId="4259F8CB"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6.95</w:t>
            </w:r>
          </w:p>
        </w:tc>
        <w:tc>
          <w:tcPr>
            <w:tcW w:w="900" w:type="dxa"/>
            <w:tcBorders>
              <w:top w:val="nil"/>
              <w:left w:val="nil"/>
              <w:bottom w:val="single" w:sz="4" w:space="0" w:color="auto"/>
              <w:right w:val="single" w:sz="4" w:space="0" w:color="auto"/>
            </w:tcBorders>
            <w:shd w:val="clear" w:color="auto" w:fill="auto"/>
            <w:noWrap/>
            <w:vAlign w:val="bottom"/>
            <w:hideMark/>
          </w:tcPr>
          <w:p w14:paraId="10AA6DFF"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4.65</w:t>
            </w:r>
          </w:p>
        </w:tc>
        <w:tc>
          <w:tcPr>
            <w:tcW w:w="900" w:type="dxa"/>
            <w:tcBorders>
              <w:top w:val="nil"/>
              <w:left w:val="nil"/>
              <w:bottom w:val="single" w:sz="4" w:space="0" w:color="auto"/>
              <w:right w:val="single" w:sz="4" w:space="0" w:color="auto"/>
            </w:tcBorders>
            <w:shd w:val="clear" w:color="auto" w:fill="auto"/>
            <w:noWrap/>
            <w:vAlign w:val="bottom"/>
            <w:hideMark/>
          </w:tcPr>
          <w:p w14:paraId="754A98D7"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32.00</w:t>
            </w:r>
          </w:p>
        </w:tc>
        <w:tc>
          <w:tcPr>
            <w:tcW w:w="810" w:type="dxa"/>
            <w:tcBorders>
              <w:top w:val="nil"/>
              <w:left w:val="nil"/>
              <w:bottom w:val="single" w:sz="4" w:space="0" w:color="auto"/>
              <w:right w:val="single" w:sz="4" w:space="0" w:color="auto"/>
            </w:tcBorders>
            <w:shd w:val="clear" w:color="auto" w:fill="auto"/>
            <w:noWrap/>
            <w:vAlign w:val="bottom"/>
            <w:hideMark/>
          </w:tcPr>
          <w:p w14:paraId="49D65BB4"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1.82</w:t>
            </w:r>
          </w:p>
        </w:tc>
      </w:tr>
      <w:tr w:rsidR="009E28CC" w:rsidRPr="00B92144" w14:paraId="3CF27658" w14:textId="77777777" w:rsidTr="009E28CC">
        <w:trPr>
          <w:trHeight w:val="300"/>
        </w:trPr>
        <w:tc>
          <w:tcPr>
            <w:tcW w:w="2700" w:type="dxa"/>
            <w:vMerge/>
            <w:tcBorders>
              <w:top w:val="nil"/>
              <w:left w:val="single" w:sz="4" w:space="0" w:color="auto"/>
              <w:bottom w:val="single" w:sz="4" w:space="0" w:color="auto"/>
              <w:right w:val="single" w:sz="4" w:space="0" w:color="auto"/>
            </w:tcBorders>
            <w:vAlign w:val="center"/>
            <w:hideMark/>
          </w:tcPr>
          <w:p w14:paraId="006A4DF9" w14:textId="77777777" w:rsidR="009E28CC" w:rsidRPr="00B92144" w:rsidRDefault="009E28CC" w:rsidP="009E28CC">
            <w:pPr>
              <w:spacing w:after="0" w:line="240" w:lineRule="auto"/>
              <w:rPr>
                <w:rFonts w:asciiTheme="majorBidi" w:eastAsia="Times New Roman" w:hAnsiTheme="majorBidi" w:cstheme="majorBidi"/>
                <w:b/>
                <w:color w:val="000000"/>
              </w:rPr>
            </w:pPr>
          </w:p>
        </w:tc>
        <w:tc>
          <w:tcPr>
            <w:tcW w:w="2100" w:type="dxa"/>
            <w:tcBorders>
              <w:top w:val="nil"/>
              <w:left w:val="nil"/>
              <w:bottom w:val="single" w:sz="4" w:space="0" w:color="auto"/>
              <w:right w:val="single" w:sz="4" w:space="0" w:color="auto"/>
            </w:tcBorders>
            <w:shd w:val="clear" w:color="auto" w:fill="auto"/>
            <w:noWrap/>
            <w:vAlign w:val="bottom"/>
            <w:hideMark/>
          </w:tcPr>
          <w:p w14:paraId="093DFD63"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non-Islamic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2A2E6DB9"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12.77</w:t>
            </w:r>
          </w:p>
        </w:tc>
        <w:tc>
          <w:tcPr>
            <w:tcW w:w="900" w:type="dxa"/>
            <w:tcBorders>
              <w:top w:val="nil"/>
              <w:left w:val="nil"/>
              <w:bottom w:val="single" w:sz="4" w:space="0" w:color="auto"/>
              <w:right w:val="single" w:sz="4" w:space="0" w:color="auto"/>
            </w:tcBorders>
            <w:shd w:val="clear" w:color="auto" w:fill="auto"/>
            <w:noWrap/>
            <w:vAlign w:val="bottom"/>
            <w:hideMark/>
          </w:tcPr>
          <w:p w14:paraId="52341E5F"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64.51</w:t>
            </w:r>
          </w:p>
        </w:tc>
        <w:tc>
          <w:tcPr>
            <w:tcW w:w="810" w:type="dxa"/>
            <w:tcBorders>
              <w:top w:val="nil"/>
              <w:left w:val="nil"/>
              <w:bottom w:val="single" w:sz="4" w:space="0" w:color="auto"/>
              <w:right w:val="single" w:sz="4" w:space="0" w:color="auto"/>
            </w:tcBorders>
            <w:shd w:val="clear" w:color="auto" w:fill="auto"/>
            <w:noWrap/>
            <w:vAlign w:val="bottom"/>
            <w:hideMark/>
          </w:tcPr>
          <w:p w14:paraId="347E01A2"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7.24</w:t>
            </w:r>
          </w:p>
        </w:tc>
        <w:tc>
          <w:tcPr>
            <w:tcW w:w="876" w:type="dxa"/>
            <w:tcBorders>
              <w:top w:val="nil"/>
              <w:left w:val="nil"/>
              <w:bottom w:val="single" w:sz="4" w:space="0" w:color="auto"/>
              <w:right w:val="single" w:sz="4" w:space="0" w:color="auto"/>
            </w:tcBorders>
            <w:shd w:val="clear" w:color="auto" w:fill="auto"/>
            <w:noWrap/>
            <w:vAlign w:val="bottom"/>
            <w:hideMark/>
          </w:tcPr>
          <w:p w14:paraId="61118136"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32.52</w:t>
            </w:r>
          </w:p>
        </w:tc>
        <w:tc>
          <w:tcPr>
            <w:tcW w:w="880" w:type="dxa"/>
            <w:tcBorders>
              <w:top w:val="nil"/>
              <w:left w:val="nil"/>
              <w:bottom w:val="single" w:sz="4" w:space="0" w:color="auto"/>
              <w:right w:val="single" w:sz="4" w:space="0" w:color="auto"/>
            </w:tcBorders>
            <w:shd w:val="clear" w:color="auto" w:fill="auto"/>
            <w:noWrap/>
            <w:vAlign w:val="bottom"/>
            <w:hideMark/>
          </w:tcPr>
          <w:p w14:paraId="7796DAE4"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8.56</w:t>
            </w:r>
          </w:p>
        </w:tc>
        <w:tc>
          <w:tcPr>
            <w:tcW w:w="900" w:type="dxa"/>
            <w:tcBorders>
              <w:top w:val="nil"/>
              <w:left w:val="nil"/>
              <w:bottom w:val="single" w:sz="4" w:space="0" w:color="auto"/>
              <w:right w:val="single" w:sz="4" w:space="0" w:color="auto"/>
            </w:tcBorders>
            <w:shd w:val="clear" w:color="auto" w:fill="auto"/>
            <w:noWrap/>
            <w:vAlign w:val="bottom"/>
            <w:hideMark/>
          </w:tcPr>
          <w:p w14:paraId="71585AB4"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5.72</w:t>
            </w:r>
          </w:p>
        </w:tc>
        <w:tc>
          <w:tcPr>
            <w:tcW w:w="900" w:type="dxa"/>
            <w:tcBorders>
              <w:top w:val="nil"/>
              <w:left w:val="nil"/>
              <w:bottom w:val="single" w:sz="4" w:space="0" w:color="auto"/>
              <w:right w:val="single" w:sz="4" w:space="0" w:color="auto"/>
            </w:tcBorders>
            <w:shd w:val="clear" w:color="auto" w:fill="auto"/>
            <w:noWrap/>
            <w:vAlign w:val="bottom"/>
            <w:hideMark/>
          </w:tcPr>
          <w:p w14:paraId="659CB196"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39.40</w:t>
            </w:r>
          </w:p>
        </w:tc>
        <w:tc>
          <w:tcPr>
            <w:tcW w:w="810" w:type="dxa"/>
            <w:tcBorders>
              <w:top w:val="nil"/>
              <w:left w:val="nil"/>
              <w:bottom w:val="single" w:sz="4" w:space="0" w:color="auto"/>
              <w:right w:val="single" w:sz="4" w:space="0" w:color="auto"/>
            </w:tcBorders>
            <w:shd w:val="clear" w:color="auto" w:fill="auto"/>
            <w:noWrap/>
            <w:vAlign w:val="bottom"/>
            <w:hideMark/>
          </w:tcPr>
          <w:p w14:paraId="4755AD9F"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2.24</w:t>
            </w:r>
          </w:p>
        </w:tc>
      </w:tr>
      <w:tr w:rsidR="009E28CC" w:rsidRPr="00B92144" w14:paraId="64AC37F6" w14:textId="77777777" w:rsidTr="009E28CC">
        <w:trPr>
          <w:trHeight w:val="300"/>
        </w:trPr>
        <w:tc>
          <w:tcPr>
            <w:tcW w:w="2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B2CFAE" w14:textId="77777777" w:rsidR="009E28CC" w:rsidRPr="00B92144" w:rsidRDefault="009E28CC" w:rsidP="009E28CC">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Jordan</w:t>
            </w:r>
          </w:p>
        </w:tc>
        <w:tc>
          <w:tcPr>
            <w:tcW w:w="2100" w:type="dxa"/>
            <w:tcBorders>
              <w:top w:val="nil"/>
              <w:left w:val="nil"/>
              <w:bottom w:val="single" w:sz="4" w:space="0" w:color="auto"/>
              <w:right w:val="single" w:sz="4" w:space="0" w:color="auto"/>
            </w:tcBorders>
            <w:shd w:val="clear" w:color="auto" w:fill="auto"/>
            <w:noWrap/>
            <w:vAlign w:val="bottom"/>
            <w:hideMark/>
          </w:tcPr>
          <w:p w14:paraId="32D62B84"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5D50309B"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7.17</w:t>
            </w:r>
          </w:p>
        </w:tc>
        <w:tc>
          <w:tcPr>
            <w:tcW w:w="900" w:type="dxa"/>
            <w:tcBorders>
              <w:top w:val="nil"/>
              <w:left w:val="nil"/>
              <w:bottom w:val="single" w:sz="4" w:space="0" w:color="auto"/>
              <w:right w:val="single" w:sz="4" w:space="0" w:color="auto"/>
            </w:tcBorders>
            <w:shd w:val="clear" w:color="auto" w:fill="auto"/>
            <w:noWrap/>
            <w:vAlign w:val="bottom"/>
            <w:hideMark/>
          </w:tcPr>
          <w:p w14:paraId="6865995A"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84.58</w:t>
            </w:r>
          </w:p>
        </w:tc>
        <w:tc>
          <w:tcPr>
            <w:tcW w:w="810" w:type="dxa"/>
            <w:tcBorders>
              <w:top w:val="nil"/>
              <w:left w:val="nil"/>
              <w:bottom w:val="single" w:sz="4" w:space="0" w:color="auto"/>
              <w:right w:val="single" w:sz="4" w:space="0" w:color="auto"/>
            </w:tcBorders>
            <w:shd w:val="clear" w:color="auto" w:fill="auto"/>
            <w:noWrap/>
            <w:vAlign w:val="bottom"/>
            <w:hideMark/>
          </w:tcPr>
          <w:p w14:paraId="1CB8F2E1"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7.67</w:t>
            </w:r>
          </w:p>
        </w:tc>
        <w:tc>
          <w:tcPr>
            <w:tcW w:w="876" w:type="dxa"/>
            <w:tcBorders>
              <w:top w:val="nil"/>
              <w:left w:val="nil"/>
              <w:bottom w:val="single" w:sz="4" w:space="0" w:color="auto"/>
              <w:right w:val="single" w:sz="4" w:space="0" w:color="auto"/>
            </w:tcBorders>
            <w:shd w:val="clear" w:color="auto" w:fill="auto"/>
            <w:noWrap/>
            <w:vAlign w:val="bottom"/>
            <w:hideMark/>
          </w:tcPr>
          <w:p w14:paraId="7E4A6BC4"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91.92</w:t>
            </w:r>
          </w:p>
        </w:tc>
        <w:tc>
          <w:tcPr>
            <w:tcW w:w="880" w:type="dxa"/>
            <w:tcBorders>
              <w:top w:val="nil"/>
              <w:left w:val="nil"/>
              <w:bottom w:val="single" w:sz="4" w:space="0" w:color="auto"/>
              <w:right w:val="single" w:sz="4" w:space="0" w:color="auto"/>
            </w:tcBorders>
            <w:shd w:val="clear" w:color="auto" w:fill="auto"/>
            <w:noWrap/>
            <w:vAlign w:val="bottom"/>
            <w:hideMark/>
          </w:tcPr>
          <w:p w14:paraId="081529BB"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9.58</w:t>
            </w:r>
          </w:p>
        </w:tc>
        <w:tc>
          <w:tcPr>
            <w:tcW w:w="900" w:type="dxa"/>
            <w:tcBorders>
              <w:top w:val="nil"/>
              <w:left w:val="nil"/>
              <w:bottom w:val="single" w:sz="4" w:space="0" w:color="auto"/>
              <w:right w:val="single" w:sz="4" w:space="0" w:color="auto"/>
            </w:tcBorders>
            <w:shd w:val="clear" w:color="auto" w:fill="auto"/>
            <w:noWrap/>
            <w:vAlign w:val="bottom"/>
            <w:hideMark/>
          </w:tcPr>
          <w:p w14:paraId="2EEE9139"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0.00</w:t>
            </w:r>
          </w:p>
        </w:tc>
        <w:tc>
          <w:tcPr>
            <w:tcW w:w="900" w:type="dxa"/>
            <w:tcBorders>
              <w:top w:val="nil"/>
              <w:left w:val="nil"/>
              <w:bottom w:val="single" w:sz="4" w:space="0" w:color="auto"/>
              <w:right w:val="single" w:sz="4" w:space="0" w:color="auto"/>
            </w:tcBorders>
            <w:shd w:val="clear" w:color="auto" w:fill="auto"/>
            <w:noWrap/>
            <w:vAlign w:val="bottom"/>
            <w:hideMark/>
          </w:tcPr>
          <w:p w14:paraId="11460A95"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29.42</w:t>
            </w:r>
          </w:p>
        </w:tc>
        <w:tc>
          <w:tcPr>
            <w:tcW w:w="810" w:type="dxa"/>
            <w:tcBorders>
              <w:top w:val="nil"/>
              <w:left w:val="nil"/>
              <w:bottom w:val="single" w:sz="4" w:space="0" w:color="auto"/>
              <w:right w:val="single" w:sz="4" w:space="0" w:color="auto"/>
            </w:tcBorders>
            <w:shd w:val="clear" w:color="auto" w:fill="auto"/>
            <w:noWrap/>
            <w:vAlign w:val="bottom"/>
            <w:hideMark/>
          </w:tcPr>
          <w:p w14:paraId="4710A58F"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13.92</w:t>
            </w:r>
          </w:p>
        </w:tc>
      </w:tr>
      <w:tr w:rsidR="009E28CC" w:rsidRPr="00B92144" w14:paraId="0BF8280F" w14:textId="77777777" w:rsidTr="009E28CC">
        <w:trPr>
          <w:trHeight w:val="300"/>
        </w:trPr>
        <w:tc>
          <w:tcPr>
            <w:tcW w:w="2700" w:type="dxa"/>
            <w:vMerge/>
            <w:tcBorders>
              <w:top w:val="nil"/>
              <w:left w:val="single" w:sz="4" w:space="0" w:color="auto"/>
              <w:bottom w:val="single" w:sz="4" w:space="0" w:color="auto"/>
              <w:right w:val="single" w:sz="4" w:space="0" w:color="auto"/>
            </w:tcBorders>
            <w:vAlign w:val="center"/>
            <w:hideMark/>
          </w:tcPr>
          <w:p w14:paraId="3DEBD07A" w14:textId="77777777" w:rsidR="009E28CC" w:rsidRPr="00B92144" w:rsidRDefault="009E28CC" w:rsidP="009E28CC">
            <w:pPr>
              <w:spacing w:after="0" w:line="240" w:lineRule="auto"/>
              <w:rPr>
                <w:rFonts w:asciiTheme="majorBidi" w:eastAsia="Times New Roman" w:hAnsiTheme="majorBidi" w:cstheme="majorBidi"/>
                <w:b/>
                <w:color w:val="000000"/>
              </w:rPr>
            </w:pPr>
          </w:p>
        </w:tc>
        <w:tc>
          <w:tcPr>
            <w:tcW w:w="2100" w:type="dxa"/>
            <w:tcBorders>
              <w:top w:val="nil"/>
              <w:left w:val="nil"/>
              <w:bottom w:val="single" w:sz="4" w:space="0" w:color="auto"/>
              <w:right w:val="single" w:sz="4" w:space="0" w:color="auto"/>
            </w:tcBorders>
            <w:shd w:val="clear" w:color="auto" w:fill="auto"/>
            <w:noWrap/>
            <w:vAlign w:val="bottom"/>
            <w:hideMark/>
          </w:tcPr>
          <w:p w14:paraId="1AA9B8AE"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non-Islamic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7C1EB55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38.23</w:t>
            </w:r>
          </w:p>
        </w:tc>
        <w:tc>
          <w:tcPr>
            <w:tcW w:w="900" w:type="dxa"/>
            <w:tcBorders>
              <w:top w:val="nil"/>
              <w:left w:val="nil"/>
              <w:bottom w:val="single" w:sz="4" w:space="0" w:color="auto"/>
              <w:right w:val="single" w:sz="4" w:space="0" w:color="auto"/>
            </w:tcBorders>
            <w:shd w:val="clear" w:color="auto" w:fill="auto"/>
            <w:noWrap/>
            <w:vAlign w:val="bottom"/>
            <w:hideMark/>
          </w:tcPr>
          <w:p w14:paraId="411EB08E"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139.06</w:t>
            </w:r>
          </w:p>
        </w:tc>
        <w:tc>
          <w:tcPr>
            <w:tcW w:w="810" w:type="dxa"/>
            <w:tcBorders>
              <w:top w:val="nil"/>
              <w:left w:val="nil"/>
              <w:bottom w:val="single" w:sz="4" w:space="0" w:color="auto"/>
              <w:right w:val="single" w:sz="4" w:space="0" w:color="auto"/>
            </w:tcBorders>
            <w:shd w:val="clear" w:color="auto" w:fill="auto"/>
            <w:noWrap/>
            <w:vAlign w:val="bottom"/>
            <w:hideMark/>
          </w:tcPr>
          <w:p w14:paraId="5168000A"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37.20</w:t>
            </w:r>
          </w:p>
        </w:tc>
        <w:tc>
          <w:tcPr>
            <w:tcW w:w="876" w:type="dxa"/>
            <w:tcBorders>
              <w:top w:val="nil"/>
              <w:left w:val="nil"/>
              <w:bottom w:val="single" w:sz="4" w:space="0" w:color="auto"/>
              <w:right w:val="single" w:sz="4" w:space="0" w:color="auto"/>
            </w:tcBorders>
            <w:shd w:val="clear" w:color="auto" w:fill="auto"/>
            <w:noWrap/>
            <w:vAlign w:val="bottom"/>
            <w:hideMark/>
          </w:tcPr>
          <w:p w14:paraId="1DD67247"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51.31</w:t>
            </w:r>
          </w:p>
        </w:tc>
        <w:tc>
          <w:tcPr>
            <w:tcW w:w="880" w:type="dxa"/>
            <w:tcBorders>
              <w:top w:val="nil"/>
              <w:left w:val="nil"/>
              <w:bottom w:val="single" w:sz="4" w:space="0" w:color="auto"/>
              <w:right w:val="single" w:sz="4" w:space="0" w:color="auto"/>
            </w:tcBorders>
            <w:shd w:val="clear" w:color="auto" w:fill="auto"/>
            <w:noWrap/>
            <w:vAlign w:val="bottom"/>
            <w:hideMark/>
          </w:tcPr>
          <w:p w14:paraId="46EABDD2"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7.89</w:t>
            </w:r>
          </w:p>
        </w:tc>
        <w:tc>
          <w:tcPr>
            <w:tcW w:w="900" w:type="dxa"/>
            <w:tcBorders>
              <w:top w:val="nil"/>
              <w:left w:val="nil"/>
              <w:bottom w:val="single" w:sz="4" w:space="0" w:color="auto"/>
              <w:right w:val="single" w:sz="4" w:space="0" w:color="auto"/>
            </w:tcBorders>
            <w:shd w:val="clear" w:color="auto" w:fill="auto"/>
            <w:noWrap/>
            <w:vAlign w:val="bottom"/>
            <w:hideMark/>
          </w:tcPr>
          <w:p w14:paraId="36810BB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16.54</w:t>
            </w:r>
          </w:p>
        </w:tc>
        <w:tc>
          <w:tcPr>
            <w:tcW w:w="900" w:type="dxa"/>
            <w:tcBorders>
              <w:top w:val="nil"/>
              <w:left w:val="nil"/>
              <w:bottom w:val="single" w:sz="4" w:space="0" w:color="auto"/>
              <w:right w:val="single" w:sz="4" w:space="0" w:color="auto"/>
            </w:tcBorders>
            <w:shd w:val="clear" w:color="auto" w:fill="auto"/>
            <w:noWrap/>
            <w:vAlign w:val="bottom"/>
            <w:hideMark/>
          </w:tcPr>
          <w:p w14:paraId="0FAA3615"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62.91</w:t>
            </w:r>
          </w:p>
        </w:tc>
        <w:tc>
          <w:tcPr>
            <w:tcW w:w="810" w:type="dxa"/>
            <w:tcBorders>
              <w:top w:val="nil"/>
              <w:left w:val="nil"/>
              <w:bottom w:val="single" w:sz="4" w:space="0" w:color="auto"/>
              <w:right w:val="single" w:sz="4" w:space="0" w:color="auto"/>
            </w:tcBorders>
            <w:shd w:val="clear" w:color="auto" w:fill="auto"/>
            <w:noWrap/>
            <w:vAlign w:val="bottom"/>
            <w:hideMark/>
          </w:tcPr>
          <w:p w14:paraId="0FE980A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13.86</w:t>
            </w:r>
          </w:p>
        </w:tc>
      </w:tr>
      <w:tr w:rsidR="009E28CC" w:rsidRPr="00B92144" w14:paraId="5BEA3734" w14:textId="77777777" w:rsidTr="009E28CC">
        <w:trPr>
          <w:trHeight w:val="300"/>
        </w:trPr>
        <w:tc>
          <w:tcPr>
            <w:tcW w:w="2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A258830" w14:textId="77777777" w:rsidR="009E28CC" w:rsidRPr="00B92144" w:rsidRDefault="009E28CC" w:rsidP="009E28CC">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 xml:space="preserve">Kuwait </w:t>
            </w:r>
          </w:p>
        </w:tc>
        <w:tc>
          <w:tcPr>
            <w:tcW w:w="2100" w:type="dxa"/>
            <w:tcBorders>
              <w:top w:val="nil"/>
              <w:left w:val="nil"/>
              <w:bottom w:val="single" w:sz="4" w:space="0" w:color="auto"/>
              <w:right w:val="single" w:sz="4" w:space="0" w:color="auto"/>
            </w:tcBorders>
            <w:shd w:val="clear" w:color="auto" w:fill="auto"/>
            <w:noWrap/>
            <w:vAlign w:val="bottom"/>
            <w:hideMark/>
          </w:tcPr>
          <w:p w14:paraId="1CE670E2"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4F85409A"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22.88</w:t>
            </w:r>
          </w:p>
        </w:tc>
        <w:tc>
          <w:tcPr>
            <w:tcW w:w="900" w:type="dxa"/>
            <w:tcBorders>
              <w:top w:val="nil"/>
              <w:left w:val="nil"/>
              <w:bottom w:val="single" w:sz="4" w:space="0" w:color="auto"/>
              <w:right w:val="single" w:sz="4" w:space="0" w:color="auto"/>
            </w:tcBorders>
            <w:shd w:val="clear" w:color="auto" w:fill="auto"/>
            <w:noWrap/>
            <w:vAlign w:val="bottom"/>
            <w:hideMark/>
          </w:tcPr>
          <w:p w14:paraId="460C3E1E"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182.28</w:t>
            </w:r>
          </w:p>
        </w:tc>
        <w:tc>
          <w:tcPr>
            <w:tcW w:w="810" w:type="dxa"/>
            <w:tcBorders>
              <w:top w:val="nil"/>
              <w:left w:val="nil"/>
              <w:bottom w:val="single" w:sz="4" w:space="0" w:color="auto"/>
              <w:right w:val="single" w:sz="4" w:space="0" w:color="auto"/>
            </w:tcBorders>
            <w:shd w:val="clear" w:color="auto" w:fill="auto"/>
            <w:noWrap/>
            <w:vAlign w:val="bottom"/>
            <w:hideMark/>
          </w:tcPr>
          <w:p w14:paraId="5EB7ED7F"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6.44</w:t>
            </w:r>
          </w:p>
        </w:tc>
        <w:tc>
          <w:tcPr>
            <w:tcW w:w="876" w:type="dxa"/>
            <w:tcBorders>
              <w:top w:val="nil"/>
              <w:left w:val="nil"/>
              <w:bottom w:val="single" w:sz="4" w:space="0" w:color="auto"/>
              <w:right w:val="single" w:sz="4" w:space="0" w:color="auto"/>
            </w:tcBorders>
            <w:shd w:val="clear" w:color="auto" w:fill="auto"/>
            <w:noWrap/>
            <w:vAlign w:val="bottom"/>
            <w:hideMark/>
          </w:tcPr>
          <w:p w14:paraId="511F10DB"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95.76</w:t>
            </w:r>
          </w:p>
        </w:tc>
        <w:tc>
          <w:tcPr>
            <w:tcW w:w="880" w:type="dxa"/>
            <w:tcBorders>
              <w:top w:val="nil"/>
              <w:left w:val="nil"/>
              <w:bottom w:val="single" w:sz="4" w:space="0" w:color="auto"/>
              <w:right w:val="single" w:sz="4" w:space="0" w:color="auto"/>
            </w:tcBorders>
            <w:shd w:val="clear" w:color="auto" w:fill="auto"/>
            <w:noWrap/>
            <w:vAlign w:val="bottom"/>
            <w:hideMark/>
          </w:tcPr>
          <w:p w14:paraId="2FD674BB"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8.48</w:t>
            </w:r>
          </w:p>
        </w:tc>
        <w:tc>
          <w:tcPr>
            <w:tcW w:w="900" w:type="dxa"/>
            <w:tcBorders>
              <w:top w:val="nil"/>
              <w:left w:val="nil"/>
              <w:bottom w:val="single" w:sz="4" w:space="0" w:color="auto"/>
              <w:right w:val="single" w:sz="4" w:space="0" w:color="auto"/>
            </w:tcBorders>
            <w:shd w:val="clear" w:color="auto" w:fill="auto"/>
            <w:noWrap/>
            <w:vAlign w:val="bottom"/>
            <w:hideMark/>
          </w:tcPr>
          <w:p w14:paraId="5148F53C"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0.20</w:t>
            </w:r>
          </w:p>
        </w:tc>
        <w:tc>
          <w:tcPr>
            <w:tcW w:w="900" w:type="dxa"/>
            <w:tcBorders>
              <w:top w:val="nil"/>
              <w:left w:val="nil"/>
              <w:bottom w:val="single" w:sz="4" w:space="0" w:color="auto"/>
              <w:right w:val="single" w:sz="4" w:space="0" w:color="auto"/>
            </w:tcBorders>
            <w:shd w:val="clear" w:color="auto" w:fill="auto"/>
            <w:noWrap/>
            <w:vAlign w:val="bottom"/>
            <w:hideMark/>
          </w:tcPr>
          <w:p w14:paraId="76F4EDB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77.48</w:t>
            </w:r>
          </w:p>
        </w:tc>
        <w:tc>
          <w:tcPr>
            <w:tcW w:w="810" w:type="dxa"/>
            <w:tcBorders>
              <w:top w:val="nil"/>
              <w:left w:val="nil"/>
              <w:bottom w:val="single" w:sz="4" w:space="0" w:color="auto"/>
              <w:right w:val="single" w:sz="4" w:space="0" w:color="auto"/>
            </w:tcBorders>
            <w:shd w:val="clear" w:color="auto" w:fill="auto"/>
            <w:noWrap/>
            <w:vAlign w:val="bottom"/>
            <w:hideMark/>
          </w:tcPr>
          <w:p w14:paraId="2D4F728C"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13.64</w:t>
            </w:r>
          </w:p>
        </w:tc>
      </w:tr>
      <w:tr w:rsidR="009E28CC" w:rsidRPr="00B92144" w14:paraId="2AFB387F" w14:textId="77777777" w:rsidTr="009E28CC">
        <w:trPr>
          <w:trHeight w:val="300"/>
        </w:trPr>
        <w:tc>
          <w:tcPr>
            <w:tcW w:w="2700" w:type="dxa"/>
            <w:vMerge/>
            <w:tcBorders>
              <w:top w:val="nil"/>
              <w:left w:val="single" w:sz="4" w:space="0" w:color="auto"/>
              <w:bottom w:val="single" w:sz="4" w:space="0" w:color="auto"/>
              <w:right w:val="single" w:sz="4" w:space="0" w:color="auto"/>
            </w:tcBorders>
            <w:vAlign w:val="center"/>
            <w:hideMark/>
          </w:tcPr>
          <w:p w14:paraId="4354B7A2" w14:textId="77777777" w:rsidR="009E28CC" w:rsidRPr="00B92144" w:rsidRDefault="009E28CC" w:rsidP="009E28CC">
            <w:pPr>
              <w:spacing w:after="0" w:line="240" w:lineRule="auto"/>
              <w:rPr>
                <w:rFonts w:asciiTheme="majorBidi" w:eastAsia="Times New Roman" w:hAnsiTheme="majorBidi" w:cstheme="majorBidi"/>
                <w:b/>
                <w:color w:val="000000"/>
              </w:rPr>
            </w:pPr>
          </w:p>
        </w:tc>
        <w:tc>
          <w:tcPr>
            <w:tcW w:w="2100" w:type="dxa"/>
            <w:tcBorders>
              <w:top w:val="nil"/>
              <w:left w:val="nil"/>
              <w:bottom w:val="single" w:sz="4" w:space="0" w:color="auto"/>
              <w:right w:val="single" w:sz="4" w:space="0" w:color="auto"/>
            </w:tcBorders>
            <w:shd w:val="clear" w:color="auto" w:fill="auto"/>
            <w:noWrap/>
            <w:vAlign w:val="bottom"/>
            <w:hideMark/>
          </w:tcPr>
          <w:p w14:paraId="2415915A"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non-Islamic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6A75F8D1"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47.56</w:t>
            </w:r>
          </w:p>
        </w:tc>
        <w:tc>
          <w:tcPr>
            <w:tcW w:w="900" w:type="dxa"/>
            <w:tcBorders>
              <w:top w:val="nil"/>
              <w:left w:val="nil"/>
              <w:bottom w:val="single" w:sz="4" w:space="0" w:color="auto"/>
              <w:right w:val="single" w:sz="4" w:space="0" w:color="auto"/>
            </w:tcBorders>
            <w:shd w:val="clear" w:color="auto" w:fill="auto"/>
            <w:noWrap/>
            <w:vAlign w:val="bottom"/>
            <w:hideMark/>
          </w:tcPr>
          <w:p w14:paraId="4AD762EF"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199.92</w:t>
            </w:r>
          </w:p>
        </w:tc>
        <w:tc>
          <w:tcPr>
            <w:tcW w:w="810" w:type="dxa"/>
            <w:tcBorders>
              <w:top w:val="nil"/>
              <w:left w:val="nil"/>
              <w:bottom w:val="single" w:sz="4" w:space="0" w:color="auto"/>
              <w:right w:val="single" w:sz="4" w:space="0" w:color="auto"/>
            </w:tcBorders>
            <w:shd w:val="clear" w:color="auto" w:fill="auto"/>
            <w:noWrap/>
            <w:vAlign w:val="bottom"/>
            <w:hideMark/>
          </w:tcPr>
          <w:p w14:paraId="43FB5213"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29.12</w:t>
            </w:r>
          </w:p>
        </w:tc>
        <w:tc>
          <w:tcPr>
            <w:tcW w:w="876" w:type="dxa"/>
            <w:tcBorders>
              <w:top w:val="nil"/>
              <w:left w:val="nil"/>
              <w:bottom w:val="single" w:sz="4" w:space="0" w:color="auto"/>
              <w:right w:val="single" w:sz="4" w:space="0" w:color="auto"/>
            </w:tcBorders>
            <w:shd w:val="clear" w:color="auto" w:fill="auto"/>
            <w:noWrap/>
            <w:vAlign w:val="bottom"/>
            <w:hideMark/>
          </w:tcPr>
          <w:p w14:paraId="1B888848"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43.40</w:t>
            </w:r>
          </w:p>
        </w:tc>
        <w:tc>
          <w:tcPr>
            <w:tcW w:w="880" w:type="dxa"/>
            <w:tcBorders>
              <w:top w:val="nil"/>
              <w:left w:val="nil"/>
              <w:bottom w:val="single" w:sz="4" w:space="0" w:color="auto"/>
              <w:right w:val="single" w:sz="4" w:space="0" w:color="auto"/>
            </w:tcBorders>
            <w:shd w:val="clear" w:color="auto" w:fill="auto"/>
            <w:noWrap/>
            <w:vAlign w:val="bottom"/>
            <w:hideMark/>
          </w:tcPr>
          <w:p w14:paraId="5FE102C7"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6.64</w:t>
            </w:r>
          </w:p>
        </w:tc>
        <w:tc>
          <w:tcPr>
            <w:tcW w:w="900" w:type="dxa"/>
            <w:tcBorders>
              <w:top w:val="nil"/>
              <w:left w:val="nil"/>
              <w:bottom w:val="single" w:sz="4" w:space="0" w:color="auto"/>
              <w:right w:val="single" w:sz="4" w:space="0" w:color="auto"/>
            </w:tcBorders>
            <w:shd w:val="clear" w:color="auto" w:fill="auto"/>
            <w:noWrap/>
            <w:vAlign w:val="bottom"/>
            <w:hideMark/>
          </w:tcPr>
          <w:p w14:paraId="56347737"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10.96</w:t>
            </w:r>
          </w:p>
        </w:tc>
        <w:tc>
          <w:tcPr>
            <w:tcW w:w="900" w:type="dxa"/>
            <w:tcBorders>
              <w:top w:val="nil"/>
              <w:left w:val="nil"/>
              <w:bottom w:val="single" w:sz="4" w:space="0" w:color="auto"/>
              <w:right w:val="single" w:sz="4" w:space="0" w:color="auto"/>
            </w:tcBorders>
            <w:shd w:val="clear" w:color="auto" w:fill="auto"/>
            <w:noWrap/>
            <w:vAlign w:val="bottom"/>
            <w:hideMark/>
          </w:tcPr>
          <w:p w14:paraId="35CE5A8A"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77.36</w:t>
            </w:r>
          </w:p>
        </w:tc>
        <w:tc>
          <w:tcPr>
            <w:tcW w:w="810" w:type="dxa"/>
            <w:tcBorders>
              <w:top w:val="nil"/>
              <w:left w:val="nil"/>
              <w:bottom w:val="single" w:sz="4" w:space="0" w:color="auto"/>
              <w:right w:val="single" w:sz="4" w:space="0" w:color="auto"/>
            </w:tcBorders>
            <w:shd w:val="clear" w:color="auto" w:fill="auto"/>
            <w:noWrap/>
            <w:vAlign w:val="bottom"/>
            <w:hideMark/>
          </w:tcPr>
          <w:p w14:paraId="487426A4"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13.44</w:t>
            </w:r>
          </w:p>
        </w:tc>
      </w:tr>
      <w:tr w:rsidR="009E28CC" w:rsidRPr="00B92144" w14:paraId="3B68E9E5" w14:textId="77777777" w:rsidTr="009E28CC">
        <w:trPr>
          <w:trHeight w:val="300"/>
        </w:trPr>
        <w:tc>
          <w:tcPr>
            <w:tcW w:w="2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2B32E97" w14:textId="77777777" w:rsidR="009E28CC" w:rsidRPr="00B92144" w:rsidRDefault="009E28CC" w:rsidP="009E28CC">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Malaysia</w:t>
            </w:r>
          </w:p>
        </w:tc>
        <w:tc>
          <w:tcPr>
            <w:tcW w:w="2100" w:type="dxa"/>
            <w:tcBorders>
              <w:top w:val="nil"/>
              <w:left w:val="nil"/>
              <w:bottom w:val="single" w:sz="4" w:space="0" w:color="auto"/>
              <w:right w:val="single" w:sz="4" w:space="0" w:color="auto"/>
            </w:tcBorders>
            <w:shd w:val="clear" w:color="auto" w:fill="auto"/>
            <w:noWrap/>
            <w:vAlign w:val="bottom"/>
            <w:hideMark/>
          </w:tcPr>
          <w:p w14:paraId="2F0F1127"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7011C4C8"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21.93</w:t>
            </w:r>
          </w:p>
        </w:tc>
        <w:tc>
          <w:tcPr>
            <w:tcW w:w="900" w:type="dxa"/>
            <w:tcBorders>
              <w:top w:val="nil"/>
              <w:left w:val="nil"/>
              <w:bottom w:val="single" w:sz="4" w:space="0" w:color="auto"/>
              <w:right w:val="single" w:sz="4" w:space="0" w:color="auto"/>
            </w:tcBorders>
            <w:shd w:val="clear" w:color="auto" w:fill="auto"/>
            <w:noWrap/>
            <w:vAlign w:val="bottom"/>
            <w:hideMark/>
          </w:tcPr>
          <w:p w14:paraId="74B725AA"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271.41</w:t>
            </w:r>
          </w:p>
        </w:tc>
        <w:tc>
          <w:tcPr>
            <w:tcW w:w="810" w:type="dxa"/>
            <w:tcBorders>
              <w:top w:val="nil"/>
              <w:left w:val="nil"/>
              <w:bottom w:val="single" w:sz="4" w:space="0" w:color="auto"/>
              <w:right w:val="single" w:sz="4" w:space="0" w:color="auto"/>
            </w:tcBorders>
            <w:shd w:val="clear" w:color="auto" w:fill="auto"/>
            <w:noWrap/>
            <w:vAlign w:val="bottom"/>
            <w:hideMark/>
          </w:tcPr>
          <w:p w14:paraId="312CD216"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16.23</w:t>
            </w:r>
          </w:p>
        </w:tc>
        <w:tc>
          <w:tcPr>
            <w:tcW w:w="876" w:type="dxa"/>
            <w:tcBorders>
              <w:top w:val="nil"/>
              <w:left w:val="nil"/>
              <w:bottom w:val="single" w:sz="4" w:space="0" w:color="auto"/>
              <w:right w:val="single" w:sz="4" w:space="0" w:color="auto"/>
            </w:tcBorders>
            <w:shd w:val="clear" w:color="auto" w:fill="auto"/>
            <w:noWrap/>
            <w:vAlign w:val="bottom"/>
            <w:hideMark/>
          </w:tcPr>
          <w:p w14:paraId="1F845C0D"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124.54</w:t>
            </w:r>
          </w:p>
        </w:tc>
        <w:tc>
          <w:tcPr>
            <w:tcW w:w="880" w:type="dxa"/>
            <w:tcBorders>
              <w:top w:val="nil"/>
              <w:left w:val="nil"/>
              <w:bottom w:val="single" w:sz="4" w:space="0" w:color="auto"/>
              <w:right w:val="single" w:sz="4" w:space="0" w:color="auto"/>
            </w:tcBorders>
            <w:shd w:val="clear" w:color="auto" w:fill="auto"/>
            <w:noWrap/>
            <w:vAlign w:val="bottom"/>
            <w:hideMark/>
          </w:tcPr>
          <w:p w14:paraId="33CC3232"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29.21</w:t>
            </w:r>
          </w:p>
        </w:tc>
        <w:tc>
          <w:tcPr>
            <w:tcW w:w="900" w:type="dxa"/>
            <w:tcBorders>
              <w:top w:val="nil"/>
              <w:left w:val="nil"/>
              <w:bottom w:val="single" w:sz="4" w:space="0" w:color="auto"/>
              <w:right w:val="single" w:sz="4" w:space="0" w:color="auto"/>
            </w:tcBorders>
            <w:shd w:val="clear" w:color="auto" w:fill="auto"/>
            <w:noWrap/>
            <w:vAlign w:val="bottom"/>
            <w:hideMark/>
          </w:tcPr>
          <w:p w14:paraId="3BAE68FA"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0.00</w:t>
            </w:r>
          </w:p>
        </w:tc>
        <w:tc>
          <w:tcPr>
            <w:tcW w:w="900" w:type="dxa"/>
            <w:tcBorders>
              <w:top w:val="nil"/>
              <w:left w:val="nil"/>
              <w:bottom w:val="single" w:sz="4" w:space="0" w:color="auto"/>
              <w:right w:val="single" w:sz="4" w:space="0" w:color="auto"/>
            </w:tcBorders>
            <w:shd w:val="clear" w:color="auto" w:fill="auto"/>
            <w:noWrap/>
            <w:vAlign w:val="bottom"/>
            <w:hideMark/>
          </w:tcPr>
          <w:p w14:paraId="2CFE1D3B"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122.75</w:t>
            </w:r>
          </w:p>
        </w:tc>
        <w:tc>
          <w:tcPr>
            <w:tcW w:w="810" w:type="dxa"/>
            <w:tcBorders>
              <w:top w:val="nil"/>
              <w:left w:val="nil"/>
              <w:bottom w:val="single" w:sz="4" w:space="0" w:color="auto"/>
              <w:right w:val="single" w:sz="4" w:space="0" w:color="auto"/>
            </w:tcBorders>
            <w:shd w:val="clear" w:color="auto" w:fill="auto"/>
            <w:noWrap/>
            <w:vAlign w:val="bottom"/>
            <w:hideMark/>
          </w:tcPr>
          <w:p w14:paraId="2BB4352E"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10.25</w:t>
            </w:r>
          </w:p>
        </w:tc>
      </w:tr>
      <w:tr w:rsidR="009E28CC" w:rsidRPr="00B92144" w14:paraId="239F09F7" w14:textId="77777777" w:rsidTr="009E28CC">
        <w:trPr>
          <w:trHeight w:val="300"/>
        </w:trPr>
        <w:tc>
          <w:tcPr>
            <w:tcW w:w="2700" w:type="dxa"/>
            <w:vMerge/>
            <w:tcBorders>
              <w:top w:val="nil"/>
              <w:left w:val="single" w:sz="4" w:space="0" w:color="auto"/>
              <w:bottom w:val="single" w:sz="4" w:space="0" w:color="auto"/>
              <w:right w:val="single" w:sz="4" w:space="0" w:color="auto"/>
            </w:tcBorders>
            <w:vAlign w:val="center"/>
            <w:hideMark/>
          </w:tcPr>
          <w:p w14:paraId="42E1DB45" w14:textId="77777777" w:rsidR="009E28CC" w:rsidRPr="00B92144" w:rsidRDefault="009E28CC" w:rsidP="009E28CC">
            <w:pPr>
              <w:spacing w:after="0" w:line="240" w:lineRule="auto"/>
              <w:rPr>
                <w:rFonts w:asciiTheme="majorBidi" w:eastAsia="Times New Roman" w:hAnsiTheme="majorBidi" w:cstheme="majorBidi"/>
                <w:b/>
                <w:color w:val="000000"/>
              </w:rPr>
            </w:pPr>
          </w:p>
        </w:tc>
        <w:tc>
          <w:tcPr>
            <w:tcW w:w="2100" w:type="dxa"/>
            <w:tcBorders>
              <w:top w:val="nil"/>
              <w:left w:val="nil"/>
              <w:bottom w:val="single" w:sz="4" w:space="0" w:color="auto"/>
              <w:right w:val="single" w:sz="4" w:space="0" w:color="auto"/>
            </w:tcBorders>
            <w:shd w:val="clear" w:color="auto" w:fill="auto"/>
            <w:noWrap/>
            <w:vAlign w:val="bottom"/>
            <w:hideMark/>
          </w:tcPr>
          <w:p w14:paraId="6DA5C12D"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non-Islamic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0AF0D6C2"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72.70</w:t>
            </w:r>
          </w:p>
        </w:tc>
        <w:tc>
          <w:tcPr>
            <w:tcW w:w="900" w:type="dxa"/>
            <w:tcBorders>
              <w:top w:val="nil"/>
              <w:left w:val="nil"/>
              <w:bottom w:val="single" w:sz="4" w:space="0" w:color="auto"/>
              <w:right w:val="single" w:sz="4" w:space="0" w:color="auto"/>
            </w:tcBorders>
            <w:shd w:val="clear" w:color="auto" w:fill="auto"/>
            <w:noWrap/>
            <w:vAlign w:val="bottom"/>
            <w:hideMark/>
          </w:tcPr>
          <w:p w14:paraId="546B8A3F"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227.90</w:t>
            </w:r>
          </w:p>
        </w:tc>
        <w:tc>
          <w:tcPr>
            <w:tcW w:w="810" w:type="dxa"/>
            <w:tcBorders>
              <w:top w:val="nil"/>
              <w:left w:val="nil"/>
              <w:bottom w:val="single" w:sz="4" w:space="0" w:color="auto"/>
              <w:right w:val="single" w:sz="4" w:space="0" w:color="auto"/>
            </w:tcBorders>
            <w:shd w:val="clear" w:color="auto" w:fill="auto"/>
            <w:noWrap/>
            <w:vAlign w:val="bottom"/>
            <w:hideMark/>
          </w:tcPr>
          <w:p w14:paraId="3CA36E73"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66.17</w:t>
            </w:r>
          </w:p>
        </w:tc>
        <w:tc>
          <w:tcPr>
            <w:tcW w:w="876" w:type="dxa"/>
            <w:tcBorders>
              <w:top w:val="nil"/>
              <w:left w:val="nil"/>
              <w:bottom w:val="single" w:sz="4" w:space="0" w:color="auto"/>
              <w:right w:val="single" w:sz="4" w:space="0" w:color="auto"/>
            </w:tcBorders>
            <w:shd w:val="clear" w:color="auto" w:fill="auto"/>
            <w:noWrap/>
            <w:vAlign w:val="bottom"/>
            <w:hideMark/>
          </w:tcPr>
          <w:p w14:paraId="64D10A44"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54.35</w:t>
            </w:r>
          </w:p>
        </w:tc>
        <w:tc>
          <w:tcPr>
            <w:tcW w:w="880" w:type="dxa"/>
            <w:tcBorders>
              <w:top w:val="nil"/>
              <w:left w:val="nil"/>
              <w:bottom w:val="single" w:sz="4" w:space="0" w:color="auto"/>
              <w:right w:val="single" w:sz="4" w:space="0" w:color="auto"/>
            </w:tcBorders>
            <w:shd w:val="clear" w:color="auto" w:fill="auto"/>
            <w:noWrap/>
            <w:vAlign w:val="bottom"/>
            <w:hideMark/>
          </w:tcPr>
          <w:p w14:paraId="4283C066"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11.08</w:t>
            </w:r>
          </w:p>
        </w:tc>
        <w:tc>
          <w:tcPr>
            <w:tcW w:w="900" w:type="dxa"/>
            <w:tcBorders>
              <w:top w:val="nil"/>
              <w:left w:val="nil"/>
              <w:bottom w:val="single" w:sz="4" w:space="0" w:color="auto"/>
              <w:right w:val="single" w:sz="4" w:space="0" w:color="auto"/>
            </w:tcBorders>
            <w:shd w:val="clear" w:color="auto" w:fill="auto"/>
            <w:noWrap/>
            <w:vAlign w:val="bottom"/>
            <w:hideMark/>
          </w:tcPr>
          <w:p w14:paraId="5378DFE5"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5.35</w:t>
            </w:r>
          </w:p>
        </w:tc>
        <w:tc>
          <w:tcPr>
            <w:tcW w:w="900" w:type="dxa"/>
            <w:tcBorders>
              <w:top w:val="nil"/>
              <w:left w:val="nil"/>
              <w:bottom w:val="single" w:sz="4" w:space="0" w:color="auto"/>
              <w:right w:val="single" w:sz="4" w:space="0" w:color="auto"/>
            </w:tcBorders>
            <w:shd w:val="clear" w:color="auto" w:fill="auto"/>
            <w:noWrap/>
            <w:vAlign w:val="bottom"/>
            <w:hideMark/>
          </w:tcPr>
          <w:p w14:paraId="5F324209"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90.80</w:t>
            </w:r>
          </w:p>
        </w:tc>
        <w:tc>
          <w:tcPr>
            <w:tcW w:w="810" w:type="dxa"/>
            <w:tcBorders>
              <w:top w:val="nil"/>
              <w:left w:val="nil"/>
              <w:bottom w:val="single" w:sz="4" w:space="0" w:color="auto"/>
              <w:right w:val="single" w:sz="4" w:space="0" w:color="auto"/>
            </w:tcBorders>
            <w:shd w:val="clear" w:color="auto" w:fill="auto"/>
            <w:noWrap/>
            <w:vAlign w:val="bottom"/>
            <w:hideMark/>
          </w:tcPr>
          <w:p w14:paraId="261C380D"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10.23</w:t>
            </w:r>
          </w:p>
        </w:tc>
      </w:tr>
      <w:tr w:rsidR="009E28CC" w:rsidRPr="00B92144" w14:paraId="5976559A" w14:textId="77777777" w:rsidTr="009E28CC">
        <w:trPr>
          <w:trHeight w:val="300"/>
        </w:trPr>
        <w:tc>
          <w:tcPr>
            <w:tcW w:w="2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74E07E6" w14:textId="77777777" w:rsidR="009E28CC" w:rsidRPr="00B92144" w:rsidRDefault="009E28CC" w:rsidP="009E28CC">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Pakistan</w:t>
            </w:r>
          </w:p>
        </w:tc>
        <w:tc>
          <w:tcPr>
            <w:tcW w:w="2100" w:type="dxa"/>
            <w:tcBorders>
              <w:top w:val="nil"/>
              <w:left w:val="nil"/>
              <w:bottom w:val="single" w:sz="4" w:space="0" w:color="auto"/>
              <w:right w:val="single" w:sz="4" w:space="0" w:color="auto"/>
            </w:tcBorders>
            <w:shd w:val="clear" w:color="auto" w:fill="auto"/>
            <w:noWrap/>
            <w:vAlign w:val="bottom"/>
            <w:hideMark/>
          </w:tcPr>
          <w:p w14:paraId="7791BABF"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2CB63A6F"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67.71</w:t>
            </w:r>
          </w:p>
        </w:tc>
        <w:tc>
          <w:tcPr>
            <w:tcW w:w="900" w:type="dxa"/>
            <w:tcBorders>
              <w:top w:val="nil"/>
              <w:left w:val="nil"/>
              <w:bottom w:val="single" w:sz="4" w:space="0" w:color="auto"/>
              <w:right w:val="single" w:sz="4" w:space="0" w:color="auto"/>
            </w:tcBorders>
            <w:shd w:val="clear" w:color="auto" w:fill="auto"/>
            <w:noWrap/>
            <w:vAlign w:val="bottom"/>
            <w:hideMark/>
          </w:tcPr>
          <w:p w14:paraId="65EC7057"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182.67</w:t>
            </w:r>
          </w:p>
        </w:tc>
        <w:tc>
          <w:tcPr>
            <w:tcW w:w="810" w:type="dxa"/>
            <w:tcBorders>
              <w:top w:val="nil"/>
              <w:left w:val="nil"/>
              <w:bottom w:val="single" w:sz="4" w:space="0" w:color="auto"/>
              <w:right w:val="single" w:sz="4" w:space="0" w:color="auto"/>
            </w:tcBorders>
            <w:shd w:val="clear" w:color="auto" w:fill="auto"/>
            <w:noWrap/>
            <w:vAlign w:val="bottom"/>
            <w:hideMark/>
          </w:tcPr>
          <w:p w14:paraId="3A9EA667"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28.04</w:t>
            </w:r>
          </w:p>
        </w:tc>
        <w:tc>
          <w:tcPr>
            <w:tcW w:w="876" w:type="dxa"/>
            <w:tcBorders>
              <w:top w:val="nil"/>
              <w:left w:val="nil"/>
              <w:bottom w:val="single" w:sz="4" w:space="0" w:color="auto"/>
              <w:right w:val="single" w:sz="4" w:space="0" w:color="auto"/>
            </w:tcBorders>
            <w:shd w:val="clear" w:color="auto" w:fill="auto"/>
            <w:noWrap/>
            <w:vAlign w:val="bottom"/>
            <w:hideMark/>
          </w:tcPr>
          <w:p w14:paraId="73628D5D"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27.68</w:t>
            </w:r>
          </w:p>
        </w:tc>
        <w:tc>
          <w:tcPr>
            <w:tcW w:w="880" w:type="dxa"/>
            <w:tcBorders>
              <w:top w:val="nil"/>
              <w:left w:val="nil"/>
              <w:bottom w:val="single" w:sz="4" w:space="0" w:color="auto"/>
              <w:right w:val="single" w:sz="4" w:space="0" w:color="auto"/>
            </w:tcBorders>
            <w:shd w:val="clear" w:color="auto" w:fill="auto"/>
            <w:noWrap/>
            <w:vAlign w:val="bottom"/>
            <w:hideMark/>
          </w:tcPr>
          <w:p w14:paraId="26D621B9"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5.05</w:t>
            </w:r>
          </w:p>
        </w:tc>
        <w:tc>
          <w:tcPr>
            <w:tcW w:w="900" w:type="dxa"/>
            <w:tcBorders>
              <w:top w:val="nil"/>
              <w:left w:val="nil"/>
              <w:bottom w:val="single" w:sz="4" w:space="0" w:color="auto"/>
              <w:right w:val="single" w:sz="4" w:space="0" w:color="auto"/>
            </w:tcBorders>
            <w:shd w:val="clear" w:color="auto" w:fill="auto"/>
            <w:noWrap/>
            <w:vAlign w:val="bottom"/>
            <w:hideMark/>
          </w:tcPr>
          <w:p w14:paraId="7FD87046"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0.80</w:t>
            </w:r>
          </w:p>
        </w:tc>
        <w:tc>
          <w:tcPr>
            <w:tcW w:w="900" w:type="dxa"/>
            <w:tcBorders>
              <w:top w:val="nil"/>
              <w:left w:val="nil"/>
              <w:bottom w:val="single" w:sz="4" w:space="0" w:color="auto"/>
              <w:right w:val="single" w:sz="4" w:space="0" w:color="auto"/>
            </w:tcBorders>
            <w:shd w:val="clear" w:color="auto" w:fill="auto"/>
            <w:noWrap/>
            <w:vAlign w:val="bottom"/>
            <w:hideMark/>
          </w:tcPr>
          <w:p w14:paraId="2D5824DE"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90.92</w:t>
            </w:r>
          </w:p>
        </w:tc>
        <w:tc>
          <w:tcPr>
            <w:tcW w:w="810" w:type="dxa"/>
            <w:tcBorders>
              <w:top w:val="nil"/>
              <w:left w:val="nil"/>
              <w:bottom w:val="single" w:sz="4" w:space="0" w:color="auto"/>
              <w:right w:val="single" w:sz="4" w:space="0" w:color="auto"/>
            </w:tcBorders>
            <w:shd w:val="clear" w:color="auto" w:fill="auto"/>
            <w:noWrap/>
            <w:vAlign w:val="bottom"/>
            <w:hideMark/>
          </w:tcPr>
          <w:p w14:paraId="298B20CE"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14.67</w:t>
            </w:r>
          </w:p>
        </w:tc>
      </w:tr>
      <w:tr w:rsidR="009E28CC" w:rsidRPr="00B92144" w14:paraId="07704539" w14:textId="77777777" w:rsidTr="009E28CC">
        <w:trPr>
          <w:trHeight w:val="300"/>
        </w:trPr>
        <w:tc>
          <w:tcPr>
            <w:tcW w:w="2700" w:type="dxa"/>
            <w:vMerge/>
            <w:tcBorders>
              <w:top w:val="nil"/>
              <w:left w:val="single" w:sz="4" w:space="0" w:color="auto"/>
              <w:bottom w:val="single" w:sz="4" w:space="0" w:color="auto"/>
              <w:right w:val="single" w:sz="4" w:space="0" w:color="auto"/>
            </w:tcBorders>
            <w:vAlign w:val="center"/>
            <w:hideMark/>
          </w:tcPr>
          <w:p w14:paraId="2BBEDBD3" w14:textId="77777777" w:rsidR="009E28CC" w:rsidRPr="00B92144" w:rsidRDefault="009E28CC" w:rsidP="009E28CC">
            <w:pPr>
              <w:spacing w:after="0" w:line="240" w:lineRule="auto"/>
              <w:rPr>
                <w:rFonts w:asciiTheme="majorBidi" w:eastAsia="Times New Roman" w:hAnsiTheme="majorBidi" w:cstheme="majorBidi"/>
                <w:b/>
                <w:color w:val="000000"/>
              </w:rPr>
            </w:pPr>
          </w:p>
        </w:tc>
        <w:tc>
          <w:tcPr>
            <w:tcW w:w="2100" w:type="dxa"/>
            <w:tcBorders>
              <w:top w:val="nil"/>
              <w:left w:val="nil"/>
              <w:bottom w:val="single" w:sz="4" w:space="0" w:color="auto"/>
              <w:right w:val="single" w:sz="4" w:space="0" w:color="auto"/>
            </w:tcBorders>
            <w:shd w:val="clear" w:color="auto" w:fill="auto"/>
            <w:noWrap/>
            <w:vAlign w:val="bottom"/>
            <w:hideMark/>
          </w:tcPr>
          <w:p w14:paraId="5403F030"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non-Islamic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362246AB"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60.13</w:t>
            </w:r>
          </w:p>
        </w:tc>
        <w:tc>
          <w:tcPr>
            <w:tcW w:w="900" w:type="dxa"/>
            <w:tcBorders>
              <w:top w:val="nil"/>
              <w:left w:val="nil"/>
              <w:bottom w:val="single" w:sz="4" w:space="0" w:color="auto"/>
              <w:right w:val="single" w:sz="4" w:space="0" w:color="auto"/>
            </w:tcBorders>
            <w:shd w:val="clear" w:color="auto" w:fill="auto"/>
            <w:noWrap/>
            <w:vAlign w:val="bottom"/>
            <w:hideMark/>
          </w:tcPr>
          <w:p w14:paraId="5BFDD0CE"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162.23</w:t>
            </w:r>
          </w:p>
        </w:tc>
        <w:tc>
          <w:tcPr>
            <w:tcW w:w="810" w:type="dxa"/>
            <w:tcBorders>
              <w:top w:val="nil"/>
              <w:left w:val="nil"/>
              <w:bottom w:val="single" w:sz="4" w:space="0" w:color="auto"/>
              <w:right w:val="single" w:sz="4" w:space="0" w:color="auto"/>
            </w:tcBorders>
            <w:shd w:val="clear" w:color="auto" w:fill="auto"/>
            <w:noWrap/>
            <w:vAlign w:val="bottom"/>
            <w:hideMark/>
          </w:tcPr>
          <w:p w14:paraId="3340620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24.90</w:t>
            </w:r>
          </w:p>
        </w:tc>
        <w:tc>
          <w:tcPr>
            <w:tcW w:w="876" w:type="dxa"/>
            <w:tcBorders>
              <w:top w:val="nil"/>
              <w:left w:val="nil"/>
              <w:bottom w:val="single" w:sz="4" w:space="0" w:color="auto"/>
              <w:right w:val="single" w:sz="4" w:space="0" w:color="auto"/>
            </w:tcBorders>
            <w:shd w:val="clear" w:color="auto" w:fill="auto"/>
            <w:noWrap/>
            <w:vAlign w:val="bottom"/>
            <w:hideMark/>
          </w:tcPr>
          <w:p w14:paraId="47FC7ACF"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24.58</w:t>
            </w:r>
          </w:p>
        </w:tc>
        <w:tc>
          <w:tcPr>
            <w:tcW w:w="880" w:type="dxa"/>
            <w:tcBorders>
              <w:top w:val="nil"/>
              <w:left w:val="nil"/>
              <w:bottom w:val="single" w:sz="4" w:space="0" w:color="auto"/>
              <w:right w:val="single" w:sz="4" w:space="0" w:color="auto"/>
            </w:tcBorders>
            <w:shd w:val="clear" w:color="auto" w:fill="auto"/>
            <w:noWrap/>
            <w:vAlign w:val="bottom"/>
            <w:hideMark/>
          </w:tcPr>
          <w:p w14:paraId="3C0024C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4.48</w:t>
            </w:r>
          </w:p>
        </w:tc>
        <w:tc>
          <w:tcPr>
            <w:tcW w:w="900" w:type="dxa"/>
            <w:tcBorders>
              <w:top w:val="nil"/>
              <w:left w:val="nil"/>
              <w:bottom w:val="single" w:sz="4" w:space="0" w:color="auto"/>
              <w:right w:val="single" w:sz="4" w:space="0" w:color="auto"/>
            </w:tcBorders>
            <w:shd w:val="clear" w:color="auto" w:fill="auto"/>
            <w:noWrap/>
            <w:vAlign w:val="bottom"/>
            <w:hideMark/>
          </w:tcPr>
          <w:p w14:paraId="6C8EB383"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0.71</w:t>
            </w:r>
          </w:p>
        </w:tc>
        <w:tc>
          <w:tcPr>
            <w:tcW w:w="900" w:type="dxa"/>
            <w:tcBorders>
              <w:top w:val="nil"/>
              <w:left w:val="nil"/>
              <w:bottom w:val="single" w:sz="4" w:space="0" w:color="auto"/>
              <w:right w:val="single" w:sz="4" w:space="0" w:color="auto"/>
            </w:tcBorders>
            <w:shd w:val="clear" w:color="auto" w:fill="auto"/>
            <w:noWrap/>
            <w:vAlign w:val="bottom"/>
            <w:hideMark/>
          </w:tcPr>
          <w:p w14:paraId="398999A8"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80.74</w:t>
            </w:r>
          </w:p>
        </w:tc>
        <w:tc>
          <w:tcPr>
            <w:tcW w:w="810" w:type="dxa"/>
            <w:tcBorders>
              <w:top w:val="nil"/>
              <w:left w:val="nil"/>
              <w:bottom w:val="single" w:sz="4" w:space="0" w:color="auto"/>
              <w:right w:val="single" w:sz="4" w:space="0" w:color="auto"/>
            </w:tcBorders>
            <w:shd w:val="clear" w:color="auto" w:fill="auto"/>
            <w:noWrap/>
            <w:vAlign w:val="bottom"/>
            <w:hideMark/>
          </w:tcPr>
          <w:p w14:paraId="6ED89F9D"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13.03</w:t>
            </w:r>
          </w:p>
        </w:tc>
      </w:tr>
      <w:tr w:rsidR="009E28CC" w:rsidRPr="00B92144" w14:paraId="32BB0882" w14:textId="77777777" w:rsidTr="009E28CC">
        <w:trPr>
          <w:trHeight w:val="300"/>
        </w:trPr>
        <w:tc>
          <w:tcPr>
            <w:tcW w:w="2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91C407E" w14:textId="77777777" w:rsidR="009E28CC" w:rsidRPr="00B92144" w:rsidRDefault="009E28CC" w:rsidP="009E28CC">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Saudi Arabia</w:t>
            </w:r>
          </w:p>
        </w:tc>
        <w:tc>
          <w:tcPr>
            <w:tcW w:w="2100" w:type="dxa"/>
            <w:tcBorders>
              <w:top w:val="nil"/>
              <w:left w:val="nil"/>
              <w:bottom w:val="single" w:sz="4" w:space="0" w:color="auto"/>
              <w:right w:val="single" w:sz="4" w:space="0" w:color="auto"/>
            </w:tcBorders>
            <w:shd w:val="clear" w:color="auto" w:fill="auto"/>
            <w:noWrap/>
            <w:vAlign w:val="bottom"/>
            <w:hideMark/>
          </w:tcPr>
          <w:p w14:paraId="4BE32918"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64AC595B"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11.74</w:t>
            </w:r>
          </w:p>
        </w:tc>
        <w:tc>
          <w:tcPr>
            <w:tcW w:w="900" w:type="dxa"/>
            <w:tcBorders>
              <w:top w:val="nil"/>
              <w:left w:val="nil"/>
              <w:bottom w:val="single" w:sz="4" w:space="0" w:color="auto"/>
              <w:right w:val="single" w:sz="4" w:space="0" w:color="auto"/>
            </w:tcBorders>
            <w:shd w:val="clear" w:color="auto" w:fill="auto"/>
            <w:noWrap/>
            <w:vAlign w:val="bottom"/>
            <w:hideMark/>
          </w:tcPr>
          <w:p w14:paraId="42ECD784"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224.85</w:t>
            </w:r>
          </w:p>
        </w:tc>
        <w:tc>
          <w:tcPr>
            <w:tcW w:w="810" w:type="dxa"/>
            <w:tcBorders>
              <w:top w:val="nil"/>
              <w:left w:val="nil"/>
              <w:bottom w:val="single" w:sz="4" w:space="0" w:color="auto"/>
              <w:right w:val="single" w:sz="4" w:space="0" w:color="auto"/>
            </w:tcBorders>
            <w:shd w:val="clear" w:color="auto" w:fill="auto"/>
            <w:noWrap/>
            <w:vAlign w:val="bottom"/>
            <w:hideMark/>
          </w:tcPr>
          <w:p w14:paraId="1314CC88"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7.65</w:t>
            </w:r>
          </w:p>
        </w:tc>
        <w:tc>
          <w:tcPr>
            <w:tcW w:w="876" w:type="dxa"/>
            <w:tcBorders>
              <w:top w:val="nil"/>
              <w:left w:val="nil"/>
              <w:bottom w:val="single" w:sz="4" w:space="0" w:color="auto"/>
              <w:right w:val="single" w:sz="4" w:space="0" w:color="auto"/>
            </w:tcBorders>
            <w:shd w:val="clear" w:color="auto" w:fill="auto"/>
            <w:noWrap/>
            <w:vAlign w:val="bottom"/>
            <w:hideMark/>
          </w:tcPr>
          <w:p w14:paraId="1FF72E43"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96.50</w:t>
            </w:r>
          </w:p>
        </w:tc>
        <w:tc>
          <w:tcPr>
            <w:tcW w:w="880" w:type="dxa"/>
            <w:tcBorders>
              <w:top w:val="nil"/>
              <w:left w:val="nil"/>
              <w:bottom w:val="single" w:sz="4" w:space="0" w:color="auto"/>
              <w:right w:val="single" w:sz="4" w:space="0" w:color="auto"/>
            </w:tcBorders>
            <w:shd w:val="clear" w:color="auto" w:fill="auto"/>
            <w:noWrap/>
            <w:vAlign w:val="bottom"/>
            <w:hideMark/>
          </w:tcPr>
          <w:p w14:paraId="68B6844C"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16.50</w:t>
            </w:r>
          </w:p>
        </w:tc>
        <w:tc>
          <w:tcPr>
            <w:tcW w:w="900" w:type="dxa"/>
            <w:tcBorders>
              <w:top w:val="nil"/>
              <w:left w:val="nil"/>
              <w:bottom w:val="single" w:sz="4" w:space="0" w:color="auto"/>
              <w:right w:val="single" w:sz="4" w:space="0" w:color="auto"/>
            </w:tcBorders>
            <w:shd w:val="clear" w:color="auto" w:fill="auto"/>
            <w:noWrap/>
            <w:vAlign w:val="bottom"/>
            <w:hideMark/>
          </w:tcPr>
          <w:p w14:paraId="3CFE4E25"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1.62</w:t>
            </w:r>
          </w:p>
        </w:tc>
        <w:tc>
          <w:tcPr>
            <w:tcW w:w="900" w:type="dxa"/>
            <w:tcBorders>
              <w:top w:val="nil"/>
              <w:left w:val="nil"/>
              <w:bottom w:val="single" w:sz="4" w:space="0" w:color="auto"/>
              <w:right w:val="single" w:sz="4" w:space="0" w:color="auto"/>
            </w:tcBorders>
            <w:shd w:val="clear" w:color="auto" w:fill="auto"/>
            <w:noWrap/>
            <w:vAlign w:val="bottom"/>
            <w:hideMark/>
          </w:tcPr>
          <w:p w14:paraId="0308C8EC"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45.41</w:t>
            </w:r>
          </w:p>
        </w:tc>
        <w:tc>
          <w:tcPr>
            <w:tcW w:w="810" w:type="dxa"/>
            <w:tcBorders>
              <w:top w:val="nil"/>
              <w:left w:val="nil"/>
              <w:bottom w:val="single" w:sz="4" w:space="0" w:color="auto"/>
              <w:right w:val="single" w:sz="4" w:space="0" w:color="auto"/>
            </w:tcBorders>
            <w:shd w:val="clear" w:color="auto" w:fill="auto"/>
            <w:noWrap/>
            <w:vAlign w:val="bottom"/>
            <w:hideMark/>
          </w:tcPr>
          <w:p w14:paraId="0310B34B"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14.38</w:t>
            </w:r>
          </w:p>
        </w:tc>
      </w:tr>
      <w:tr w:rsidR="009E28CC" w:rsidRPr="00B92144" w14:paraId="3D504424" w14:textId="77777777" w:rsidTr="009E28CC">
        <w:trPr>
          <w:trHeight w:val="300"/>
        </w:trPr>
        <w:tc>
          <w:tcPr>
            <w:tcW w:w="2700" w:type="dxa"/>
            <w:vMerge/>
            <w:tcBorders>
              <w:top w:val="nil"/>
              <w:left w:val="single" w:sz="4" w:space="0" w:color="auto"/>
              <w:bottom w:val="single" w:sz="4" w:space="0" w:color="auto"/>
              <w:right w:val="single" w:sz="4" w:space="0" w:color="auto"/>
            </w:tcBorders>
            <w:vAlign w:val="center"/>
            <w:hideMark/>
          </w:tcPr>
          <w:p w14:paraId="4C423FE8" w14:textId="77777777" w:rsidR="009E28CC" w:rsidRPr="00B92144" w:rsidRDefault="009E28CC" w:rsidP="009E28CC">
            <w:pPr>
              <w:spacing w:after="0" w:line="240" w:lineRule="auto"/>
              <w:rPr>
                <w:rFonts w:asciiTheme="majorBidi" w:eastAsia="Times New Roman" w:hAnsiTheme="majorBidi" w:cstheme="majorBidi"/>
                <w:b/>
                <w:color w:val="000000"/>
              </w:rPr>
            </w:pPr>
          </w:p>
        </w:tc>
        <w:tc>
          <w:tcPr>
            <w:tcW w:w="2100" w:type="dxa"/>
            <w:tcBorders>
              <w:top w:val="nil"/>
              <w:left w:val="nil"/>
              <w:bottom w:val="single" w:sz="4" w:space="0" w:color="auto"/>
              <w:right w:val="single" w:sz="4" w:space="0" w:color="auto"/>
            </w:tcBorders>
            <w:shd w:val="clear" w:color="auto" w:fill="auto"/>
            <w:noWrap/>
            <w:vAlign w:val="bottom"/>
            <w:hideMark/>
          </w:tcPr>
          <w:p w14:paraId="249A93EE"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non-Islamic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5929D379"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42.92</w:t>
            </w:r>
          </w:p>
        </w:tc>
        <w:tc>
          <w:tcPr>
            <w:tcW w:w="900" w:type="dxa"/>
            <w:tcBorders>
              <w:top w:val="nil"/>
              <w:left w:val="nil"/>
              <w:bottom w:val="single" w:sz="4" w:space="0" w:color="auto"/>
              <w:right w:val="single" w:sz="4" w:space="0" w:color="auto"/>
            </w:tcBorders>
            <w:shd w:val="clear" w:color="auto" w:fill="auto"/>
            <w:noWrap/>
            <w:vAlign w:val="bottom"/>
            <w:hideMark/>
          </w:tcPr>
          <w:p w14:paraId="34A2A3C5"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165.32</w:t>
            </w:r>
          </w:p>
        </w:tc>
        <w:tc>
          <w:tcPr>
            <w:tcW w:w="810" w:type="dxa"/>
            <w:tcBorders>
              <w:top w:val="nil"/>
              <w:left w:val="nil"/>
              <w:bottom w:val="single" w:sz="4" w:space="0" w:color="auto"/>
              <w:right w:val="single" w:sz="4" w:space="0" w:color="auto"/>
            </w:tcBorders>
            <w:shd w:val="clear" w:color="auto" w:fill="auto"/>
            <w:noWrap/>
            <w:vAlign w:val="bottom"/>
            <w:hideMark/>
          </w:tcPr>
          <w:p w14:paraId="5E719C19"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36.56</w:t>
            </w:r>
          </w:p>
        </w:tc>
        <w:tc>
          <w:tcPr>
            <w:tcW w:w="876" w:type="dxa"/>
            <w:tcBorders>
              <w:top w:val="nil"/>
              <w:left w:val="nil"/>
              <w:bottom w:val="single" w:sz="4" w:space="0" w:color="auto"/>
              <w:right w:val="single" w:sz="4" w:space="0" w:color="auto"/>
            </w:tcBorders>
            <w:shd w:val="clear" w:color="auto" w:fill="auto"/>
            <w:noWrap/>
            <w:vAlign w:val="bottom"/>
            <w:hideMark/>
          </w:tcPr>
          <w:p w14:paraId="477E5BA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68.84</w:t>
            </w:r>
          </w:p>
        </w:tc>
        <w:tc>
          <w:tcPr>
            <w:tcW w:w="880" w:type="dxa"/>
            <w:tcBorders>
              <w:top w:val="nil"/>
              <w:left w:val="nil"/>
              <w:bottom w:val="single" w:sz="4" w:space="0" w:color="auto"/>
              <w:right w:val="single" w:sz="4" w:space="0" w:color="auto"/>
            </w:tcBorders>
            <w:shd w:val="clear" w:color="auto" w:fill="auto"/>
            <w:noWrap/>
            <w:vAlign w:val="bottom"/>
            <w:hideMark/>
          </w:tcPr>
          <w:p w14:paraId="558DDC38"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6.16</w:t>
            </w:r>
          </w:p>
        </w:tc>
        <w:tc>
          <w:tcPr>
            <w:tcW w:w="900" w:type="dxa"/>
            <w:tcBorders>
              <w:top w:val="nil"/>
              <w:left w:val="nil"/>
              <w:bottom w:val="single" w:sz="4" w:space="0" w:color="auto"/>
              <w:right w:val="single" w:sz="4" w:space="0" w:color="auto"/>
            </w:tcBorders>
            <w:shd w:val="clear" w:color="auto" w:fill="auto"/>
            <w:noWrap/>
            <w:vAlign w:val="bottom"/>
            <w:hideMark/>
          </w:tcPr>
          <w:p w14:paraId="3E463B0B"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11.72</w:t>
            </w:r>
          </w:p>
        </w:tc>
        <w:tc>
          <w:tcPr>
            <w:tcW w:w="900" w:type="dxa"/>
            <w:tcBorders>
              <w:top w:val="nil"/>
              <w:left w:val="nil"/>
              <w:bottom w:val="single" w:sz="4" w:space="0" w:color="auto"/>
              <w:right w:val="single" w:sz="4" w:space="0" w:color="auto"/>
            </w:tcBorders>
            <w:shd w:val="clear" w:color="auto" w:fill="auto"/>
            <w:noWrap/>
            <w:vAlign w:val="bottom"/>
            <w:hideMark/>
          </w:tcPr>
          <w:p w14:paraId="2753E1A6"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63.44</w:t>
            </w:r>
          </w:p>
        </w:tc>
        <w:tc>
          <w:tcPr>
            <w:tcW w:w="810" w:type="dxa"/>
            <w:tcBorders>
              <w:top w:val="nil"/>
              <w:left w:val="nil"/>
              <w:bottom w:val="single" w:sz="4" w:space="0" w:color="auto"/>
              <w:right w:val="single" w:sz="4" w:space="0" w:color="auto"/>
            </w:tcBorders>
            <w:shd w:val="clear" w:color="auto" w:fill="auto"/>
            <w:noWrap/>
            <w:vAlign w:val="bottom"/>
            <w:hideMark/>
          </w:tcPr>
          <w:p w14:paraId="5804702D"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19.24</w:t>
            </w:r>
          </w:p>
        </w:tc>
      </w:tr>
      <w:tr w:rsidR="009E28CC" w:rsidRPr="00B92144" w14:paraId="07912B29" w14:textId="77777777" w:rsidTr="009E28CC">
        <w:trPr>
          <w:trHeight w:val="300"/>
        </w:trPr>
        <w:tc>
          <w:tcPr>
            <w:tcW w:w="2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52F218" w14:textId="77777777" w:rsidR="009E28CC" w:rsidRPr="00B92144" w:rsidRDefault="009E28CC" w:rsidP="009E28CC">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Tunisia</w:t>
            </w:r>
          </w:p>
        </w:tc>
        <w:tc>
          <w:tcPr>
            <w:tcW w:w="2100" w:type="dxa"/>
            <w:tcBorders>
              <w:top w:val="nil"/>
              <w:left w:val="nil"/>
              <w:bottom w:val="single" w:sz="4" w:space="0" w:color="auto"/>
              <w:right w:val="single" w:sz="4" w:space="0" w:color="auto"/>
            </w:tcBorders>
            <w:shd w:val="clear" w:color="auto" w:fill="auto"/>
            <w:noWrap/>
            <w:vAlign w:val="bottom"/>
            <w:hideMark/>
          </w:tcPr>
          <w:p w14:paraId="481E5477"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4E9B3996"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0.50</w:t>
            </w:r>
          </w:p>
        </w:tc>
        <w:tc>
          <w:tcPr>
            <w:tcW w:w="900" w:type="dxa"/>
            <w:tcBorders>
              <w:top w:val="nil"/>
              <w:left w:val="nil"/>
              <w:bottom w:val="single" w:sz="4" w:space="0" w:color="auto"/>
              <w:right w:val="single" w:sz="4" w:space="0" w:color="auto"/>
            </w:tcBorders>
            <w:shd w:val="clear" w:color="auto" w:fill="auto"/>
            <w:noWrap/>
            <w:vAlign w:val="bottom"/>
            <w:hideMark/>
          </w:tcPr>
          <w:p w14:paraId="33FD1FF6"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0.00</w:t>
            </w:r>
          </w:p>
        </w:tc>
        <w:tc>
          <w:tcPr>
            <w:tcW w:w="810" w:type="dxa"/>
            <w:tcBorders>
              <w:top w:val="nil"/>
              <w:left w:val="nil"/>
              <w:bottom w:val="single" w:sz="4" w:space="0" w:color="auto"/>
              <w:right w:val="single" w:sz="4" w:space="0" w:color="auto"/>
            </w:tcBorders>
            <w:shd w:val="clear" w:color="auto" w:fill="auto"/>
            <w:noWrap/>
            <w:vAlign w:val="bottom"/>
            <w:hideMark/>
          </w:tcPr>
          <w:p w14:paraId="10BFEC7F"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0.00</w:t>
            </w:r>
          </w:p>
        </w:tc>
        <w:tc>
          <w:tcPr>
            <w:tcW w:w="876" w:type="dxa"/>
            <w:tcBorders>
              <w:top w:val="nil"/>
              <w:left w:val="nil"/>
              <w:bottom w:val="single" w:sz="4" w:space="0" w:color="auto"/>
              <w:right w:val="single" w:sz="4" w:space="0" w:color="auto"/>
            </w:tcBorders>
            <w:shd w:val="clear" w:color="auto" w:fill="auto"/>
            <w:noWrap/>
            <w:vAlign w:val="bottom"/>
            <w:hideMark/>
          </w:tcPr>
          <w:p w14:paraId="2DE08C98"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1A7E6F8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1.25</w:t>
            </w:r>
          </w:p>
        </w:tc>
        <w:tc>
          <w:tcPr>
            <w:tcW w:w="900" w:type="dxa"/>
            <w:tcBorders>
              <w:top w:val="nil"/>
              <w:left w:val="nil"/>
              <w:bottom w:val="single" w:sz="4" w:space="0" w:color="auto"/>
              <w:right w:val="single" w:sz="4" w:space="0" w:color="auto"/>
            </w:tcBorders>
            <w:shd w:val="clear" w:color="auto" w:fill="auto"/>
            <w:noWrap/>
            <w:vAlign w:val="bottom"/>
            <w:hideMark/>
          </w:tcPr>
          <w:p w14:paraId="7F883187"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0.00</w:t>
            </w:r>
          </w:p>
        </w:tc>
        <w:tc>
          <w:tcPr>
            <w:tcW w:w="900" w:type="dxa"/>
            <w:tcBorders>
              <w:top w:val="nil"/>
              <w:left w:val="nil"/>
              <w:bottom w:val="single" w:sz="4" w:space="0" w:color="auto"/>
              <w:right w:val="single" w:sz="4" w:space="0" w:color="auto"/>
            </w:tcBorders>
            <w:shd w:val="clear" w:color="auto" w:fill="auto"/>
            <w:noWrap/>
            <w:vAlign w:val="bottom"/>
            <w:hideMark/>
          </w:tcPr>
          <w:p w14:paraId="26E0F271"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0.00</w:t>
            </w:r>
          </w:p>
        </w:tc>
        <w:tc>
          <w:tcPr>
            <w:tcW w:w="810" w:type="dxa"/>
            <w:tcBorders>
              <w:top w:val="nil"/>
              <w:left w:val="nil"/>
              <w:bottom w:val="single" w:sz="4" w:space="0" w:color="auto"/>
              <w:right w:val="single" w:sz="4" w:space="0" w:color="auto"/>
            </w:tcBorders>
            <w:shd w:val="clear" w:color="auto" w:fill="auto"/>
            <w:noWrap/>
            <w:vAlign w:val="bottom"/>
            <w:hideMark/>
          </w:tcPr>
          <w:p w14:paraId="1EC1B032"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0.00</w:t>
            </w:r>
          </w:p>
        </w:tc>
      </w:tr>
      <w:tr w:rsidR="009E28CC" w:rsidRPr="00B92144" w14:paraId="623D70A0" w14:textId="77777777" w:rsidTr="009E28CC">
        <w:trPr>
          <w:trHeight w:val="300"/>
        </w:trPr>
        <w:tc>
          <w:tcPr>
            <w:tcW w:w="2700" w:type="dxa"/>
            <w:vMerge/>
            <w:tcBorders>
              <w:top w:val="nil"/>
              <w:left w:val="single" w:sz="4" w:space="0" w:color="auto"/>
              <w:bottom w:val="single" w:sz="4" w:space="0" w:color="auto"/>
              <w:right w:val="single" w:sz="4" w:space="0" w:color="auto"/>
            </w:tcBorders>
            <w:vAlign w:val="center"/>
            <w:hideMark/>
          </w:tcPr>
          <w:p w14:paraId="673171D3" w14:textId="77777777" w:rsidR="009E28CC" w:rsidRPr="00B92144" w:rsidRDefault="009E28CC" w:rsidP="009E28CC">
            <w:pPr>
              <w:spacing w:after="0" w:line="240" w:lineRule="auto"/>
              <w:rPr>
                <w:rFonts w:asciiTheme="majorBidi" w:eastAsia="Times New Roman" w:hAnsiTheme="majorBidi" w:cstheme="majorBidi"/>
                <w:b/>
                <w:color w:val="000000"/>
              </w:rPr>
            </w:pPr>
          </w:p>
        </w:tc>
        <w:tc>
          <w:tcPr>
            <w:tcW w:w="2100" w:type="dxa"/>
            <w:tcBorders>
              <w:top w:val="nil"/>
              <w:left w:val="nil"/>
              <w:bottom w:val="single" w:sz="4" w:space="0" w:color="auto"/>
              <w:right w:val="single" w:sz="4" w:space="0" w:color="auto"/>
            </w:tcBorders>
            <w:shd w:val="clear" w:color="auto" w:fill="auto"/>
            <w:noWrap/>
            <w:vAlign w:val="bottom"/>
            <w:hideMark/>
          </w:tcPr>
          <w:p w14:paraId="6EE892C0"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non-Islamic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6B52CD8D"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10.20</w:t>
            </w:r>
          </w:p>
        </w:tc>
        <w:tc>
          <w:tcPr>
            <w:tcW w:w="900" w:type="dxa"/>
            <w:tcBorders>
              <w:top w:val="nil"/>
              <w:left w:val="nil"/>
              <w:bottom w:val="single" w:sz="4" w:space="0" w:color="auto"/>
              <w:right w:val="single" w:sz="4" w:space="0" w:color="auto"/>
            </w:tcBorders>
            <w:shd w:val="clear" w:color="auto" w:fill="auto"/>
            <w:noWrap/>
            <w:vAlign w:val="bottom"/>
            <w:hideMark/>
          </w:tcPr>
          <w:p w14:paraId="62A49986"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9.89</w:t>
            </w:r>
          </w:p>
        </w:tc>
        <w:tc>
          <w:tcPr>
            <w:tcW w:w="810" w:type="dxa"/>
            <w:tcBorders>
              <w:top w:val="nil"/>
              <w:left w:val="nil"/>
              <w:bottom w:val="single" w:sz="4" w:space="0" w:color="auto"/>
              <w:right w:val="single" w:sz="4" w:space="0" w:color="auto"/>
            </w:tcBorders>
            <w:shd w:val="clear" w:color="auto" w:fill="auto"/>
            <w:noWrap/>
            <w:vAlign w:val="bottom"/>
            <w:hideMark/>
          </w:tcPr>
          <w:p w14:paraId="5FA29AE5"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23.76</w:t>
            </w:r>
          </w:p>
        </w:tc>
        <w:tc>
          <w:tcPr>
            <w:tcW w:w="876" w:type="dxa"/>
            <w:tcBorders>
              <w:top w:val="nil"/>
              <w:left w:val="nil"/>
              <w:bottom w:val="single" w:sz="4" w:space="0" w:color="auto"/>
              <w:right w:val="single" w:sz="4" w:space="0" w:color="auto"/>
            </w:tcBorders>
            <w:shd w:val="clear" w:color="auto" w:fill="auto"/>
            <w:noWrap/>
            <w:vAlign w:val="bottom"/>
            <w:hideMark/>
          </w:tcPr>
          <w:p w14:paraId="7C1D2EA3"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06930F31"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5.42</w:t>
            </w:r>
          </w:p>
        </w:tc>
        <w:tc>
          <w:tcPr>
            <w:tcW w:w="900" w:type="dxa"/>
            <w:tcBorders>
              <w:top w:val="nil"/>
              <w:left w:val="nil"/>
              <w:bottom w:val="single" w:sz="4" w:space="0" w:color="auto"/>
              <w:right w:val="single" w:sz="4" w:space="0" w:color="auto"/>
            </w:tcBorders>
            <w:shd w:val="clear" w:color="auto" w:fill="auto"/>
            <w:noWrap/>
            <w:vAlign w:val="bottom"/>
            <w:hideMark/>
          </w:tcPr>
          <w:p w14:paraId="52BA7489"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0.00</w:t>
            </w:r>
          </w:p>
        </w:tc>
        <w:tc>
          <w:tcPr>
            <w:tcW w:w="900" w:type="dxa"/>
            <w:tcBorders>
              <w:top w:val="nil"/>
              <w:left w:val="nil"/>
              <w:bottom w:val="single" w:sz="4" w:space="0" w:color="auto"/>
              <w:right w:val="single" w:sz="4" w:space="0" w:color="auto"/>
            </w:tcBorders>
            <w:shd w:val="clear" w:color="auto" w:fill="auto"/>
            <w:noWrap/>
            <w:vAlign w:val="bottom"/>
            <w:hideMark/>
          </w:tcPr>
          <w:p w14:paraId="56158C47"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9.22</w:t>
            </w:r>
          </w:p>
        </w:tc>
        <w:tc>
          <w:tcPr>
            <w:tcW w:w="810" w:type="dxa"/>
            <w:tcBorders>
              <w:top w:val="nil"/>
              <w:left w:val="nil"/>
              <w:bottom w:val="single" w:sz="4" w:space="0" w:color="auto"/>
              <w:right w:val="single" w:sz="4" w:space="0" w:color="auto"/>
            </w:tcBorders>
            <w:shd w:val="clear" w:color="auto" w:fill="auto"/>
            <w:noWrap/>
            <w:vAlign w:val="bottom"/>
            <w:hideMark/>
          </w:tcPr>
          <w:p w14:paraId="13B357D6"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8.93</w:t>
            </w:r>
          </w:p>
        </w:tc>
      </w:tr>
      <w:tr w:rsidR="009E28CC" w:rsidRPr="00B92144" w14:paraId="09E2B038" w14:textId="77777777" w:rsidTr="009E28CC">
        <w:trPr>
          <w:trHeight w:val="300"/>
        </w:trPr>
        <w:tc>
          <w:tcPr>
            <w:tcW w:w="2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A1699B1" w14:textId="77777777" w:rsidR="009E28CC" w:rsidRPr="00B92144" w:rsidRDefault="009E28CC" w:rsidP="009E28CC">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 xml:space="preserve">Turkey </w:t>
            </w:r>
          </w:p>
        </w:tc>
        <w:tc>
          <w:tcPr>
            <w:tcW w:w="2100" w:type="dxa"/>
            <w:tcBorders>
              <w:top w:val="nil"/>
              <w:left w:val="nil"/>
              <w:bottom w:val="single" w:sz="4" w:space="0" w:color="auto"/>
              <w:right w:val="single" w:sz="4" w:space="0" w:color="auto"/>
            </w:tcBorders>
            <w:shd w:val="clear" w:color="auto" w:fill="auto"/>
            <w:noWrap/>
            <w:vAlign w:val="bottom"/>
            <w:hideMark/>
          </w:tcPr>
          <w:p w14:paraId="001306E7"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74FC7919"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34.50</w:t>
            </w:r>
          </w:p>
        </w:tc>
        <w:tc>
          <w:tcPr>
            <w:tcW w:w="900" w:type="dxa"/>
            <w:tcBorders>
              <w:top w:val="nil"/>
              <w:left w:val="nil"/>
              <w:bottom w:val="single" w:sz="4" w:space="0" w:color="auto"/>
              <w:right w:val="single" w:sz="4" w:space="0" w:color="auto"/>
            </w:tcBorders>
            <w:shd w:val="clear" w:color="auto" w:fill="auto"/>
            <w:noWrap/>
            <w:vAlign w:val="bottom"/>
            <w:hideMark/>
          </w:tcPr>
          <w:p w14:paraId="14BEA23B"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305.71</w:t>
            </w:r>
          </w:p>
        </w:tc>
        <w:tc>
          <w:tcPr>
            <w:tcW w:w="810" w:type="dxa"/>
            <w:tcBorders>
              <w:top w:val="nil"/>
              <w:left w:val="nil"/>
              <w:bottom w:val="single" w:sz="4" w:space="0" w:color="auto"/>
              <w:right w:val="single" w:sz="4" w:space="0" w:color="auto"/>
            </w:tcBorders>
            <w:shd w:val="clear" w:color="auto" w:fill="auto"/>
            <w:noWrap/>
            <w:vAlign w:val="bottom"/>
            <w:hideMark/>
          </w:tcPr>
          <w:p w14:paraId="70627325"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2.93</w:t>
            </w:r>
          </w:p>
        </w:tc>
        <w:tc>
          <w:tcPr>
            <w:tcW w:w="876" w:type="dxa"/>
            <w:tcBorders>
              <w:top w:val="nil"/>
              <w:left w:val="nil"/>
              <w:bottom w:val="single" w:sz="4" w:space="0" w:color="auto"/>
              <w:right w:val="single" w:sz="4" w:space="0" w:color="auto"/>
            </w:tcBorders>
            <w:shd w:val="clear" w:color="auto" w:fill="auto"/>
            <w:noWrap/>
            <w:vAlign w:val="bottom"/>
            <w:hideMark/>
          </w:tcPr>
          <w:p w14:paraId="0BE837BF"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92.14</w:t>
            </w:r>
          </w:p>
        </w:tc>
        <w:tc>
          <w:tcPr>
            <w:tcW w:w="880" w:type="dxa"/>
            <w:tcBorders>
              <w:top w:val="nil"/>
              <w:left w:val="nil"/>
              <w:bottom w:val="single" w:sz="4" w:space="0" w:color="auto"/>
              <w:right w:val="single" w:sz="4" w:space="0" w:color="auto"/>
            </w:tcBorders>
            <w:shd w:val="clear" w:color="auto" w:fill="auto"/>
            <w:noWrap/>
            <w:vAlign w:val="bottom"/>
            <w:hideMark/>
          </w:tcPr>
          <w:p w14:paraId="66AF640A"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87.50</w:t>
            </w:r>
          </w:p>
        </w:tc>
        <w:tc>
          <w:tcPr>
            <w:tcW w:w="900" w:type="dxa"/>
            <w:tcBorders>
              <w:top w:val="nil"/>
              <w:left w:val="nil"/>
              <w:bottom w:val="single" w:sz="4" w:space="0" w:color="auto"/>
              <w:right w:val="single" w:sz="4" w:space="0" w:color="auto"/>
            </w:tcBorders>
            <w:shd w:val="clear" w:color="auto" w:fill="auto"/>
            <w:noWrap/>
            <w:vAlign w:val="bottom"/>
            <w:hideMark/>
          </w:tcPr>
          <w:p w14:paraId="719DC2AD"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1.14</w:t>
            </w:r>
          </w:p>
        </w:tc>
        <w:tc>
          <w:tcPr>
            <w:tcW w:w="900" w:type="dxa"/>
            <w:tcBorders>
              <w:top w:val="nil"/>
              <w:left w:val="nil"/>
              <w:bottom w:val="single" w:sz="4" w:space="0" w:color="auto"/>
              <w:right w:val="single" w:sz="4" w:space="0" w:color="auto"/>
            </w:tcBorders>
            <w:shd w:val="clear" w:color="auto" w:fill="auto"/>
            <w:noWrap/>
            <w:vAlign w:val="bottom"/>
            <w:hideMark/>
          </w:tcPr>
          <w:p w14:paraId="4C424807"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108.93</w:t>
            </w:r>
          </w:p>
        </w:tc>
        <w:tc>
          <w:tcPr>
            <w:tcW w:w="810" w:type="dxa"/>
            <w:tcBorders>
              <w:top w:val="nil"/>
              <w:left w:val="nil"/>
              <w:bottom w:val="single" w:sz="4" w:space="0" w:color="auto"/>
              <w:right w:val="single" w:sz="4" w:space="0" w:color="auto"/>
            </w:tcBorders>
            <w:shd w:val="clear" w:color="auto" w:fill="auto"/>
            <w:noWrap/>
            <w:vAlign w:val="bottom"/>
            <w:hideMark/>
          </w:tcPr>
          <w:p w14:paraId="25D22503"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29.43</w:t>
            </w:r>
          </w:p>
        </w:tc>
      </w:tr>
      <w:tr w:rsidR="009E28CC" w:rsidRPr="00B92144" w14:paraId="16932FB1" w14:textId="77777777" w:rsidTr="009E28CC">
        <w:trPr>
          <w:trHeight w:val="300"/>
        </w:trPr>
        <w:tc>
          <w:tcPr>
            <w:tcW w:w="2700" w:type="dxa"/>
            <w:vMerge/>
            <w:tcBorders>
              <w:top w:val="nil"/>
              <w:left w:val="single" w:sz="4" w:space="0" w:color="auto"/>
              <w:bottom w:val="single" w:sz="4" w:space="0" w:color="auto"/>
              <w:right w:val="single" w:sz="4" w:space="0" w:color="auto"/>
            </w:tcBorders>
            <w:vAlign w:val="center"/>
            <w:hideMark/>
          </w:tcPr>
          <w:p w14:paraId="588F1CCC" w14:textId="77777777" w:rsidR="009E28CC" w:rsidRPr="00B92144" w:rsidRDefault="009E28CC" w:rsidP="009E28CC">
            <w:pPr>
              <w:spacing w:after="0" w:line="240" w:lineRule="auto"/>
              <w:rPr>
                <w:rFonts w:asciiTheme="majorBidi" w:eastAsia="Times New Roman" w:hAnsiTheme="majorBidi" w:cstheme="majorBidi"/>
                <w:b/>
                <w:color w:val="000000"/>
              </w:rPr>
            </w:pPr>
          </w:p>
        </w:tc>
        <w:tc>
          <w:tcPr>
            <w:tcW w:w="2100" w:type="dxa"/>
            <w:tcBorders>
              <w:top w:val="nil"/>
              <w:left w:val="nil"/>
              <w:bottom w:val="single" w:sz="4" w:space="0" w:color="auto"/>
              <w:right w:val="single" w:sz="4" w:space="0" w:color="auto"/>
            </w:tcBorders>
            <w:shd w:val="clear" w:color="auto" w:fill="auto"/>
            <w:noWrap/>
            <w:vAlign w:val="bottom"/>
            <w:hideMark/>
          </w:tcPr>
          <w:p w14:paraId="0550B0C1"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non-Islamic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03998C25"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54.63</w:t>
            </w:r>
          </w:p>
        </w:tc>
        <w:tc>
          <w:tcPr>
            <w:tcW w:w="900" w:type="dxa"/>
            <w:tcBorders>
              <w:top w:val="nil"/>
              <w:left w:val="nil"/>
              <w:bottom w:val="single" w:sz="4" w:space="0" w:color="auto"/>
              <w:right w:val="single" w:sz="4" w:space="0" w:color="auto"/>
            </w:tcBorders>
            <w:shd w:val="clear" w:color="auto" w:fill="auto"/>
            <w:noWrap/>
            <w:vAlign w:val="bottom"/>
            <w:hideMark/>
          </w:tcPr>
          <w:p w14:paraId="34A22B7A"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247.17</w:t>
            </w:r>
          </w:p>
        </w:tc>
        <w:tc>
          <w:tcPr>
            <w:tcW w:w="810" w:type="dxa"/>
            <w:tcBorders>
              <w:top w:val="nil"/>
              <w:left w:val="nil"/>
              <w:bottom w:val="single" w:sz="4" w:space="0" w:color="auto"/>
              <w:right w:val="single" w:sz="4" w:space="0" w:color="auto"/>
            </w:tcBorders>
            <w:shd w:val="clear" w:color="auto" w:fill="auto"/>
            <w:noWrap/>
            <w:vAlign w:val="bottom"/>
            <w:hideMark/>
          </w:tcPr>
          <w:p w14:paraId="4C6ABE76"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54.29</w:t>
            </w:r>
          </w:p>
        </w:tc>
        <w:tc>
          <w:tcPr>
            <w:tcW w:w="876" w:type="dxa"/>
            <w:tcBorders>
              <w:top w:val="nil"/>
              <w:left w:val="nil"/>
              <w:bottom w:val="single" w:sz="4" w:space="0" w:color="auto"/>
              <w:right w:val="single" w:sz="4" w:space="0" w:color="auto"/>
            </w:tcBorders>
            <w:shd w:val="clear" w:color="auto" w:fill="auto"/>
            <w:noWrap/>
            <w:vAlign w:val="bottom"/>
            <w:hideMark/>
          </w:tcPr>
          <w:p w14:paraId="36199839"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52.51</w:t>
            </w:r>
          </w:p>
        </w:tc>
        <w:tc>
          <w:tcPr>
            <w:tcW w:w="880" w:type="dxa"/>
            <w:tcBorders>
              <w:top w:val="nil"/>
              <w:left w:val="nil"/>
              <w:bottom w:val="single" w:sz="4" w:space="0" w:color="auto"/>
              <w:right w:val="single" w:sz="4" w:space="0" w:color="auto"/>
            </w:tcBorders>
            <w:shd w:val="clear" w:color="auto" w:fill="auto"/>
            <w:noWrap/>
            <w:vAlign w:val="bottom"/>
            <w:hideMark/>
          </w:tcPr>
          <w:p w14:paraId="0EF19701"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12.97</w:t>
            </w:r>
          </w:p>
        </w:tc>
        <w:tc>
          <w:tcPr>
            <w:tcW w:w="900" w:type="dxa"/>
            <w:tcBorders>
              <w:top w:val="nil"/>
              <w:left w:val="nil"/>
              <w:bottom w:val="single" w:sz="4" w:space="0" w:color="auto"/>
              <w:right w:val="single" w:sz="4" w:space="0" w:color="auto"/>
            </w:tcBorders>
            <w:shd w:val="clear" w:color="auto" w:fill="auto"/>
            <w:noWrap/>
            <w:vAlign w:val="bottom"/>
            <w:hideMark/>
          </w:tcPr>
          <w:p w14:paraId="653AC219"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16.91</w:t>
            </w:r>
          </w:p>
        </w:tc>
        <w:tc>
          <w:tcPr>
            <w:tcW w:w="900" w:type="dxa"/>
            <w:tcBorders>
              <w:top w:val="nil"/>
              <w:left w:val="nil"/>
              <w:bottom w:val="single" w:sz="4" w:space="0" w:color="auto"/>
              <w:right w:val="single" w:sz="4" w:space="0" w:color="auto"/>
            </w:tcBorders>
            <w:shd w:val="clear" w:color="auto" w:fill="auto"/>
            <w:noWrap/>
            <w:vAlign w:val="bottom"/>
            <w:hideMark/>
          </w:tcPr>
          <w:p w14:paraId="1A3536E4"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52.06</w:t>
            </w:r>
          </w:p>
        </w:tc>
        <w:tc>
          <w:tcPr>
            <w:tcW w:w="810" w:type="dxa"/>
            <w:tcBorders>
              <w:top w:val="nil"/>
              <w:left w:val="nil"/>
              <w:bottom w:val="single" w:sz="4" w:space="0" w:color="auto"/>
              <w:right w:val="single" w:sz="4" w:space="0" w:color="auto"/>
            </w:tcBorders>
            <w:shd w:val="clear" w:color="auto" w:fill="auto"/>
            <w:noWrap/>
            <w:vAlign w:val="bottom"/>
            <w:hideMark/>
          </w:tcPr>
          <w:p w14:paraId="06877B55"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36.06</w:t>
            </w:r>
          </w:p>
        </w:tc>
      </w:tr>
      <w:tr w:rsidR="009E28CC" w:rsidRPr="00B92144" w14:paraId="20102BAB" w14:textId="77777777" w:rsidTr="009E28CC">
        <w:trPr>
          <w:trHeight w:val="300"/>
        </w:trPr>
        <w:tc>
          <w:tcPr>
            <w:tcW w:w="27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7995B8A" w14:textId="77777777" w:rsidR="009E28CC" w:rsidRPr="00B92144" w:rsidRDefault="009E28CC" w:rsidP="009E28CC">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United Arab Emirates (UAE)</w:t>
            </w:r>
          </w:p>
        </w:tc>
        <w:tc>
          <w:tcPr>
            <w:tcW w:w="2100" w:type="dxa"/>
            <w:tcBorders>
              <w:top w:val="nil"/>
              <w:left w:val="nil"/>
              <w:bottom w:val="single" w:sz="4" w:space="0" w:color="auto"/>
              <w:right w:val="single" w:sz="4" w:space="0" w:color="auto"/>
            </w:tcBorders>
            <w:shd w:val="clear" w:color="auto" w:fill="auto"/>
            <w:noWrap/>
            <w:vAlign w:val="bottom"/>
            <w:hideMark/>
          </w:tcPr>
          <w:p w14:paraId="4159867D"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22893C95"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74.37</w:t>
            </w:r>
          </w:p>
        </w:tc>
        <w:tc>
          <w:tcPr>
            <w:tcW w:w="900" w:type="dxa"/>
            <w:tcBorders>
              <w:top w:val="nil"/>
              <w:left w:val="nil"/>
              <w:bottom w:val="single" w:sz="4" w:space="0" w:color="auto"/>
              <w:right w:val="single" w:sz="4" w:space="0" w:color="auto"/>
            </w:tcBorders>
            <w:shd w:val="clear" w:color="auto" w:fill="auto"/>
            <w:noWrap/>
            <w:vAlign w:val="bottom"/>
            <w:hideMark/>
          </w:tcPr>
          <w:p w14:paraId="05E5EB7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457.19</w:t>
            </w:r>
          </w:p>
        </w:tc>
        <w:tc>
          <w:tcPr>
            <w:tcW w:w="810" w:type="dxa"/>
            <w:tcBorders>
              <w:top w:val="nil"/>
              <w:left w:val="nil"/>
              <w:bottom w:val="single" w:sz="4" w:space="0" w:color="auto"/>
              <w:right w:val="single" w:sz="4" w:space="0" w:color="auto"/>
            </w:tcBorders>
            <w:shd w:val="clear" w:color="auto" w:fill="auto"/>
            <w:noWrap/>
            <w:vAlign w:val="bottom"/>
            <w:hideMark/>
          </w:tcPr>
          <w:p w14:paraId="6085C9DA"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21.56</w:t>
            </w:r>
          </w:p>
        </w:tc>
        <w:tc>
          <w:tcPr>
            <w:tcW w:w="876" w:type="dxa"/>
            <w:tcBorders>
              <w:top w:val="nil"/>
              <w:left w:val="nil"/>
              <w:bottom w:val="single" w:sz="4" w:space="0" w:color="auto"/>
              <w:right w:val="single" w:sz="4" w:space="0" w:color="auto"/>
            </w:tcBorders>
            <w:shd w:val="clear" w:color="auto" w:fill="auto"/>
            <w:noWrap/>
            <w:vAlign w:val="bottom"/>
            <w:hideMark/>
          </w:tcPr>
          <w:p w14:paraId="079DA9CF"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215.59</w:t>
            </w:r>
          </w:p>
        </w:tc>
        <w:tc>
          <w:tcPr>
            <w:tcW w:w="880" w:type="dxa"/>
            <w:tcBorders>
              <w:top w:val="nil"/>
              <w:left w:val="nil"/>
              <w:bottom w:val="single" w:sz="4" w:space="0" w:color="auto"/>
              <w:right w:val="single" w:sz="4" w:space="0" w:color="auto"/>
            </w:tcBorders>
            <w:shd w:val="clear" w:color="auto" w:fill="auto"/>
            <w:noWrap/>
            <w:vAlign w:val="bottom"/>
            <w:hideMark/>
          </w:tcPr>
          <w:p w14:paraId="4688161B"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44.04</w:t>
            </w:r>
          </w:p>
        </w:tc>
        <w:tc>
          <w:tcPr>
            <w:tcW w:w="900" w:type="dxa"/>
            <w:tcBorders>
              <w:top w:val="nil"/>
              <w:left w:val="nil"/>
              <w:bottom w:val="single" w:sz="4" w:space="0" w:color="auto"/>
              <w:right w:val="single" w:sz="4" w:space="0" w:color="auto"/>
            </w:tcBorders>
            <w:shd w:val="clear" w:color="auto" w:fill="auto"/>
            <w:noWrap/>
            <w:vAlign w:val="bottom"/>
            <w:hideMark/>
          </w:tcPr>
          <w:p w14:paraId="6DC4F494"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0.83</w:t>
            </w:r>
          </w:p>
        </w:tc>
        <w:tc>
          <w:tcPr>
            <w:tcW w:w="900" w:type="dxa"/>
            <w:tcBorders>
              <w:top w:val="nil"/>
              <w:left w:val="nil"/>
              <w:bottom w:val="single" w:sz="4" w:space="0" w:color="auto"/>
              <w:right w:val="single" w:sz="4" w:space="0" w:color="auto"/>
            </w:tcBorders>
            <w:shd w:val="clear" w:color="auto" w:fill="auto"/>
            <w:noWrap/>
            <w:vAlign w:val="bottom"/>
            <w:hideMark/>
          </w:tcPr>
          <w:p w14:paraId="37E7CBC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184.83</w:t>
            </w:r>
          </w:p>
        </w:tc>
        <w:tc>
          <w:tcPr>
            <w:tcW w:w="810" w:type="dxa"/>
            <w:tcBorders>
              <w:top w:val="nil"/>
              <w:left w:val="nil"/>
              <w:bottom w:val="single" w:sz="4" w:space="0" w:color="auto"/>
              <w:right w:val="single" w:sz="4" w:space="0" w:color="auto"/>
            </w:tcBorders>
            <w:shd w:val="clear" w:color="auto" w:fill="auto"/>
            <w:noWrap/>
            <w:vAlign w:val="bottom"/>
            <w:hideMark/>
          </w:tcPr>
          <w:p w14:paraId="5280538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34.14</w:t>
            </w:r>
          </w:p>
        </w:tc>
      </w:tr>
      <w:tr w:rsidR="009E28CC" w:rsidRPr="00B92144" w14:paraId="2074DF62" w14:textId="77777777" w:rsidTr="009E28CC">
        <w:trPr>
          <w:trHeight w:val="300"/>
        </w:trPr>
        <w:tc>
          <w:tcPr>
            <w:tcW w:w="2700" w:type="dxa"/>
            <w:vMerge/>
            <w:tcBorders>
              <w:top w:val="nil"/>
              <w:left w:val="single" w:sz="4" w:space="0" w:color="auto"/>
              <w:bottom w:val="single" w:sz="4" w:space="0" w:color="auto"/>
              <w:right w:val="single" w:sz="4" w:space="0" w:color="auto"/>
            </w:tcBorders>
            <w:vAlign w:val="center"/>
            <w:hideMark/>
          </w:tcPr>
          <w:p w14:paraId="2768149E" w14:textId="77777777" w:rsidR="009E28CC" w:rsidRPr="00B92144" w:rsidRDefault="009E28CC" w:rsidP="009E28CC">
            <w:pPr>
              <w:spacing w:after="0" w:line="240" w:lineRule="auto"/>
              <w:rPr>
                <w:rFonts w:asciiTheme="majorBidi" w:eastAsia="Times New Roman" w:hAnsiTheme="majorBidi" w:cstheme="majorBidi"/>
                <w:color w:val="000000"/>
              </w:rPr>
            </w:pPr>
          </w:p>
        </w:tc>
        <w:tc>
          <w:tcPr>
            <w:tcW w:w="2100" w:type="dxa"/>
            <w:tcBorders>
              <w:top w:val="nil"/>
              <w:left w:val="nil"/>
              <w:bottom w:val="single" w:sz="4" w:space="0" w:color="auto"/>
              <w:right w:val="single" w:sz="4" w:space="0" w:color="auto"/>
            </w:tcBorders>
            <w:shd w:val="clear" w:color="auto" w:fill="auto"/>
            <w:noWrap/>
            <w:vAlign w:val="bottom"/>
            <w:hideMark/>
          </w:tcPr>
          <w:p w14:paraId="5EEBAE8A" w14:textId="77777777" w:rsidR="009E28CC" w:rsidRPr="00B92144" w:rsidRDefault="009E28CC" w:rsidP="009E28C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non-Islamic banks</w:t>
            </w:r>
          </w:p>
        </w:tc>
        <w:tc>
          <w:tcPr>
            <w:tcW w:w="955" w:type="dxa"/>
            <w:tcBorders>
              <w:top w:val="nil"/>
              <w:left w:val="nil"/>
              <w:bottom w:val="single" w:sz="4" w:space="0" w:color="auto"/>
              <w:right w:val="single" w:sz="4" w:space="0" w:color="auto"/>
            </w:tcBorders>
            <w:shd w:val="clear" w:color="auto" w:fill="auto"/>
            <w:noWrap/>
            <w:vAlign w:val="bottom"/>
            <w:hideMark/>
          </w:tcPr>
          <w:p w14:paraId="1293C65E"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75.35</w:t>
            </w:r>
          </w:p>
        </w:tc>
        <w:tc>
          <w:tcPr>
            <w:tcW w:w="900" w:type="dxa"/>
            <w:tcBorders>
              <w:top w:val="nil"/>
              <w:left w:val="nil"/>
              <w:bottom w:val="single" w:sz="4" w:space="0" w:color="auto"/>
              <w:right w:val="single" w:sz="4" w:space="0" w:color="auto"/>
            </w:tcBorders>
            <w:shd w:val="clear" w:color="auto" w:fill="auto"/>
            <w:noWrap/>
            <w:vAlign w:val="bottom"/>
            <w:hideMark/>
          </w:tcPr>
          <w:p w14:paraId="4A2DBCA5"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264.63</w:t>
            </w:r>
          </w:p>
        </w:tc>
        <w:tc>
          <w:tcPr>
            <w:tcW w:w="810" w:type="dxa"/>
            <w:tcBorders>
              <w:top w:val="nil"/>
              <w:left w:val="nil"/>
              <w:bottom w:val="single" w:sz="4" w:space="0" w:color="auto"/>
              <w:right w:val="single" w:sz="4" w:space="0" w:color="auto"/>
            </w:tcBorders>
            <w:shd w:val="clear" w:color="auto" w:fill="auto"/>
            <w:noWrap/>
            <w:vAlign w:val="bottom"/>
            <w:hideMark/>
          </w:tcPr>
          <w:p w14:paraId="57AADE22"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41.12</w:t>
            </w:r>
          </w:p>
        </w:tc>
        <w:tc>
          <w:tcPr>
            <w:tcW w:w="876" w:type="dxa"/>
            <w:tcBorders>
              <w:top w:val="nil"/>
              <w:left w:val="nil"/>
              <w:bottom w:val="single" w:sz="4" w:space="0" w:color="auto"/>
              <w:right w:val="single" w:sz="4" w:space="0" w:color="auto"/>
            </w:tcBorders>
            <w:shd w:val="clear" w:color="auto" w:fill="auto"/>
            <w:noWrap/>
            <w:vAlign w:val="bottom"/>
            <w:hideMark/>
          </w:tcPr>
          <w:p w14:paraId="5118902C"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75.69</w:t>
            </w:r>
          </w:p>
        </w:tc>
        <w:tc>
          <w:tcPr>
            <w:tcW w:w="880" w:type="dxa"/>
            <w:tcBorders>
              <w:top w:val="nil"/>
              <w:left w:val="nil"/>
              <w:bottom w:val="single" w:sz="4" w:space="0" w:color="auto"/>
              <w:right w:val="single" w:sz="4" w:space="0" w:color="auto"/>
            </w:tcBorders>
            <w:shd w:val="clear" w:color="auto" w:fill="auto"/>
            <w:noWrap/>
            <w:vAlign w:val="bottom"/>
            <w:hideMark/>
          </w:tcPr>
          <w:p w14:paraId="365FCF50"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13.08</w:t>
            </w:r>
          </w:p>
        </w:tc>
        <w:tc>
          <w:tcPr>
            <w:tcW w:w="900" w:type="dxa"/>
            <w:tcBorders>
              <w:top w:val="nil"/>
              <w:left w:val="nil"/>
              <w:bottom w:val="single" w:sz="4" w:space="0" w:color="auto"/>
              <w:right w:val="single" w:sz="4" w:space="0" w:color="auto"/>
            </w:tcBorders>
            <w:shd w:val="clear" w:color="auto" w:fill="auto"/>
            <w:noWrap/>
            <w:vAlign w:val="bottom"/>
            <w:hideMark/>
          </w:tcPr>
          <w:p w14:paraId="14A0F60C"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13.61</w:t>
            </w:r>
          </w:p>
        </w:tc>
        <w:tc>
          <w:tcPr>
            <w:tcW w:w="900" w:type="dxa"/>
            <w:tcBorders>
              <w:top w:val="nil"/>
              <w:left w:val="nil"/>
              <w:bottom w:val="single" w:sz="4" w:space="0" w:color="auto"/>
              <w:right w:val="single" w:sz="4" w:space="0" w:color="auto"/>
            </w:tcBorders>
            <w:shd w:val="clear" w:color="auto" w:fill="auto"/>
            <w:noWrap/>
            <w:vAlign w:val="bottom"/>
            <w:hideMark/>
          </w:tcPr>
          <w:p w14:paraId="7E0BF6DC"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107.41</w:t>
            </w:r>
          </w:p>
        </w:tc>
        <w:tc>
          <w:tcPr>
            <w:tcW w:w="810" w:type="dxa"/>
            <w:tcBorders>
              <w:top w:val="nil"/>
              <w:left w:val="nil"/>
              <w:bottom w:val="single" w:sz="4" w:space="0" w:color="auto"/>
              <w:right w:val="single" w:sz="4" w:space="0" w:color="auto"/>
            </w:tcBorders>
            <w:shd w:val="clear" w:color="auto" w:fill="auto"/>
            <w:noWrap/>
            <w:vAlign w:val="bottom"/>
            <w:hideMark/>
          </w:tcPr>
          <w:p w14:paraId="2C0A4139" w14:textId="77777777" w:rsidR="009E28CC" w:rsidRPr="00B92144" w:rsidRDefault="009E28CC" w:rsidP="009E28CC">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22.18</w:t>
            </w:r>
          </w:p>
        </w:tc>
      </w:tr>
    </w:tbl>
    <w:p w14:paraId="2C3C71E0" w14:textId="6B50F3EF" w:rsidR="008A6BE3" w:rsidRPr="00B92144" w:rsidRDefault="009E28CC" w:rsidP="009E28CC">
      <w:pPr>
        <w:rPr>
          <w:rFonts w:asciiTheme="majorBidi" w:hAnsiTheme="majorBidi" w:cstheme="majorBidi"/>
          <w:sz w:val="24"/>
          <w:szCs w:val="24"/>
        </w:rPr>
        <w:sectPr w:rsidR="008A6BE3" w:rsidRPr="00B92144" w:rsidSect="009E28CC">
          <w:pgSz w:w="15840" w:h="12240" w:orient="landscape"/>
          <w:pgMar w:top="1440" w:right="1440" w:bottom="1440" w:left="1440" w:header="720" w:footer="720" w:gutter="0"/>
          <w:cols w:space="720"/>
          <w:docGrid w:linePitch="360"/>
        </w:sectPr>
      </w:pPr>
      <w:r w:rsidRPr="00B92144">
        <w:rPr>
          <w:rFonts w:asciiTheme="majorBidi" w:hAnsiTheme="majorBidi" w:cstheme="majorBidi"/>
          <w:sz w:val="24"/>
          <w:szCs w:val="24"/>
        </w:rPr>
        <w:t xml:space="preserve"> </w:t>
      </w:r>
      <w:r w:rsidR="00E8071C" w:rsidRPr="00B92144">
        <w:rPr>
          <w:rFonts w:asciiTheme="majorBidi" w:hAnsiTheme="majorBidi" w:cstheme="majorBidi"/>
          <w:sz w:val="24"/>
          <w:szCs w:val="24"/>
        </w:rPr>
        <w:br w:type="page"/>
      </w:r>
    </w:p>
    <w:p w14:paraId="71129434" w14:textId="77777777" w:rsidR="009E28CC" w:rsidRPr="00B92144" w:rsidRDefault="009E28CC" w:rsidP="009E28CC">
      <w:pPr>
        <w:rPr>
          <w:rFonts w:asciiTheme="majorBidi" w:hAnsiTheme="majorBidi" w:cstheme="majorBidi"/>
          <w:b/>
          <w:sz w:val="24"/>
          <w:szCs w:val="24"/>
        </w:rPr>
      </w:pPr>
      <w:r w:rsidRPr="00B92144">
        <w:rPr>
          <w:rFonts w:asciiTheme="majorBidi" w:hAnsiTheme="majorBidi" w:cstheme="majorBidi"/>
          <w:b/>
          <w:sz w:val="24"/>
          <w:szCs w:val="24"/>
        </w:rPr>
        <w:lastRenderedPageBreak/>
        <w:t>Table 4: Descriptive statistics.</w:t>
      </w:r>
    </w:p>
    <w:p w14:paraId="065953A0" w14:textId="77777777" w:rsidR="00F65F01" w:rsidRPr="00B92144" w:rsidRDefault="00F65F01" w:rsidP="00365270">
      <w:pPr>
        <w:spacing w:line="360" w:lineRule="auto"/>
        <w:jc w:val="both"/>
        <w:rPr>
          <w:rFonts w:asciiTheme="majorBidi" w:hAnsiTheme="majorBidi" w:cstheme="majorBidi"/>
          <w:sz w:val="24"/>
          <w:szCs w:val="24"/>
        </w:rPr>
      </w:pPr>
    </w:p>
    <w:p w14:paraId="2BE9C458" w14:textId="77777777" w:rsidR="00F65F01" w:rsidRPr="00B92144" w:rsidRDefault="00F65F01" w:rsidP="00365270">
      <w:pPr>
        <w:spacing w:line="360" w:lineRule="auto"/>
        <w:jc w:val="both"/>
        <w:rPr>
          <w:rFonts w:asciiTheme="majorBidi" w:hAnsiTheme="majorBidi" w:cstheme="majorBidi"/>
          <w:sz w:val="24"/>
          <w:szCs w:val="24"/>
        </w:rPr>
      </w:pPr>
    </w:p>
    <w:tbl>
      <w:tblPr>
        <w:tblpPr w:leftFromText="180" w:rightFromText="180" w:horzAnchor="margin" w:tblpXSpec="center" w:tblpY="585"/>
        <w:tblW w:w="0" w:type="auto"/>
        <w:tblLook w:val="04A0" w:firstRow="1" w:lastRow="0" w:firstColumn="1" w:lastColumn="0" w:noHBand="0" w:noVBand="1"/>
      </w:tblPr>
      <w:tblGrid>
        <w:gridCol w:w="1452"/>
        <w:gridCol w:w="705"/>
        <w:gridCol w:w="883"/>
        <w:gridCol w:w="754"/>
        <w:gridCol w:w="550"/>
        <w:gridCol w:w="736"/>
        <w:gridCol w:w="256"/>
        <w:gridCol w:w="705"/>
        <w:gridCol w:w="883"/>
        <w:gridCol w:w="754"/>
        <w:gridCol w:w="550"/>
        <w:gridCol w:w="736"/>
        <w:gridCol w:w="256"/>
        <w:gridCol w:w="705"/>
        <w:gridCol w:w="883"/>
        <w:gridCol w:w="754"/>
        <w:gridCol w:w="550"/>
        <w:gridCol w:w="736"/>
      </w:tblGrid>
      <w:tr w:rsidR="00DD4B3B" w:rsidRPr="00B92144" w14:paraId="73708FB9" w14:textId="77777777" w:rsidTr="008440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E25AE"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19986984" w14:textId="77777777" w:rsidR="00DD4B3B" w:rsidRPr="00B92144" w:rsidRDefault="00DD4B3B" w:rsidP="00822564">
            <w:pPr>
              <w:spacing w:after="0" w:line="240" w:lineRule="auto"/>
              <w:jc w:val="center"/>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ALL SAMPLE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14B69D" w14:textId="77777777" w:rsidR="00DD4B3B" w:rsidRPr="00B92144" w:rsidRDefault="00DD4B3B" w:rsidP="00822564">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 </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40AE475A" w14:textId="77777777" w:rsidR="00DD4B3B" w:rsidRPr="00B92144" w:rsidRDefault="00DD4B3B" w:rsidP="00822564">
            <w:pPr>
              <w:spacing w:after="0" w:line="240" w:lineRule="auto"/>
              <w:jc w:val="center"/>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ISLAMIC BANKS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F428E0" w14:textId="77777777" w:rsidR="00DD4B3B" w:rsidRPr="00B92144" w:rsidRDefault="00DD4B3B" w:rsidP="00822564">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 </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49D109C4" w14:textId="77701937" w:rsidR="00DD4B3B" w:rsidRPr="00B92144" w:rsidRDefault="00231809" w:rsidP="00822564">
            <w:pPr>
              <w:spacing w:after="0" w:line="240" w:lineRule="auto"/>
              <w:jc w:val="center"/>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CONVENTIONAL</w:t>
            </w:r>
            <w:r w:rsidR="00DD4B3B" w:rsidRPr="00B92144">
              <w:rPr>
                <w:rFonts w:asciiTheme="majorBidi" w:eastAsia="Times New Roman" w:hAnsiTheme="majorBidi" w:cstheme="majorBidi"/>
                <w:b/>
                <w:color w:val="000000"/>
                <w:sz w:val="16"/>
                <w:szCs w:val="16"/>
              </w:rPr>
              <w:t xml:space="preserve"> BANKS</w:t>
            </w:r>
          </w:p>
        </w:tc>
      </w:tr>
      <w:tr w:rsidR="008440F9" w:rsidRPr="00B92144" w14:paraId="2D8792E9" w14:textId="77777777" w:rsidTr="008440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469F26" w14:textId="77777777" w:rsidR="008440F9" w:rsidRPr="00B92144" w:rsidRDefault="008440F9" w:rsidP="008440F9">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05440DB" w14:textId="78746A74"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MEAN</w:t>
            </w:r>
          </w:p>
        </w:tc>
        <w:tc>
          <w:tcPr>
            <w:tcW w:w="0" w:type="auto"/>
            <w:tcBorders>
              <w:top w:val="nil"/>
              <w:left w:val="nil"/>
              <w:bottom w:val="single" w:sz="4" w:space="0" w:color="auto"/>
              <w:right w:val="single" w:sz="4" w:space="0" w:color="auto"/>
            </w:tcBorders>
            <w:shd w:val="clear" w:color="auto" w:fill="auto"/>
            <w:noWrap/>
            <w:vAlign w:val="bottom"/>
            <w:hideMark/>
          </w:tcPr>
          <w:p w14:paraId="6B48F968" w14:textId="77777777"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MEDIAN</w:t>
            </w:r>
          </w:p>
        </w:tc>
        <w:tc>
          <w:tcPr>
            <w:tcW w:w="0" w:type="auto"/>
            <w:tcBorders>
              <w:top w:val="nil"/>
              <w:left w:val="nil"/>
              <w:bottom w:val="single" w:sz="4" w:space="0" w:color="auto"/>
              <w:right w:val="single" w:sz="4" w:space="0" w:color="auto"/>
            </w:tcBorders>
            <w:shd w:val="clear" w:color="auto" w:fill="auto"/>
            <w:noWrap/>
            <w:vAlign w:val="bottom"/>
            <w:hideMark/>
          </w:tcPr>
          <w:p w14:paraId="699501B1" w14:textId="023D5343"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Std.Dev</w:t>
            </w:r>
          </w:p>
        </w:tc>
        <w:tc>
          <w:tcPr>
            <w:tcW w:w="0" w:type="auto"/>
            <w:tcBorders>
              <w:top w:val="nil"/>
              <w:left w:val="nil"/>
              <w:bottom w:val="single" w:sz="4" w:space="0" w:color="auto"/>
              <w:right w:val="single" w:sz="4" w:space="0" w:color="auto"/>
            </w:tcBorders>
            <w:shd w:val="clear" w:color="auto" w:fill="auto"/>
            <w:noWrap/>
            <w:vAlign w:val="bottom"/>
            <w:hideMark/>
          </w:tcPr>
          <w:p w14:paraId="146EC755" w14:textId="77777777"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MIN</w:t>
            </w:r>
          </w:p>
        </w:tc>
        <w:tc>
          <w:tcPr>
            <w:tcW w:w="0" w:type="auto"/>
            <w:tcBorders>
              <w:top w:val="nil"/>
              <w:left w:val="nil"/>
              <w:bottom w:val="single" w:sz="4" w:space="0" w:color="auto"/>
              <w:right w:val="single" w:sz="4" w:space="0" w:color="auto"/>
            </w:tcBorders>
            <w:shd w:val="clear" w:color="auto" w:fill="auto"/>
            <w:noWrap/>
            <w:vAlign w:val="bottom"/>
            <w:hideMark/>
          </w:tcPr>
          <w:p w14:paraId="78E1CE29" w14:textId="77777777"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MAX</w:t>
            </w:r>
          </w:p>
        </w:tc>
        <w:tc>
          <w:tcPr>
            <w:tcW w:w="0" w:type="auto"/>
            <w:tcBorders>
              <w:top w:val="nil"/>
              <w:left w:val="nil"/>
              <w:bottom w:val="single" w:sz="4" w:space="0" w:color="auto"/>
              <w:right w:val="single" w:sz="4" w:space="0" w:color="auto"/>
            </w:tcBorders>
            <w:shd w:val="clear" w:color="auto" w:fill="auto"/>
            <w:noWrap/>
            <w:vAlign w:val="bottom"/>
            <w:hideMark/>
          </w:tcPr>
          <w:p w14:paraId="09AEE346" w14:textId="77777777"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551A8F5" w14:textId="7E526A2D"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MEAN</w:t>
            </w:r>
          </w:p>
        </w:tc>
        <w:tc>
          <w:tcPr>
            <w:tcW w:w="0" w:type="auto"/>
            <w:tcBorders>
              <w:top w:val="nil"/>
              <w:left w:val="nil"/>
              <w:bottom w:val="single" w:sz="4" w:space="0" w:color="auto"/>
              <w:right w:val="single" w:sz="4" w:space="0" w:color="auto"/>
            </w:tcBorders>
            <w:shd w:val="clear" w:color="auto" w:fill="auto"/>
            <w:noWrap/>
            <w:vAlign w:val="bottom"/>
            <w:hideMark/>
          </w:tcPr>
          <w:p w14:paraId="78CB7F24" w14:textId="7D4549DC"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MEDIAN</w:t>
            </w:r>
          </w:p>
        </w:tc>
        <w:tc>
          <w:tcPr>
            <w:tcW w:w="0" w:type="auto"/>
            <w:tcBorders>
              <w:top w:val="nil"/>
              <w:left w:val="nil"/>
              <w:bottom w:val="single" w:sz="4" w:space="0" w:color="auto"/>
              <w:right w:val="single" w:sz="4" w:space="0" w:color="auto"/>
            </w:tcBorders>
            <w:shd w:val="clear" w:color="auto" w:fill="auto"/>
            <w:noWrap/>
            <w:vAlign w:val="bottom"/>
            <w:hideMark/>
          </w:tcPr>
          <w:p w14:paraId="31D97480" w14:textId="454AB8AF"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Std.Dev</w:t>
            </w:r>
          </w:p>
        </w:tc>
        <w:tc>
          <w:tcPr>
            <w:tcW w:w="0" w:type="auto"/>
            <w:tcBorders>
              <w:top w:val="nil"/>
              <w:left w:val="nil"/>
              <w:bottom w:val="single" w:sz="4" w:space="0" w:color="auto"/>
              <w:right w:val="single" w:sz="4" w:space="0" w:color="auto"/>
            </w:tcBorders>
            <w:shd w:val="clear" w:color="auto" w:fill="auto"/>
            <w:noWrap/>
            <w:vAlign w:val="bottom"/>
            <w:hideMark/>
          </w:tcPr>
          <w:p w14:paraId="7E57260B" w14:textId="1BC0546B"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MIN</w:t>
            </w:r>
          </w:p>
        </w:tc>
        <w:tc>
          <w:tcPr>
            <w:tcW w:w="0" w:type="auto"/>
            <w:tcBorders>
              <w:top w:val="nil"/>
              <w:left w:val="nil"/>
              <w:bottom w:val="single" w:sz="4" w:space="0" w:color="auto"/>
              <w:right w:val="single" w:sz="4" w:space="0" w:color="auto"/>
            </w:tcBorders>
            <w:shd w:val="clear" w:color="auto" w:fill="auto"/>
            <w:noWrap/>
            <w:vAlign w:val="bottom"/>
            <w:hideMark/>
          </w:tcPr>
          <w:p w14:paraId="705B6223" w14:textId="2FE52090"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MAX</w:t>
            </w:r>
          </w:p>
        </w:tc>
        <w:tc>
          <w:tcPr>
            <w:tcW w:w="0" w:type="auto"/>
            <w:tcBorders>
              <w:top w:val="nil"/>
              <w:left w:val="nil"/>
              <w:bottom w:val="single" w:sz="4" w:space="0" w:color="auto"/>
              <w:right w:val="single" w:sz="4" w:space="0" w:color="auto"/>
            </w:tcBorders>
            <w:shd w:val="clear" w:color="auto" w:fill="auto"/>
            <w:noWrap/>
            <w:vAlign w:val="bottom"/>
            <w:hideMark/>
          </w:tcPr>
          <w:p w14:paraId="7CD0D983" w14:textId="77777777"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3358015" w14:textId="621B467D"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MEAN</w:t>
            </w:r>
          </w:p>
        </w:tc>
        <w:tc>
          <w:tcPr>
            <w:tcW w:w="0" w:type="auto"/>
            <w:tcBorders>
              <w:top w:val="nil"/>
              <w:left w:val="nil"/>
              <w:bottom w:val="single" w:sz="4" w:space="0" w:color="auto"/>
              <w:right w:val="single" w:sz="4" w:space="0" w:color="auto"/>
            </w:tcBorders>
            <w:shd w:val="clear" w:color="auto" w:fill="auto"/>
            <w:noWrap/>
            <w:vAlign w:val="bottom"/>
            <w:hideMark/>
          </w:tcPr>
          <w:p w14:paraId="667F8B74" w14:textId="0E998851"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MEDIAN</w:t>
            </w:r>
          </w:p>
        </w:tc>
        <w:tc>
          <w:tcPr>
            <w:tcW w:w="0" w:type="auto"/>
            <w:tcBorders>
              <w:top w:val="nil"/>
              <w:left w:val="nil"/>
              <w:bottom w:val="single" w:sz="4" w:space="0" w:color="auto"/>
              <w:right w:val="single" w:sz="4" w:space="0" w:color="auto"/>
            </w:tcBorders>
            <w:shd w:val="clear" w:color="auto" w:fill="auto"/>
            <w:noWrap/>
            <w:vAlign w:val="bottom"/>
            <w:hideMark/>
          </w:tcPr>
          <w:p w14:paraId="4615DBA6" w14:textId="69C2030A"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Std.Dev</w:t>
            </w:r>
          </w:p>
        </w:tc>
        <w:tc>
          <w:tcPr>
            <w:tcW w:w="0" w:type="auto"/>
            <w:tcBorders>
              <w:top w:val="nil"/>
              <w:left w:val="nil"/>
              <w:bottom w:val="single" w:sz="4" w:space="0" w:color="auto"/>
              <w:right w:val="single" w:sz="4" w:space="0" w:color="auto"/>
            </w:tcBorders>
            <w:shd w:val="clear" w:color="auto" w:fill="auto"/>
            <w:noWrap/>
            <w:vAlign w:val="bottom"/>
            <w:hideMark/>
          </w:tcPr>
          <w:p w14:paraId="4F984878" w14:textId="14025907"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MIN</w:t>
            </w:r>
          </w:p>
        </w:tc>
        <w:tc>
          <w:tcPr>
            <w:tcW w:w="0" w:type="auto"/>
            <w:tcBorders>
              <w:top w:val="nil"/>
              <w:left w:val="nil"/>
              <w:bottom w:val="single" w:sz="4" w:space="0" w:color="auto"/>
              <w:right w:val="single" w:sz="4" w:space="0" w:color="auto"/>
            </w:tcBorders>
            <w:shd w:val="clear" w:color="auto" w:fill="auto"/>
            <w:noWrap/>
            <w:vAlign w:val="bottom"/>
            <w:hideMark/>
          </w:tcPr>
          <w:p w14:paraId="20210348" w14:textId="5321A697" w:rsidR="008440F9" w:rsidRPr="00B92144" w:rsidRDefault="008440F9" w:rsidP="008440F9">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MAX</w:t>
            </w:r>
          </w:p>
        </w:tc>
      </w:tr>
      <w:tr w:rsidR="00DD4B3B" w:rsidRPr="00B92144" w14:paraId="612C236E" w14:textId="77777777" w:rsidTr="008440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1BBF7F" w14:textId="1753DBD2" w:rsidR="00DD4B3B" w:rsidRPr="00B92144" w:rsidRDefault="00A512F3" w:rsidP="00822564">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R</w:t>
            </w:r>
            <w:r w:rsidR="00A56DD4" w:rsidRPr="00B92144">
              <w:rPr>
                <w:rFonts w:asciiTheme="majorBidi" w:eastAsia="Times New Roman" w:hAnsiTheme="majorBidi" w:cstheme="majorBidi"/>
                <w:b/>
                <w:color w:val="000000"/>
                <w:sz w:val="16"/>
                <w:szCs w:val="16"/>
              </w:rPr>
              <w:t>R</w:t>
            </w:r>
            <w:r w:rsidRPr="00B92144">
              <w:rPr>
                <w:rFonts w:asciiTheme="majorBidi" w:eastAsia="Times New Roman" w:hAnsiTheme="majorBidi" w:cstheme="majorBidi"/>
                <w:b/>
                <w:color w:val="000000"/>
                <w:sz w:val="16"/>
                <w:szCs w:val="16"/>
              </w:rPr>
              <w:t>D</w:t>
            </w:r>
          </w:p>
        </w:tc>
        <w:tc>
          <w:tcPr>
            <w:tcW w:w="0" w:type="auto"/>
            <w:tcBorders>
              <w:top w:val="nil"/>
              <w:left w:val="nil"/>
              <w:bottom w:val="single" w:sz="4" w:space="0" w:color="auto"/>
              <w:right w:val="single" w:sz="4" w:space="0" w:color="auto"/>
            </w:tcBorders>
            <w:shd w:val="clear" w:color="auto" w:fill="auto"/>
            <w:noWrap/>
            <w:vAlign w:val="bottom"/>
            <w:hideMark/>
          </w:tcPr>
          <w:p w14:paraId="548E569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431.99</w:t>
            </w:r>
          </w:p>
        </w:tc>
        <w:tc>
          <w:tcPr>
            <w:tcW w:w="0" w:type="auto"/>
            <w:tcBorders>
              <w:top w:val="nil"/>
              <w:left w:val="nil"/>
              <w:bottom w:val="single" w:sz="4" w:space="0" w:color="auto"/>
              <w:right w:val="single" w:sz="4" w:space="0" w:color="auto"/>
            </w:tcBorders>
            <w:shd w:val="clear" w:color="auto" w:fill="auto"/>
            <w:noWrap/>
            <w:vAlign w:val="bottom"/>
            <w:hideMark/>
          </w:tcPr>
          <w:p w14:paraId="739C7E19"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401.00</w:t>
            </w:r>
          </w:p>
        </w:tc>
        <w:tc>
          <w:tcPr>
            <w:tcW w:w="0" w:type="auto"/>
            <w:tcBorders>
              <w:top w:val="nil"/>
              <w:left w:val="nil"/>
              <w:bottom w:val="single" w:sz="4" w:space="0" w:color="auto"/>
              <w:right w:val="single" w:sz="4" w:space="0" w:color="auto"/>
            </w:tcBorders>
            <w:shd w:val="clear" w:color="auto" w:fill="auto"/>
            <w:noWrap/>
            <w:vAlign w:val="bottom"/>
            <w:hideMark/>
          </w:tcPr>
          <w:p w14:paraId="559E7B7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235.13</w:t>
            </w:r>
          </w:p>
        </w:tc>
        <w:tc>
          <w:tcPr>
            <w:tcW w:w="0" w:type="auto"/>
            <w:tcBorders>
              <w:top w:val="nil"/>
              <w:left w:val="nil"/>
              <w:bottom w:val="single" w:sz="4" w:space="0" w:color="auto"/>
              <w:right w:val="single" w:sz="4" w:space="0" w:color="auto"/>
            </w:tcBorders>
            <w:shd w:val="clear" w:color="auto" w:fill="auto"/>
            <w:noWrap/>
            <w:vAlign w:val="bottom"/>
            <w:hideMark/>
          </w:tcPr>
          <w:p w14:paraId="3BF38422"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0820E88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1684.00</w:t>
            </w:r>
          </w:p>
        </w:tc>
        <w:tc>
          <w:tcPr>
            <w:tcW w:w="0" w:type="auto"/>
            <w:tcBorders>
              <w:top w:val="nil"/>
              <w:left w:val="nil"/>
              <w:bottom w:val="single" w:sz="4" w:space="0" w:color="auto"/>
              <w:right w:val="single" w:sz="4" w:space="0" w:color="auto"/>
            </w:tcBorders>
            <w:shd w:val="clear" w:color="auto" w:fill="auto"/>
            <w:noWrap/>
            <w:vAlign w:val="bottom"/>
            <w:hideMark/>
          </w:tcPr>
          <w:p w14:paraId="7184D376"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FB148F6"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420.80</w:t>
            </w:r>
          </w:p>
        </w:tc>
        <w:tc>
          <w:tcPr>
            <w:tcW w:w="0" w:type="auto"/>
            <w:tcBorders>
              <w:top w:val="nil"/>
              <w:left w:val="nil"/>
              <w:bottom w:val="single" w:sz="4" w:space="0" w:color="auto"/>
              <w:right w:val="single" w:sz="4" w:space="0" w:color="auto"/>
            </w:tcBorders>
            <w:shd w:val="clear" w:color="auto" w:fill="auto"/>
            <w:noWrap/>
            <w:vAlign w:val="bottom"/>
            <w:hideMark/>
          </w:tcPr>
          <w:p w14:paraId="1F48B8D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398.50</w:t>
            </w:r>
          </w:p>
        </w:tc>
        <w:tc>
          <w:tcPr>
            <w:tcW w:w="0" w:type="auto"/>
            <w:tcBorders>
              <w:top w:val="nil"/>
              <w:left w:val="nil"/>
              <w:bottom w:val="single" w:sz="4" w:space="0" w:color="auto"/>
              <w:right w:val="single" w:sz="4" w:space="0" w:color="auto"/>
            </w:tcBorders>
            <w:shd w:val="clear" w:color="auto" w:fill="auto"/>
            <w:noWrap/>
            <w:vAlign w:val="bottom"/>
            <w:hideMark/>
          </w:tcPr>
          <w:p w14:paraId="43E8082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242.38</w:t>
            </w:r>
          </w:p>
        </w:tc>
        <w:tc>
          <w:tcPr>
            <w:tcW w:w="0" w:type="auto"/>
            <w:tcBorders>
              <w:top w:val="nil"/>
              <w:left w:val="nil"/>
              <w:bottom w:val="single" w:sz="4" w:space="0" w:color="auto"/>
              <w:right w:val="single" w:sz="4" w:space="0" w:color="auto"/>
            </w:tcBorders>
            <w:shd w:val="clear" w:color="auto" w:fill="auto"/>
            <w:noWrap/>
            <w:vAlign w:val="bottom"/>
            <w:hideMark/>
          </w:tcPr>
          <w:p w14:paraId="378D267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3D0997D2"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1684.00</w:t>
            </w:r>
          </w:p>
        </w:tc>
        <w:tc>
          <w:tcPr>
            <w:tcW w:w="0" w:type="auto"/>
            <w:tcBorders>
              <w:top w:val="nil"/>
              <w:left w:val="nil"/>
              <w:bottom w:val="single" w:sz="4" w:space="0" w:color="auto"/>
              <w:right w:val="single" w:sz="4" w:space="0" w:color="auto"/>
            </w:tcBorders>
            <w:shd w:val="clear" w:color="auto" w:fill="auto"/>
            <w:noWrap/>
            <w:vAlign w:val="bottom"/>
            <w:hideMark/>
          </w:tcPr>
          <w:p w14:paraId="34121F0B"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63DB4F9"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439.94</w:t>
            </w:r>
          </w:p>
        </w:tc>
        <w:tc>
          <w:tcPr>
            <w:tcW w:w="0" w:type="auto"/>
            <w:tcBorders>
              <w:top w:val="nil"/>
              <w:left w:val="nil"/>
              <w:bottom w:val="single" w:sz="4" w:space="0" w:color="auto"/>
              <w:right w:val="single" w:sz="4" w:space="0" w:color="auto"/>
            </w:tcBorders>
            <w:shd w:val="clear" w:color="auto" w:fill="auto"/>
            <w:noWrap/>
            <w:vAlign w:val="bottom"/>
            <w:hideMark/>
          </w:tcPr>
          <w:p w14:paraId="78549556"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413.00</w:t>
            </w:r>
          </w:p>
        </w:tc>
        <w:tc>
          <w:tcPr>
            <w:tcW w:w="0" w:type="auto"/>
            <w:tcBorders>
              <w:top w:val="nil"/>
              <w:left w:val="nil"/>
              <w:bottom w:val="single" w:sz="4" w:space="0" w:color="auto"/>
              <w:right w:val="single" w:sz="4" w:space="0" w:color="auto"/>
            </w:tcBorders>
            <w:shd w:val="clear" w:color="auto" w:fill="auto"/>
            <w:noWrap/>
            <w:vAlign w:val="bottom"/>
            <w:hideMark/>
          </w:tcPr>
          <w:p w14:paraId="5FF1FF1F"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229.80</w:t>
            </w:r>
          </w:p>
        </w:tc>
        <w:tc>
          <w:tcPr>
            <w:tcW w:w="0" w:type="auto"/>
            <w:tcBorders>
              <w:top w:val="nil"/>
              <w:left w:val="nil"/>
              <w:bottom w:val="single" w:sz="4" w:space="0" w:color="auto"/>
              <w:right w:val="single" w:sz="4" w:space="0" w:color="auto"/>
            </w:tcBorders>
            <w:shd w:val="clear" w:color="auto" w:fill="auto"/>
            <w:noWrap/>
            <w:vAlign w:val="bottom"/>
            <w:hideMark/>
          </w:tcPr>
          <w:p w14:paraId="61D5444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2.00</w:t>
            </w:r>
          </w:p>
        </w:tc>
        <w:tc>
          <w:tcPr>
            <w:tcW w:w="0" w:type="auto"/>
            <w:tcBorders>
              <w:top w:val="nil"/>
              <w:left w:val="nil"/>
              <w:bottom w:val="single" w:sz="4" w:space="0" w:color="auto"/>
              <w:right w:val="single" w:sz="4" w:space="0" w:color="auto"/>
            </w:tcBorders>
            <w:shd w:val="clear" w:color="auto" w:fill="auto"/>
            <w:noWrap/>
            <w:vAlign w:val="bottom"/>
            <w:hideMark/>
          </w:tcPr>
          <w:p w14:paraId="4DA8D62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1296.00</w:t>
            </w:r>
          </w:p>
        </w:tc>
      </w:tr>
      <w:tr w:rsidR="00DD4B3B" w:rsidRPr="00B92144" w14:paraId="13F9AD2A" w14:textId="77777777" w:rsidTr="008440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581291" w14:textId="77777777" w:rsidR="00DD4B3B" w:rsidRPr="00B92144" w:rsidRDefault="00DD4B3B" w:rsidP="00822564">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ROA</w:t>
            </w:r>
            <w:r w:rsidR="00A74E2D" w:rsidRPr="00B92144">
              <w:rPr>
                <w:rFonts w:asciiTheme="majorBidi" w:eastAsia="Times New Roman" w:hAnsiTheme="majorBidi" w:cstheme="majorBidi"/>
                <w:b/>
                <w:color w:val="00000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4ECD3C30"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0.02</w:t>
            </w:r>
          </w:p>
        </w:tc>
        <w:tc>
          <w:tcPr>
            <w:tcW w:w="0" w:type="auto"/>
            <w:tcBorders>
              <w:top w:val="nil"/>
              <w:left w:val="nil"/>
              <w:bottom w:val="single" w:sz="4" w:space="0" w:color="auto"/>
              <w:right w:val="single" w:sz="4" w:space="0" w:color="auto"/>
            </w:tcBorders>
            <w:shd w:val="clear" w:color="auto" w:fill="auto"/>
            <w:noWrap/>
            <w:vAlign w:val="bottom"/>
            <w:hideMark/>
          </w:tcPr>
          <w:p w14:paraId="328ACC7D"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0.01</w:t>
            </w:r>
          </w:p>
        </w:tc>
        <w:tc>
          <w:tcPr>
            <w:tcW w:w="0" w:type="auto"/>
            <w:tcBorders>
              <w:top w:val="nil"/>
              <w:left w:val="nil"/>
              <w:bottom w:val="single" w:sz="4" w:space="0" w:color="auto"/>
              <w:right w:val="single" w:sz="4" w:space="0" w:color="auto"/>
            </w:tcBorders>
            <w:shd w:val="clear" w:color="auto" w:fill="auto"/>
            <w:noWrap/>
            <w:vAlign w:val="bottom"/>
            <w:hideMark/>
          </w:tcPr>
          <w:p w14:paraId="11D3A317"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0.04</w:t>
            </w:r>
          </w:p>
        </w:tc>
        <w:tc>
          <w:tcPr>
            <w:tcW w:w="0" w:type="auto"/>
            <w:tcBorders>
              <w:top w:val="nil"/>
              <w:left w:val="nil"/>
              <w:bottom w:val="single" w:sz="4" w:space="0" w:color="auto"/>
              <w:right w:val="single" w:sz="4" w:space="0" w:color="auto"/>
            </w:tcBorders>
            <w:shd w:val="clear" w:color="auto" w:fill="auto"/>
            <w:noWrap/>
            <w:vAlign w:val="bottom"/>
            <w:hideMark/>
          </w:tcPr>
          <w:p w14:paraId="7F246E5C"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-0.15</w:t>
            </w:r>
          </w:p>
        </w:tc>
        <w:tc>
          <w:tcPr>
            <w:tcW w:w="0" w:type="auto"/>
            <w:tcBorders>
              <w:top w:val="nil"/>
              <w:left w:val="nil"/>
              <w:bottom w:val="single" w:sz="4" w:space="0" w:color="auto"/>
              <w:right w:val="single" w:sz="4" w:space="0" w:color="auto"/>
            </w:tcBorders>
            <w:shd w:val="clear" w:color="auto" w:fill="auto"/>
            <w:noWrap/>
            <w:vAlign w:val="bottom"/>
            <w:hideMark/>
          </w:tcPr>
          <w:p w14:paraId="33AACACA"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0.52</w:t>
            </w:r>
          </w:p>
        </w:tc>
        <w:tc>
          <w:tcPr>
            <w:tcW w:w="0" w:type="auto"/>
            <w:tcBorders>
              <w:top w:val="nil"/>
              <w:left w:val="nil"/>
              <w:bottom w:val="single" w:sz="4" w:space="0" w:color="auto"/>
              <w:right w:val="single" w:sz="4" w:space="0" w:color="auto"/>
            </w:tcBorders>
            <w:shd w:val="clear" w:color="auto" w:fill="auto"/>
            <w:noWrap/>
            <w:vAlign w:val="bottom"/>
            <w:hideMark/>
          </w:tcPr>
          <w:p w14:paraId="3A327B87"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DB9C33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0.02</w:t>
            </w:r>
          </w:p>
        </w:tc>
        <w:tc>
          <w:tcPr>
            <w:tcW w:w="0" w:type="auto"/>
            <w:tcBorders>
              <w:top w:val="nil"/>
              <w:left w:val="nil"/>
              <w:bottom w:val="single" w:sz="4" w:space="0" w:color="auto"/>
              <w:right w:val="single" w:sz="4" w:space="0" w:color="auto"/>
            </w:tcBorders>
            <w:shd w:val="clear" w:color="auto" w:fill="auto"/>
            <w:noWrap/>
            <w:vAlign w:val="bottom"/>
            <w:hideMark/>
          </w:tcPr>
          <w:p w14:paraId="1A82A7F1"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0.01</w:t>
            </w:r>
          </w:p>
        </w:tc>
        <w:tc>
          <w:tcPr>
            <w:tcW w:w="0" w:type="auto"/>
            <w:tcBorders>
              <w:top w:val="nil"/>
              <w:left w:val="nil"/>
              <w:bottom w:val="single" w:sz="4" w:space="0" w:color="auto"/>
              <w:right w:val="single" w:sz="4" w:space="0" w:color="auto"/>
            </w:tcBorders>
            <w:shd w:val="clear" w:color="auto" w:fill="auto"/>
            <w:noWrap/>
            <w:vAlign w:val="bottom"/>
            <w:hideMark/>
          </w:tcPr>
          <w:p w14:paraId="21717A4E"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14:paraId="196DCD31"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-0.15</w:t>
            </w:r>
          </w:p>
        </w:tc>
        <w:tc>
          <w:tcPr>
            <w:tcW w:w="0" w:type="auto"/>
            <w:tcBorders>
              <w:top w:val="nil"/>
              <w:left w:val="nil"/>
              <w:bottom w:val="single" w:sz="4" w:space="0" w:color="auto"/>
              <w:right w:val="single" w:sz="4" w:space="0" w:color="auto"/>
            </w:tcBorders>
            <w:shd w:val="clear" w:color="auto" w:fill="auto"/>
            <w:noWrap/>
            <w:vAlign w:val="bottom"/>
            <w:hideMark/>
          </w:tcPr>
          <w:p w14:paraId="246595E3"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0.52</w:t>
            </w:r>
          </w:p>
        </w:tc>
        <w:tc>
          <w:tcPr>
            <w:tcW w:w="0" w:type="auto"/>
            <w:tcBorders>
              <w:top w:val="nil"/>
              <w:left w:val="nil"/>
              <w:bottom w:val="single" w:sz="4" w:space="0" w:color="auto"/>
              <w:right w:val="single" w:sz="4" w:space="0" w:color="auto"/>
            </w:tcBorders>
            <w:shd w:val="clear" w:color="auto" w:fill="auto"/>
            <w:noWrap/>
            <w:vAlign w:val="bottom"/>
            <w:hideMark/>
          </w:tcPr>
          <w:p w14:paraId="6833EB12"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ACE07ED"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0.02</w:t>
            </w:r>
          </w:p>
        </w:tc>
        <w:tc>
          <w:tcPr>
            <w:tcW w:w="0" w:type="auto"/>
            <w:tcBorders>
              <w:top w:val="nil"/>
              <w:left w:val="nil"/>
              <w:bottom w:val="single" w:sz="4" w:space="0" w:color="auto"/>
              <w:right w:val="single" w:sz="4" w:space="0" w:color="auto"/>
            </w:tcBorders>
            <w:shd w:val="clear" w:color="auto" w:fill="auto"/>
            <w:noWrap/>
            <w:vAlign w:val="bottom"/>
            <w:hideMark/>
          </w:tcPr>
          <w:p w14:paraId="3D12E8A3"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0.02</w:t>
            </w:r>
          </w:p>
        </w:tc>
        <w:tc>
          <w:tcPr>
            <w:tcW w:w="0" w:type="auto"/>
            <w:tcBorders>
              <w:top w:val="nil"/>
              <w:left w:val="nil"/>
              <w:bottom w:val="single" w:sz="4" w:space="0" w:color="auto"/>
              <w:right w:val="single" w:sz="4" w:space="0" w:color="auto"/>
            </w:tcBorders>
            <w:shd w:val="clear" w:color="auto" w:fill="auto"/>
            <w:noWrap/>
            <w:vAlign w:val="bottom"/>
            <w:hideMark/>
          </w:tcPr>
          <w:p w14:paraId="19739161"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0.02</w:t>
            </w:r>
          </w:p>
        </w:tc>
        <w:tc>
          <w:tcPr>
            <w:tcW w:w="0" w:type="auto"/>
            <w:tcBorders>
              <w:top w:val="nil"/>
              <w:left w:val="nil"/>
              <w:bottom w:val="single" w:sz="4" w:space="0" w:color="auto"/>
              <w:right w:val="single" w:sz="4" w:space="0" w:color="auto"/>
            </w:tcBorders>
            <w:shd w:val="clear" w:color="auto" w:fill="auto"/>
            <w:noWrap/>
            <w:vAlign w:val="bottom"/>
            <w:hideMark/>
          </w:tcPr>
          <w:p w14:paraId="019CF9C1"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-0.04</w:t>
            </w:r>
          </w:p>
        </w:tc>
        <w:tc>
          <w:tcPr>
            <w:tcW w:w="0" w:type="auto"/>
            <w:tcBorders>
              <w:top w:val="nil"/>
              <w:left w:val="nil"/>
              <w:bottom w:val="single" w:sz="4" w:space="0" w:color="auto"/>
              <w:right w:val="single" w:sz="4" w:space="0" w:color="auto"/>
            </w:tcBorders>
            <w:shd w:val="clear" w:color="auto" w:fill="auto"/>
            <w:noWrap/>
            <w:vAlign w:val="bottom"/>
            <w:hideMark/>
          </w:tcPr>
          <w:p w14:paraId="7E260779"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0.16</w:t>
            </w:r>
          </w:p>
        </w:tc>
      </w:tr>
      <w:tr w:rsidR="00DD4B3B" w:rsidRPr="00B92144" w14:paraId="04950531" w14:textId="77777777" w:rsidTr="008440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74DB2E" w14:textId="77777777" w:rsidR="00DD4B3B" w:rsidRPr="00B92144" w:rsidRDefault="00DD4B3B" w:rsidP="00822564">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LIST</w:t>
            </w:r>
          </w:p>
        </w:tc>
        <w:tc>
          <w:tcPr>
            <w:tcW w:w="0" w:type="auto"/>
            <w:tcBorders>
              <w:top w:val="nil"/>
              <w:left w:val="nil"/>
              <w:bottom w:val="single" w:sz="4" w:space="0" w:color="auto"/>
              <w:right w:val="single" w:sz="4" w:space="0" w:color="auto"/>
            </w:tcBorders>
            <w:shd w:val="clear" w:color="auto" w:fill="auto"/>
            <w:noWrap/>
            <w:vAlign w:val="bottom"/>
            <w:hideMark/>
          </w:tcPr>
          <w:p w14:paraId="5A09530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0.54</w:t>
            </w:r>
          </w:p>
        </w:tc>
        <w:tc>
          <w:tcPr>
            <w:tcW w:w="0" w:type="auto"/>
            <w:tcBorders>
              <w:top w:val="nil"/>
              <w:left w:val="nil"/>
              <w:bottom w:val="single" w:sz="4" w:space="0" w:color="auto"/>
              <w:right w:val="single" w:sz="4" w:space="0" w:color="auto"/>
            </w:tcBorders>
            <w:shd w:val="clear" w:color="auto" w:fill="auto"/>
            <w:noWrap/>
            <w:vAlign w:val="bottom"/>
            <w:hideMark/>
          </w:tcPr>
          <w:p w14:paraId="32C2C27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74AABB99"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0.50</w:t>
            </w:r>
          </w:p>
        </w:tc>
        <w:tc>
          <w:tcPr>
            <w:tcW w:w="0" w:type="auto"/>
            <w:tcBorders>
              <w:top w:val="nil"/>
              <w:left w:val="nil"/>
              <w:bottom w:val="single" w:sz="4" w:space="0" w:color="auto"/>
              <w:right w:val="single" w:sz="4" w:space="0" w:color="auto"/>
            </w:tcBorders>
            <w:shd w:val="clear" w:color="auto" w:fill="auto"/>
            <w:noWrap/>
            <w:vAlign w:val="bottom"/>
            <w:hideMark/>
          </w:tcPr>
          <w:p w14:paraId="54EBC62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741DC3D2"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34EE4095"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330602F"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0.46</w:t>
            </w:r>
          </w:p>
        </w:tc>
        <w:tc>
          <w:tcPr>
            <w:tcW w:w="0" w:type="auto"/>
            <w:tcBorders>
              <w:top w:val="nil"/>
              <w:left w:val="nil"/>
              <w:bottom w:val="single" w:sz="4" w:space="0" w:color="auto"/>
              <w:right w:val="single" w:sz="4" w:space="0" w:color="auto"/>
            </w:tcBorders>
            <w:shd w:val="clear" w:color="auto" w:fill="auto"/>
            <w:noWrap/>
            <w:vAlign w:val="bottom"/>
            <w:hideMark/>
          </w:tcPr>
          <w:p w14:paraId="61E6AC8F"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6976E0B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0.50</w:t>
            </w:r>
          </w:p>
        </w:tc>
        <w:tc>
          <w:tcPr>
            <w:tcW w:w="0" w:type="auto"/>
            <w:tcBorders>
              <w:top w:val="nil"/>
              <w:left w:val="nil"/>
              <w:bottom w:val="single" w:sz="4" w:space="0" w:color="auto"/>
              <w:right w:val="single" w:sz="4" w:space="0" w:color="auto"/>
            </w:tcBorders>
            <w:shd w:val="clear" w:color="auto" w:fill="auto"/>
            <w:noWrap/>
            <w:vAlign w:val="bottom"/>
            <w:hideMark/>
          </w:tcPr>
          <w:p w14:paraId="10977C23"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1E821246"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7F03CCCF"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FD5290B"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0.60</w:t>
            </w:r>
          </w:p>
        </w:tc>
        <w:tc>
          <w:tcPr>
            <w:tcW w:w="0" w:type="auto"/>
            <w:tcBorders>
              <w:top w:val="nil"/>
              <w:left w:val="nil"/>
              <w:bottom w:val="single" w:sz="4" w:space="0" w:color="auto"/>
              <w:right w:val="single" w:sz="4" w:space="0" w:color="auto"/>
            </w:tcBorders>
            <w:shd w:val="clear" w:color="auto" w:fill="auto"/>
            <w:noWrap/>
            <w:vAlign w:val="bottom"/>
            <w:hideMark/>
          </w:tcPr>
          <w:p w14:paraId="3F9470F9"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3CBEE277"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0.49</w:t>
            </w:r>
          </w:p>
        </w:tc>
        <w:tc>
          <w:tcPr>
            <w:tcW w:w="0" w:type="auto"/>
            <w:tcBorders>
              <w:top w:val="nil"/>
              <w:left w:val="nil"/>
              <w:bottom w:val="single" w:sz="4" w:space="0" w:color="auto"/>
              <w:right w:val="single" w:sz="4" w:space="0" w:color="auto"/>
            </w:tcBorders>
            <w:shd w:val="clear" w:color="auto" w:fill="auto"/>
            <w:noWrap/>
            <w:vAlign w:val="bottom"/>
            <w:hideMark/>
          </w:tcPr>
          <w:p w14:paraId="0202B930"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3D8724A1"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r>
      <w:tr w:rsidR="00DD4B3B" w:rsidRPr="00B92144" w14:paraId="10CDB494" w14:textId="77777777" w:rsidTr="008440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F4E4F7" w14:textId="77777777" w:rsidR="00DD4B3B" w:rsidRPr="00B92144" w:rsidRDefault="00DD4B3B" w:rsidP="00822564">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BKAGE</w:t>
            </w:r>
          </w:p>
        </w:tc>
        <w:tc>
          <w:tcPr>
            <w:tcW w:w="0" w:type="auto"/>
            <w:tcBorders>
              <w:top w:val="nil"/>
              <w:left w:val="nil"/>
              <w:bottom w:val="single" w:sz="4" w:space="0" w:color="auto"/>
              <w:right w:val="single" w:sz="4" w:space="0" w:color="auto"/>
            </w:tcBorders>
            <w:shd w:val="clear" w:color="auto" w:fill="auto"/>
            <w:noWrap/>
            <w:vAlign w:val="bottom"/>
            <w:hideMark/>
          </w:tcPr>
          <w:p w14:paraId="4500D277"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4B96E6F0"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14:paraId="77265881"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151E4C7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466857F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150</w:t>
            </w:r>
          </w:p>
        </w:tc>
        <w:tc>
          <w:tcPr>
            <w:tcW w:w="0" w:type="auto"/>
            <w:tcBorders>
              <w:top w:val="nil"/>
              <w:left w:val="nil"/>
              <w:bottom w:val="single" w:sz="4" w:space="0" w:color="auto"/>
              <w:right w:val="single" w:sz="4" w:space="0" w:color="auto"/>
            </w:tcBorders>
            <w:shd w:val="clear" w:color="auto" w:fill="auto"/>
            <w:noWrap/>
            <w:vAlign w:val="bottom"/>
            <w:hideMark/>
          </w:tcPr>
          <w:p w14:paraId="2C032CF8"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0E0ED3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1FF8A5D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20FE89DD"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5FFBA093"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534C1792"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293112A8"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AA58FF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bottom"/>
            <w:hideMark/>
          </w:tcPr>
          <w:p w14:paraId="1C910E3D"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36</w:t>
            </w:r>
          </w:p>
        </w:tc>
        <w:tc>
          <w:tcPr>
            <w:tcW w:w="0" w:type="auto"/>
            <w:tcBorders>
              <w:top w:val="nil"/>
              <w:left w:val="nil"/>
              <w:bottom w:val="single" w:sz="4" w:space="0" w:color="auto"/>
              <w:right w:val="single" w:sz="4" w:space="0" w:color="auto"/>
            </w:tcBorders>
            <w:shd w:val="clear" w:color="auto" w:fill="auto"/>
            <w:noWrap/>
            <w:vAlign w:val="bottom"/>
            <w:hideMark/>
          </w:tcPr>
          <w:p w14:paraId="03DBF84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28D08586"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629F355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150</w:t>
            </w:r>
          </w:p>
        </w:tc>
      </w:tr>
      <w:tr w:rsidR="00DD4B3B" w:rsidRPr="00B92144" w14:paraId="7F3A4D9B" w14:textId="77777777" w:rsidTr="008440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955C2B" w14:textId="77777777" w:rsidR="00DD4B3B" w:rsidRPr="00B92144" w:rsidRDefault="00DD4B3B" w:rsidP="00822564">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LEVERAGE</w:t>
            </w:r>
          </w:p>
        </w:tc>
        <w:tc>
          <w:tcPr>
            <w:tcW w:w="0" w:type="auto"/>
            <w:tcBorders>
              <w:top w:val="nil"/>
              <w:left w:val="nil"/>
              <w:bottom w:val="single" w:sz="4" w:space="0" w:color="auto"/>
              <w:right w:val="single" w:sz="4" w:space="0" w:color="auto"/>
            </w:tcBorders>
            <w:shd w:val="clear" w:color="auto" w:fill="auto"/>
            <w:noWrap/>
            <w:vAlign w:val="bottom"/>
            <w:hideMark/>
          </w:tcPr>
          <w:p w14:paraId="02FDC5A0"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0.64</w:t>
            </w:r>
          </w:p>
        </w:tc>
        <w:tc>
          <w:tcPr>
            <w:tcW w:w="0" w:type="auto"/>
            <w:tcBorders>
              <w:top w:val="nil"/>
              <w:left w:val="nil"/>
              <w:bottom w:val="single" w:sz="4" w:space="0" w:color="auto"/>
              <w:right w:val="single" w:sz="4" w:space="0" w:color="auto"/>
            </w:tcBorders>
            <w:shd w:val="clear" w:color="auto" w:fill="auto"/>
            <w:noWrap/>
            <w:vAlign w:val="bottom"/>
            <w:hideMark/>
          </w:tcPr>
          <w:p w14:paraId="5C93431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0.66</w:t>
            </w:r>
          </w:p>
        </w:tc>
        <w:tc>
          <w:tcPr>
            <w:tcW w:w="0" w:type="auto"/>
            <w:tcBorders>
              <w:top w:val="nil"/>
              <w:left w:val="nil"/>
              <w:bottom w:val="single" w:sz="4" w:space="0" w:color="auto"/>
              <w:right w:val="single" w:sz="4" w:space="0" w:color="auto"/>
            </w:tcBorders>
            <w:shd w:val="clear" w:color="auto" w:fill="auto"/>
            <w:noWrap/>
            <w:vAlign w:val="bottom"/>
            <w:hideMark/>
          </w:tcPr>
          <w:p w14:paraId="1881E3DD"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0.20</w:t>
            </w:r>
          </w:p>
        </w:tc>
        <w:tc>
          <w:tcPr>
            <w:tcW w:w="0" w:type="auto"/>
            <w:tcBorders>
              <w:top w:val="nil"/>
              <w:left w:val="nil"/>
              <w:bottom w:val="single" w:sz="4" w:space="0" w:color="auto"/>
              <w:right w:val="single" w:sz="4" w:space="0" w:color="auto"/>
            </w:tcBorders>
            <w:shd w:val="clear" w:color="auto" w:fill="auto"/>
            <w:noWrap/>
            <w:vAlign w:val="bottom"/>
            <w:hideMark/>
          </w:tcPr>
          <w:p w14:paraId="4A0F4E3B"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48390912"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1.42</w:t>
            </w:r>
          </w:p>
        </w:tc>
        <w:tc>
          <w:tcPr>
            <w:tcW w:w="0" w:type="auto"/>
            <w:tcBorders>
              <w:top w:val="nil"/>
              <w:left w:val="nil"/>
              <w:bottom w:val="single" w:sz="4" w:space="0" w:color="auto"/>
              <w:right w:val="single" w:sz="4" w:space="0" w:color="auto"/>
            </w:tcBorders>
            <w:shd w:val="clear" w:color="auto" w:fill="auto"/>
            <w:noWrap/>
            <w:vAlign w:val="bottom"/>
            <w:hideMark/>
          </w:tcPr>
          <w:p w14:paraId="4F1DD6FF"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6CDDE36"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0.64</w:t>
            </w:r>
          </w:p>
        </w:tc>
        <w:tc>
          <w:tcPr>
            <w:tcW w:w="0" w:type="auto"/>
            <w:tcBorders>
              <w:top w:val="nil"/>
              <w:left w:val="nil"/>
              <w:bottom w:val="single" w:sz="4" w:space="0" w:color="auto"/>
              <w:right w:val="single" w:sz="4" w:space="0" w:color="auto"/>
            </w:tcBorders>
            <w:shd w:val="clear" w:color="auto" w:fill="auto"/>
            <w:noWrap/>
            <w:vAlign w:val="bottom"/>
            <w:hideMark/>
          </w:tcPr>
          <w:p w14:paraId="62D294D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0.67</w:t>
            </w:r>
          </w:p>
        </w:tc>
        <w:tc>
          <w:tcPr>
            <w:tcW w:w="0" w:type="auto"/>
            <w:tcBorders>
              <w:top w:val="nil"/>
              <w:left w:val="nil"/>
              <w:bottom w:val="single" w:sz="4" w:space="0" w:color="auto"/>
              <w:right w:val="single" w:sz="4" w:space="0" w:color="auto"/>
            </w:tcBorders>
            <w:shd w:val="clear" w:color="auto" w:fill="auto"/>
            <w:noWrap/>
            <w:vAlign w:val="bottom"/>
            <w:hideMark/>
          </w:tcPr>
          <w:p w14:paraId="43A499B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0.23</w:t>
            </w:r>
          </w:p>
        </w:tc>
        <w:tc>
          <w:tcPr>
            <w:tcW w:w="0" w:type="auto"/>
            <w:tcBorders>
              <w:top w:val="nil"/>
              <w:left w:val="nil"/>
              <w:bottom w:val="single" w:sz="4" w:space="0" w:color="auto"/>
              <w:right w:val="single" w:sz="4" w:space="0" w:color="auto"/>
            </w:tcBorders>
            <w:shd w:val="clear" w:color="auto" w:fill="auto"/>
            <w:noWrap/>
            <w:vAlign w:val="bottom"/>
            <w:hideMark/>
          </w:tcPr>
          <w:p w14:paraId="1CA95E91"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289DA1CA"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1.42</w:t>
            </w:r>
          </w:p>
        </w:tc>
        <w:tc>
          <w:tcPr>
            <w:tcW w:w="0" w:type="auto"/>
            <w:tcBorders>
              <w:top w:val="nil"/>
              <w:left w:val="nil"/>
              <w:bottom w:val="single" w:sz="4" w:space="0" w:color="auto"/>
              <w:right w:val="single" w:sz="4" w:space="0" w:color="auto"/>
            </w:tcBorders>
            <w:shd w:val="clear" w:color="auto" w:fill="auto"/>
            <w:noWrap/>
            <w:vAlign w:val="bottom"/>
            <w:hideMark/>
          </w:tcPr>
          <w:p w14:paraId="4254964D"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216F299"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0.63</w:t>
            </w:r>
          </w:p>
        </w:tc>
        <w:tc>
          <w:tcPr>
            <w:tcW w:w="0" w:type="auto"/>
            <w:tcBorders>
              <w:top w:val="nil"/>
              <w:left w:val="nil"/>
              <w:bottom w:val="single" w:sz="4" w:space="0" w:color="auto"/>
              <w:right w:val="single" w:sz="4" w:space="0" w:color="auto"/>
            </w:tcBorders>
            <w:shd w:val="clear" w:color="auto" w:fill="auto"/>
            <w:noWrap/>
            <w:vAlign w:val="bottom"/>
            <w:hideMark/>
          </w:tcPr>
          <w:p w14:paraId="05659D4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0.65</w:t>
            </w:r>
          </w:p>
        </w:tc>
        <w:tc>
          <w:tcPr>
            <w:tcW w:w="0" w:type="auto"/>
            <w:tcBorders>
              <w:top w:val="nil"/>
              <w:left w:val="nil"/>
              <w:bottom w:val="single" w:sz="4" w:space="0" w:color="auto"/>
              <w:right w:val="single" w:sz="4" w:space="0" w:color="auto"/>
            </w:tcBorders>
            <w:shd w:val="clear" w:color="auto" w:fill="auto"/>
            <w:noWrap/>
            <w:vAlign w:val="bottom"/>
            <w:hideMark/>
          </w:tcPr>
          <w:p w14:paraId="264F10B2"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0.17</w:t>
            </w:r>
          </w:p>
        </w:tc>
        <w:tc>
          <w:tcPr>
            <w:tcW w:w="0" w:type="auto"/>
            <w:tcBorders>
              <w:top w:val="nil"/>
              <w:left w:val="nil"/>
              <w:bottom w:val="single" w:sz="4" w:space="0" w:color="auto"/>
              <w:right w:val="single" w:sz="4" w:space="0" w:color="auto"/>
            </w:tcBorders>
            <w:shd w:val="clear" w:color="auto" w:fill="auto"/>
            <w:noWrap/>
            <w:vAlign w:val="bottom"/>
            <w:hideMark/>
          </w:tcPr>
          <w:p w14:paraId="4240521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0.21</w:t>
            </w:r>
          </w:p>
        </w:tc>
        <w:tc>
          <w:tcPr>
            <w:tcW w:w="0" w:type="auto"/>
            <w:tcBorders>
              <w:top w:val="nil"/>
              <w:left w:val="nil"/>
              <w:bottom w:val="single" w:sz="4" w:space="0" w:color="auto"/>
              <w:right w:val="single" w:sz="4" w:space="0" w:color="auto"/>
            </w:tcBorders>
            <w:shd w:val="clear" w:color="auto" w:fill="auto"/>
            <w:noWrap/>
            <w:vAlign w:val="bottom"/>
            <w:hideMark/>
          </w:tcPr>
          <w:p w14:paraId="3899CC2B"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0.93</w:t>
            </w:r>
          </w:p>
        </w:tc>
      </w:tr>
      <w:tr w:rsidR="00DD4B3B" w:rsidRPr="00B92144" w14:paraId="3F351CBE" w14:textId="77777777" w:rsidTr="008440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C03827" w14:textId="77777777" w:rsidR="00DD4B3B" w:rsidRPr="00B92144" w:rsidRDefault="00DD4B3B" w:rsidP="00822564">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COUTRANSDEX</w:t>
            </w:r>
          </w:p>
        </w:tc>
        <w:tc>
          <w:tcPr>
            <w:tcW w:w="0" w:type="auto"/>
            <w:tcBorders>
              <w:top w:val="nil"/>
              <w:left w:val="nil"/>
              <w:bottom w:val="single" w:sz="4" w:space="0" w:color="auto"/>
              <w:right w:val="single" w:sz="4" w:space="0" w:color="auto"/>
            </w:tcBorders>
            <w:shd w:val="clear" w:color="auto" w:fill="auto"/>
            <w:noWrap/>
            <w:vAlign w:val="bottom"/>
            <w:hideMark/>
          </w:tcPr>
          <w:p w14:paraId="3B373252"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7.09</w:t>
            </w:r>
          </w:p>
        </w:tc>
        <w:tc>
          <w:tcPr>
            <w:tcW w:w="0" w:type="auto"/>
            <w:tcBorders>
              <w:top w:val="nil"/>
              <w:left w:val="nil"/>
              <w:bottom w:val="single" w:sz="4" w:space="0" w:color="auto"/>
              <w:right w:val="single" w:sz="4" w:space="0" w:color="auto"/>
            </w:tcBorders>
            <w:shd w:val="clear" w:color="auto" w:fill="auto"/>
            <w:noWrap/>
            <w:vAlign w:val="bottom"/>
            <w:hideMark/>
          </w:tcPr>
          <w:p w14:paraId="4F923AE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8.00</w:t>
            </w:r>
          </w:p>
        </w:tc>
        <w:tc>
          <w:tcPr>
            <w:tcW w:w="0" w:type="auto"/>
            <w:tcBorders>
              <w:top w:val="nil"/>
              <w:left w:val="nil"/>
              <w:bottom w:val="single" w:sz="4" w:space="0" w:color="auto"/>
              <w:right w:val="single" w:sz="4" w:space="0" w:color="auto"/>
            </w:tcBorders>
            <w:shd w:val="clear" w:color="auto" w:fill="auto"/>
            <w:noWrap/>
            <w:vAlign w:val="bottom"/>
            <w:hideMark/>
          </w:tcPr>
          <w:p w14:paraId="37EA4B7E"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2.32</w:t>
            </w:r>
          </w:p>
        </w:tc>
        <w:tc>
          <w:tcPr>
            <w:tcW w:w="0" w:type="auto"/>
            <w:tcBorders>
              <w:top w:val="nil"/>
              <w:left w:val="nil"/>
              <w:bottom w:val="single" w:sz="4" w:space="0" w:color="auto"/>
              <w:right w:val="single" w:sz="4" w:space="0" w:color="auto"/>
            </w:tcBorders>
            <w:shd w:val="clear" w:color="auto" w:fill="auto"/>
            <w:noWrap/>
            <w:vAlign w:val="bottom"/>
            <w:hideMark/>
          </w:tcPr>
          <w:p w14:paraId="325EF49F"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4.00</w:t>
            </w:r>
          </w:p>
        </w:tc>
        <w:tc>
          <w:tcPr>
            <w:tcW w:w="0" w:type="auto"/>
            <w:tcBorders>
              <w:top w:val="nil"/>
              <w:left w:val="nil"/>
              <w:bottom w:val="single" w:sz="4" w:space="0" w:color="auto"/>
              <w:right w:val="single" w:sz="4" w:space="0" w:color="auto"/>
            </w:tcBorders>
            <w:shd w:val="clear" w:color="auto" w:fill="auto"/>
            <w:noWrap/>
            <w:vAlign w:val="bottom"/>
            <w:hideMark/>
          </w:tcPr>
          <w:p w14:paraId="7FDB350D"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78F23E5"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960B88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3E93A63A"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8.00</w:t>
            </w:r>
          </w:p>
        </w:tc>
        <w:tc>
          <w:tcPr>
            <w:tcW w:w="0" w:type="auto"/>
            <w:tcBorders>
              <w:top w:val="nil"/>
              <w:left w:val="nil"/>
              <w:bottom w:val="single" w:sz="4" w:space="0" w:color="auto"/>
              <w:right w:val="single" w:sz="4" w:space="0" w:color="auto"/>
            </w:tcBorders>
            <w:shd w:val="clear" w:color="auto" w:fill="auto"/>
            <w:noWrap/>
            <w:vAlign w:val="bottom"/>
            <w:hideMark/>
          </w:tcPr>
          <w:p w14:paraId="415CC5BA"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2.16</w:t>
            </w:r>
          </w:p>
        </w:tc>
        <w:tc>
          <w:tcPr>
            <w:tcW w:w="0" w:type="auto"/>
            <w:tcBorders>
              <w:top w:val="nil"/>
              <w:left w:val="nil"/>
              <w:bottom w:val="single" w:sz="4" w:space="0" w:color="auto"/>
              <w:right w:val="single" w:sz="4" w:space="0" w:color="auto"/>
            </w:tcBorders>
            <w:shd w:val="clear" w:color="auto" w:fill="auto"/>
            <w:noWrap/>
            <w:vAlign w:val="bottom"/>
            <w:hideMark/>
          </w:tcPr>
          <w:p w14:paraId="1F1A556D"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4.00</w:t>
            </w:r>
          </w:p>
        </w:tc>
        <w:tc>
          <w:tcPr>
            <w:tcW w:w="0" w:type="auto"/>
            <w:tcBorders>
              <w:top w:val="nil"/>
              <w:left w:val="nil"/>
              <w:bottom w:val="single" w:sz="4" w:space="0" w:color="auto"/>
              <w:right w:val="single" w:sz="4" w:space="0" w:color="auto"/>
            </w:tcBorders>
            <w:shd w:val="clear" w:color="auto" w:fill="auto"/>
            <w:noWrap/>
            <w:vAlign w:val="bottom"/>
            <w:hideMark/>
          </w:tcPr>
          <w:p w14:paraId="504BFCCE"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E2E4C3F"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12FC576"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6.78</w:t>
            </w:r>
          </w:p>
        </w:tc>
        <w:tc>
          <w:tcPr>
            <w:tcW w:w="0" w:type="auto"/>
            <w:tcBorders>
              <w:top w:val="nil"/>
              <w:left w:val="nil"/>
              <w:bottom w:val="single" w:sz="4" w:space="0" w:color="auto"/>
              <w:right w:val="single" w:sz="4" w:space="0" w:color="auto"/>
            </w:tcBorders>
            <w:shd w:val="clear" w:color="auto" w:fill="auto"/>
            <w:noWrap/>
            <w:vAlign w:val="bottom"/>
            <w:hideMark/>
          </w:tcPr>
          <w:p w14:paraId="40B6F8AA"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6.00</w:t>
            </w:r>
          </w:p>
        </w:tc>
        <w:tc>
          <w:tcPr>
            <w:tcW w:w="0" w:type="auto"/>
            <w:tcBorders>
              <w:top w:val="nil"/>
              <w:left w:val="nil"/>
              <w:bottom w:val="single" w:sz="4" w:space="0" w:color="auto"/>
              <w:right w:val="single" w:sz="4" w:space="0" w:color="auto"/>
            </w:tcBorders>
            <w:shd w:val="clear" w:color="auto" w:fill="auto"/>
            <w:noWrap/>
            <w:vAlign w:val="bottom"/>
            <w:hideMark/>
          </w:tcPr>
          <w:p w14:paraId="466E5F7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2.39</w:t>
            </w:r>
          </w:p>
        </w:tc>
        <w:tc>
          <w:tcPr>
            <w:tcW w:w="0" w:type="auto"/>
            <w:tcBorders>
              <w:top w:val="nil"/>
              <w:left w:val="nil"/>
              <w:bottom w:val="single" w:sz="4" w:space="0" w:color="auto"/>
              <w:right w:val="single" w:sz="4" w:space="0" w:color="auto"/>
            </w:tcBorders>
            <w:shd w:val="clear" w:color="auto" w:fill="auto"/>
            <w:noWrap/>
            <w:vAlign w:val="bottom"/>
            <w:hideMark/>
          </w:tcPr>
          <w:p w14:paraId="1350F33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4.00</w:t>
            </w:r>
          </w:p>
        </w:tc>
        <w:tc>
          <w:tcPr>
            <w:tcW w:w="0" w:type="auto"/>
            <w:tcBorders>
              <w:top w:val="nil"/>
              <w:left w:val="nil"/>
              <w:bottom w:val="single" w:sz="4" w:space="0" w:color="auto"/>
              <w:right w:val="single" w:sz="4" w:space="0" w:color="auto"/>
            </w:tcBorders>
            <w:shd w:val="clear" w:color="auto" w:fill="auto"/>
            <w:noWrap/>
            <w:vAlign w:val="bottom"/>
            <w:hideMark/>
          </w:tcPr>
          <w:p w14:paraId="238EFAB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10.00</w:t>
            </w:r>
          </w:p>
        </w:tc>
      </w:tr>
      <w:tr w:rsidR="00DD4B3B" w:rsidRPr="00B92144" w14:paraId="5757BA7B" w14:textId="77777777" w:rsidTr="008440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9C6BD4" w14:textId="77777777" w:rsidR="00DD4B3B" w:rsidRPr="00B92144" w:rsidRDefault="00DD4B3B" w:rsidP="00822564">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BLOCK</w:t>
            </w:r>
          </w:p>
        </w:tc>
        <w:tc>
          <w:tcPr>
            <w:tcW w:w="0" w:type="auto"/>
            <w:tcBorders>
              <w:top w:val="nil"/>
              <w:left w:val="nil"/>
              <w:bottom w:val="single" w:sz="4" w:space="0" w:color="auto"/>
              <w:right w:val="single" w:sz="4" w:space="0" w:color="auto"/>
            </w:tcBorders>
            <w:shd w:val="clear" w:color="auto" w:fill="auto"/>
            <w:noWrap/>
            <w:vAlign w:val="bottom"/>
            <w:hideMark/>
          </w:tcPr>
          <w:p w14:paraId="52E196CE"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2.54</w:t>
            </w:r>
          </w:p>
        </w:tc>
        <w:tc>
          <w:tcPr>
            <w:tcW w:w="0" w:type="auto"/>
            <w:tcBorders>
              <w:top w:val="nil"/>
              <w:left w:val="nil"/>
              <w:bottom w:val="single" w:sz="4" w:space="0" w:color="auto"/>
              <w:right w:val="single" w:sz="4" w:space="0" w:color="auto"/>
            </w:tcBorders>
            <w:shd w:val="clear" w:color="auto" w:fill="auto"/>
            <w:noWrap/>
            <w:vAlign w:val="bottom"/>
            <w:hideMark/>
          </w:tcPr>
          <w:p w14:paraId="3363412A"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2.00</w:t>
            </w:r>
          </w:p>
        </w:tc>
        <w:tc>
          <w:tcPr>
            <w:tcW w:w="0" w:type="auto"/>
            <w:tcBorders>
              <w:top w:val="nil"/>
              <w:left w:val="nil"/>
              <w:bottom w:val="single" w:sz="4" w:space="0" w:color="auto"/>
              <w:right w:val="single" w:sz="4" w:space="0" w:color="auto"/>
            </w:tcBorders>
            <w:shd w:val="clear" w:color="auto" w:fill="auto"/>
            <w:noWrap/>
            <w:vAlign w:val="bottom"/>
            <w:hideMark/>
          </w:tcPr>
          <w:p w14:paraId="01C7CA6B"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1.76</w:t>
            </w:r>
          </w:p>
        </w:tc>
        <w:tc>
          <w:tcPr>
            <w:tcW w:w="0" w:type="auto"/>
            <w:tcBorders>
              <w:top w:val="nil"/>
              <w:left w:val="nil"/>
              <w:bottom w:val="single" w:sz="4" w:space="0" w:color="auto"/>
              <w:right w:val="single" w:sz="4" w:space="0" w:color="auto"/>
            </w:tcBorders>
            <w:shd w:val="clear" w:color="auto" w:fill="auto"/>
            <w:noWrap/>
            <w:vAlign w:val="bottom"/>
            <w:hideMark/>
          </w:tcPr>
          <w:p w14:paraId="68AD1C66"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5427515E"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7.00</w:t>
            </w:r>
          </w:p>
        </w:tc>
        <w:tc>
          <w:tcPr>
            <w:tcW w:w="0" w:type="auto"/>
            <w:tcBorders>
              <w:top w:val="nil"/>
              <w:left w:val="nil"/>
              <w:bottom w:val="single" w:sz="4" w:space="0" w:color="auto"/>
              <w:right w:val="single" w:sz="4" w:space="0" w:color="auto"/>
            </w:tcBorders>
            <w:shd w:val="clear" w:color="auto" w:fill="auto"/>
            <w:noWrap/>
            <w:vAlign w:val="bottom"/>
            <w:hideMark/>
          </w:tcPr>
          <w:p w14:paraId="03696B9A"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E51AE5C"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2.25</w:t>
            </w:r>
          </w:p>
        </w:tc>
        <w:tc>
          <w:tcPr>
            <w:tcW w:w="0" w:type="auto"/>
            <w:tcBorders>
              <w:top w:val="nil"/>
              <w:left w:val="nil"/>
              <w:bottom w:val="single" w:sz="4" w:space="0" w:color="auto"/>
              <w:right w:val="single" w:sz="4" w:space="0" w:color="auto"/>
            </w:tcBorders>
            <w:shd w:val="clear" w:color="auto" w:fill="auto"/>
            <w:noWrap/>
            <w:vAlign w:val="bottom"/>
            <w:hideMark/>
          </w:tcPr>
          <w:p w14:paraId="1E9B0133"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3B89CC1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1.64</w:t>
            </w:r>
          </w:p>
        </w:tc>
        <w:tc>
          <w:tcPr>
            <w:tcW w:w="0" w:type="auto"/>
            <w:tcBorders>
              <w:top w:val="nil"/>
              <w:left w:val="nil"/>
              <w:bottom w:val="single" w:sz="4" w:space="0" w:color="auto"/>
              <w:right w:val="single" w:sz="4" w:space="0" w:color="auto"/>
            </w:tcBorders>
            <w:shd w:val="clear" w:color="auto" w:fill="auto"/>
            <w:noWrap/>
            <w:vAlign w:val="bottom"/>
            <w:hideMark/>
          </w:tcPr>
          <w:p w14:paraId="3067113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7D0BCDFB"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7.00</w:t>
            </w:r>
          </w:p>
        </w:tc>
        <w:tc>
          <w:tcPr>
            <w:tcW w:w="0" w:type="auto"/>
            <w:tcBorders>
              <w:top w:val="nil"/>
              <w:left w:val="nil"/>
              <w:bottom w:val="single" w:sz="4" w:space="0" w:color="auto"/>
              <w:right w:val="single" w:sz="4" w:space="0" w:color="auto"/>
            </w:tcBorders>
            <w:shd w:val="clear" w:color="auto" w:fill="auto"/>
            <w:noWrap/>
            <w:vAlign w:val="bottom"/>
            <w:hideMark/>
          </w:tcPr>
          <w:p w14:paraId="48EA0B12"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5B7992A"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2.86</w:t>
            </w:r>
          </w:p>
        </w:tc>
        <w:tc>
          <w:tcPr>
            <w:tcW w:w="0" w:type="auto"/>
            <w:tcBorders>
              <w:top w:val="nil"/>
              <w:left w:val="nil"/>
              <w:bottom w:val="single" w:sz="4" w:space="0" w:color="auto"/>
              <w:right w:val="single" w:sz="4" w:space="0" w:color="auto"/>
            </w:tcBorders>
            <w:shd w:val="clear" w:color="auto" w:fill="auto"/>
            <w:noWrap/>
            <w:vAlign w:val="bottom"/>
            <w:hideMark/>
          </w:tcPr>
          <w:p w14:paraId="7F7BC21C"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2.50</w:t>
            </w:r>
          </w:p>
        </w:tc>
        <w:tc>
          <w:tcPr>
            <w:tcW w:w="0" w:type="auto"/>
            <w:tcBorders>
              <w:top w:val="nil"/>
              <w:left w:val="nil"/>
              <w:bottom w:val="single" w:sz="4" w:space="0" w:color="auto"/>
              <w:right w:val="single" w:sz="4" w:space="0" w:color="auto"/>
            </w:tcBorders>
            <w:shd w:val="clear" w:color="auto" w:fill="auto"/>
            <w:noWrap/>
            <w:vAlign w:val="bottom"/>
            <w:hideMark/>
          </w:tcPr>
          <w:p w14:paraId="49D2B4EA"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hideMark/>
          </w:tcPr>
          <w:p w14:paraId="337361E1"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6C7ECBA7"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7.00</w:t>
            </w:r>
          </w:p>
        </w:tc>
      </w:tr>
      <w:tr w:rsidR="00DD4B3B" w:rsidRPr="00B92144" w14:paraId="329EBE53" w14:textId="77777777" w:rsidTr="008440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99E16A" w14:textId="77777777" w:rsidR="00DD4B3B" w:rsidRPr="00B92144" w:rsidRDefault="00DD4B3B" w:rsidP="00822564">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FOREIGN</w:t>
            </w:r>
          </w:p>
        </w:tc>
        <w:tc>
          <w:tcPr>
            <w:tcW w:w="0" w:type="auto"/>
            <w:tcBorders>
              <w:top w:val="nil"/>
              <w:left w:val="nil"/>
              <w:bottom w:val="single" w:sz="4" w:space="0" w:color="auto"/>
              <w:right w:val="single" w:sz="4" w:space="0" w:color="auto"/>
            </w:tcBorders>
            <w:shd w:val="clear" w:color="auto" w:fill="auto"/>
            <w:noWrap/>
            <w:vAlign w:val="bottom"/>
            <w:hideMark/>
          </w:tcPr>
          <w:p w14:paraId="39698C7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0.38</w:t>
            </w:r>
          </w:p>
        </w:tc>
        <w:tc>
          <w:tcPr>
            <w:tcW w:w="0" w:type="auto"/>
            <w:tcBorders>
              <w:top w:val="nil"/>
              <w:left w:val="nil"/>
              <w:bottom w:val="single" w:sz="4" w:space="0" w:color="auto"/>
              <w:right w:val="single" w:sz="4" w:space="0" w:color="auto"/>
            </w:tcBorders>
            <w:shd w:val="clear" w:color="auto" w:fill="auto"/>
            <w:noWrap/>
            <w:vAlign w:val="bottom"/>
            <w:hideMark/>
          </w:tcPr>
          <w:p w14:paraId="213E1C07"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0.15</w:t>
            </w:r>
          </w:p>
        </w:tc>
        <w:tc>
          <w:tcPr>
            <w:tcW w:w="0" w:type="auto"/>
            <w:tcBorders>
              <w:top w:val="nil"/>
              <w:left w:val="nil"/>
              <w:bottom w:val="single" w:sz="4" w:space="0" w:color="auto"/>
              <w:right w:val="single" w:sz="4" w:space="0" w:color="auto"/>
            </w:tcBorders>
            <w:shd w:val="clear" w:color="auto" w:fill="auto"/>
            <w:noWrap/>
            <w:vAlign w:val="bottom"/>
            <w:hideMark/>
          </w:tcPr>
          <w:p w14:paraId="66C602DF"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0.42</w:t>
            </w:r>
          </w:p>
        </w:tc>
        <w:tc>
          <w:tcPr>
            <w:tcW w:w="0" w:type="auto"/>
            <w:tcBorders>
              <w:top w:val="nil"/>
              <w:left w:val="nil"/>
              <w:bottom w:val="single" w:sz="4" w:space="0" w:color="auto"/>
              <w:right w:val="single" w:sz="4" w:space="0" w:color="auto"/>
            </w:tcBorders>
            <w:shd w:val="clear" w:color="auto" w:fill="auto"/>
            <w:noWrap/>
            <w:vAlign w:val="bottom"/>
            <w:hideMark/>
          </w:tcPr>
          <w:p w14:paraId="5569060B"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3919B67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2A794D8B"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AA0995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0.49</w:t>
            </w:r>
          </w:p>
        </w:tc>
        <w:tc>
          <w:tcPr>
            <w:tcW w:w="0" w:type="auto"/>
            <w:tcBorders>
              <w:top w:val="nil"/>
              <w:left w:val="nil"/>
              <w:bottom w:val="single" w:sz="4" w:space="0" w:color="auto"/>
              <w:right w:val="single" w:sz="4" w:space="0" w:color="auto"/>
            </w:tcBorders>
            <w:shd w:val="clear" w:color="auto" w:fill="auto"/>
            <w:noWrap/>
            <w:vAlign w:val="bottom"/>
            <w:hideMark/>
          </w:tcPr>
          <w:p w14:paraId="4E26D819"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0.49</w:t>
            </w:r>
          </w:p>
        </w:tc>
        <w:tc>
          <w:tcPr>
            <w:tcW w:w="0" w:type="auto"/>
            <w:tcBorders>
              <w:top w:val="nil"/>
              <w:left w:val="nil"/>
              <w:bottom w:val="single" w:sz="4" w:space="0" w:color="auto"/>
              <w:right w:val="single" w:sz="4" w:space="0" w:color="auto"/>
            </w:tcBorders>
            <w:shd w:val="clear" w:color="auto" w:fill="auto"/>
            <w:noWrap/>
            <w:vAlign w:val="bottom"/>
            <w:hideMark/>
          </w:tcPr>
          <w:p w14:paraId="433D13D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0.46</w:t>
            </w:r>
          </w:p>
        </w:tc>
        <w:tc>
          <w:tcPr>
            <w:tcW w:w="0" w:type="auto"/>
            <w:tcBorders>
              <w:top w:val="nil"/>
              <w:left w:val="nil"/>
              <w:bottom w:val="single" w:sz="4" w:space="0" w:color="auto"/>
              <w:right w:val="single" w:sz="4" w:space="0" w:color="auto"/>
            </w:tcBorders>
            <w:shd w:val="clear" w:color="auto" w:fill="auto"/>
            <w:noWrap/>
            <w:vAlign w:val="bottom"/>
            <w:hideMark/>
          </w:tcPr>
          <w:p w14:paraId="192F1A5D"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3F1333E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5EBB281E"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CFEE2C3"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0.26</w:t>
            </w:r>
          </w:p>
        </w:tc>
        <w:tc>
          <w:tcPr>
            <w:tcW w:w="0" w:type="auto"/>
            <w:tcBorders>
              <w:top w:val="nil"/>
              <w:left w:val="nil"/>
              <w:bottom w:val="single" w:sz="4" w:space="0" w:color="auto"/>
              <w:right w:val="single" w:sz="4" w:space="0" w:color="auto"/>
            </w:tcBorders>
            <w:shd w:val="clear" w:color="auto" w:fill="auto"/>
            <w:noWrap/>
            <w:vAlign w:val="bottom"/>
            <w:hideMark/>
          </w:tcPr>
          <w:p w14:paraId="694E20D7"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0.10</w:t>
            </w:r>
          </w:p>
        </w:tc>
        <w:tc>
          <w:tcPr>
            <w:tcW w:w="0" w:type="auto"/>
            <w:tcBorders>
              <w:top w:val="nil"/>
              <w:left w:val="nil"/>
              <w:bottom w:val="single" w:sz="4" w:space="0" w:color="auto"/>
              <w:right w:val="single" w:sz="4" w:space="0" w:color="auto"/>
            </w:tcBorders>
            <w:shd w:val="clear" w:color="auto" w:fill="auto"/>
            <w:noWrap/>
            <w:vAlign w:val="bottom"/>
            <w:hideMark/>
          </w:tcPr>
          <w:p w14:paraId="754EB550"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0.34</w:t>
            </w:r>
          </w:p>
        </w:tc>
        <w:tc>
          <w:tcPr>
            <w:tcW w:w="0" w:type="auto"/>
            <w:tcBorders>
              <w:top w:val="nil"/>
              <w:left w:val="nil"/>
              <w:bottom w:val="single" w:sz="4" w:space="0" w:color="auto"/>
              <w:right w:val="single" w:sz="4" w:space="0" w:color="auto"/>
            </w:tcBorders>
            <w:shd w:val="clear" w:color="auto" w:fill="auto"/>
            <w:noWrap/>
            <w:vAlign w:val="bottom"/>
            <w:hideMark/>
          </w:tcPr>
          <w:p w14:paraId="678EBCC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69EC8B09"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r>
      <w:tr w:rsidR="00DD4B3B" w:rsidRPr="00B92144" w14:paraId="79F6EDEE" w14:textId="77777777" w:rsidTr="008440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F838C4" w14:textId="77777777" w:rsidR="00DD4B3B" w:rsidRPr="00B92144" w:rsidRDefault="00DD4B3B" w:rsidP="00822564">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BDSIZE</w:t>
            </w:r>
          </w:p>
        </w:tc>
        <w:tc>
          <w:tcPr>
            <w:tcW w:w="0" w:type="auto"/>
            <w:tcBorders>
              <w:top w:val="nil"/>
              <w:left w:val="nil"/>
              <w:bottom w:val="single" w:sz="4" w:space="0" w:color="auto"/>
              <w:right w:val="single" w:sz="4" w:space="0" w:color="auto"/>
            </w:tcBorders>
            <w:shd w:val="clear" w:color="auto" w:fill="auto"/>
            <w:noWrap/>
            <w:vAlign w:val="bottom"/>
            <w:hideMark/>
          </w:tcPr>
          <w:p w14:paraId="63A67D09"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9.28</w:t>
            </w:r>
          </w:p>
        </w:tc>
        <w:tc>
          <w:tcPr>
            <w:tcW w:w="0" w:type="auto"/>
            <w:tcBorders>
              <w:top w:val="nil"/>
              <w:left w:val="nil"/>
              <w:bottom w:val="single" w:sz="4" w:space="0" w:color="auto"/>
              <w:right w:val="single" w:sz="4" w:space="0" w:color="auto"/>
            </w:tcBorders>
            <w:shd w:val="clear" w:color="auto" w:fill="auto"/>
            <w:noWrap/>
            <w:vAlign w:val="bottom"/>
            <w:hideMark/>
          </w:tcPr>
          <w:p w14:paraId="0517A73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9.00</w:t>
            </w:r>
          </w:p>
        </w:tc>
        <w:tc>
          <w:tcPr>
            <w:tcW w:w="0" w:type="auto"/>
            <w:tcBorders>
              <w:top w:val="nil"/>
              <w:left w:val="nil"/>
              <w:bottom w:val="single" w:sz="4" w:space="0" w:color="auto"/>
              <w:right w:val="single" w:sz="4" w:space="0" w:color="auto"/>
            </w:tcBorders>
            <w:shd w:val="clear" w:color="auto" w:fill="auto"/>
            <w:noWrap/>
            <w:vAlign w:val="bottom"/>
            <w:hideMark/>
          </w:tcPr>
          <w:p w14:paraId="77761CB3"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2.09</w:t>
            </w:r>
          </w:p>
        </w:tc>
        <w:tc>
          <w:tcPr>
            <w:tcW w:w="0" w:type="auto"/>
            <w:tcBorders>
              <w:top w:val="nil"/>
              <w:left w:val="nil"/>
              <w:bottom w:val="single" w:sz="4" w:space="0" w:color="auto"/>
              <w:right w:val="single" w:sz="4" w:space="0" w:color="auto"/>
            </w:tcBorders>
            <w:shd w:val="clear" w:color="auto" w:fill="auto"/>
            <w:noWrap/>
            <w:vAlign w:val="bottom"/>
            <w:hideMark/>
          </w:tcPr>
          <w:p w14:paraId="093802AE"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14:paraId="44CB863B"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17.00</w:t>
            </w:r>
          </w:p>
        </w:tc>
        <w:tc>
          <w:tcPr>
            <w:tcW w:w="0" w:type="auto"/>
            <w:tcBorders>
              <w:top w:val="nil"/>
              <w:left w:val="nil"/>
              <w:bottom w:val="single" w:sz="4" w:space="0" w:color="auto"/>
              <w:right w:val="single" w:sz="4" w:space="0" w:color="auto"/>
            </w:tcBorders>
            <w:shd w:val="clear" w:color="auto" w:fill="auto"/>
            <w:noWrap/>
            <w:vAlign w:val="bottom"/>
            <w:hideMark/>
          </w:tcPr>
          <w:p w14:paraId="4EE9680A"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B4922F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8.90</w:t>
            </w:r>
          </w:p>
        </w:tc>
        <w:tc>
          <w:tcPr>
            <w:tcW w:w="0" w:type="auto"/>
            <w:tcBorders>
              <w:top w:val="nil"/>
              <w:left w:val="nil"/>
              <w:bottom w:val="single" w:sz="4" w:space="0" w:color="auto"/>
              <w:right w:val="single" w:sz="4" w:space="0" w:color="auto"/>
            </w:tcBorders>
            <w:shd w:val="clear" w:color="auto" w:fill="auto"/>
            <w:noWrap/>
            <w:vAlign w:val="bottom"/>
            <w:hideMark/>
          </w:tcPr>
          <w:p w14:paraId="6FCF6E0A"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9.00</w:t>
            </w:r>
          </w:p>
        </w:tc>
        <w:tc>
          <w:tcPr>
            <w:tcW w:w="0" w:type="auto"/>
            <w:tcBorders>
              <w:top w:val="nil"/>
              <w:left w:val="nil"/>
              <w:bottom w:val="single" w:sz="4" w:space="0" w:color="auto"/>
              <w:right w:val="single" w:sz="4" w:space="0" w:color="auto"/>
            </w:tcBorders>
            <w:shd w:val="clear" w:color="auto" w:fill="auto"/>
            <w:noWrap/>
            <w:vAlign w:val="bottom"/>
            <w:hideMark/>
          </w:tcPr>
          <w:p w14:paraId="03BD6FD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1.99</w:t>
            </w:r>
          </w:p>
        </w:tc>
        <w:tc>
          <w:tcPr>
            <w:tcW w:w="0" w:type="auto"/>
            <w:tcBorders>
              <w:top w:val="nil"/>
              <w:left w:val="nil"/>
              <w:bottom w:val="single" w:sz="4" w:space="0" w:color="auto"/>
              <w:right w:val="single" w:sz="4" w:space="0" w:color="auto"/>
            </w:tcBorders>
            <w:shd w:val="clear" w:color="auto" w:fill="auto"/>
            <w:noWrap/>
            <w:vAlign w:val="bottom"/>
            <w:hideMark/>
          </w:tcPr>
          <w:p w14:paraId="15786ED7"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14:paraId="4840D88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13.00</w:t>
            </w:r>
          </w:p>
        </w:tc>
        <w:tc>
          <w:tcPr>
            <w:tcW w:w="0" w:type="auto"/>
            <w:tcBorders>
              <w:top w:val="nil"/>
              <w:left w:val="nil"/>
              <w:bottom w:val="single" w:sz="4" w:space="0" w:color="auto"/>
              <w:right w:val="single" w:sz="4" w:space="0" w:color="auto"/>
            </w:tcBorders>
            <w:shd w:val="clear" w:color="auto" w:fill="auto"/>
            <w:noWrap/>
            <w:vAlign w:val="bottom"/>
            <w:hideMark/>
          </w:tcPr>
          <w:p w14:paraId="7ABF1272"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F339F1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9.71</w:t>
            </w:r>
          </w:p>
        </w:tc>
        <w:tc>
          <w:tcPr>
            <w:tcW w:w="0" w:type="auto"/>
            <w:tcBorders>
              <w:top w:val="nil"/>
              <w:left w:val="nil"/>
              <w:bottom w:val="single" w:sz="4" w:space="0" w:color="auto"/>
              <w:right w:val="single" w:sz="4" w:space="0" w:color="auto"/>
            </w:tcBorders>
            <w:shd w:val="clear" w:color="auto" w:fill="auto"/>
            <w:noWrap/>
            <w:vAlign w:val="bottom"/>
            <w:hideMark/>
          </w:tcPr>
          <w:p w14:paraId="4A6B22FA"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B29A0B3"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2.12</w:t>
            </w:r>
          </w:p>
        </w:tc>
        <w:tc>
          <w:tcPr>
            <w:tcW w:w="0" w:type="auto"/>
            <w:tcBorders>
              <w:top w:val="nil"/>
              <w:left w:val="nil"/>
              <w:bottom w:val="single" w:sz="4" w:space="0" w:color="auto"/>
              <w:right w:val="single" w:sz="4" w:space="0" w:color="auto"/>
            </w:tcBorders>
            <w:shd w:val="clear" w:color="auto" w:fill="auto"/>
            <w:noWrap/>
            <w:vAlign w:val="bottom"/>
            <w:hideMark/>
          </w:tcPr>
          <w:p w14:paraId="5706984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14:paraId="330C4D1C"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17.00</w:t>
            </w:r>
          </w:p>
        </w:tc>
      </w:tr>
      <w:tr w:rsidR="00DD4B3B" w:rsidRPr="00B92144" w14:paraId="51E8E9AB" w14:textId="77777777" w:rsidTr="008440F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12BD99" w14:textId="77777777" w:rsidR="00DD4B3B" w:rsidRPr="00B92144" w:rsidRDefault="00DD4B3B" w:rsidP="00822564">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lang w:val="fr-FR"/>
              </w:rPr>
              <w:t>BDIND</w:t>
            </w:r>
          </w:p>
        </w:tc>
        <w:tc>
          <w:tcPr>
            <w:tcW w:w="0" w:type="auto"/>
            <w:tcBorders>
              <w:top w:val="nil"/>
              <w:left w:val="nil"/>
              <w:bottom w:val="single" w:sz="4" w:space="0" w:color="auto"/>
              <w:right w:val="single" w:sz="4" w:space="0" w:color="auto"/>
            </w:tcBorders>
            <w:shd w:val="clear" w:color="auto" w:fill="auto"/>
            <w:noWrap/>
            <w:vAlign w:val="bottom"/>
            <w:hideMark/>
          </w:tcPr>
          <w:p w14:paraId="17004D0F"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0.56</w:t>
            </w:r>
          </w:p>
        </w:tc>
        <w:tc>
          <w:tcPr>
            <w:tcW w:w="0" w:type="auto"/>
            <w:tcBorders>
              <w:top w:val="nil"/>
              <w:left w:val="nil"/>
              <w:bottom w:val="single" w:sz="4" w:space="0" w:color="auto"/>
              <w:right w:val="single" w:sz="4" w:space="0" w:color="auto"/>
            </w:tcBorders>
            <w:shd w:val="clear" w:color="auto" w:fill="auto"/>
            <w:noWrap/>
            <w:vAlign w:val="bottom"/>
            <w:hideMark/>
          </w:tcPr>
          <w:p w14:paraId="0198EDF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0.55</w:t>
            </w:r>
          </w:p>
        </w:tc>
        <w:tc>
          <w:tcPr>
            <w:tcW w:w="0" w:type="auto"/>
            <w:tcBorders>
              <w:top w:val="nil"/>
              <w:left w:val="nil"/>
              <w:bottom w:val="single" w:sz="4" w:space="0" w:color="auto"/>
              <w:right w:val="single" w:sz="4" w:space="0" w:color="auto"/>
            </w:tcBorders>
            <w:shd w:val="clear" w:color="auto" w:fill="auto"/>
            <w:noWrap/>
            <w:vAlign w:val="bottom"/>
            <w:hideMark/>
          </w:tcPr>
          <w:p w14:paraId="62ED5147"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0.24</w:t>
            </w:r>
          </w:p>
        </w:tc>
        <w:tc>
          <w:tcPr>
            <w:tcW w:w="0" w:type="auto"/>
            <w:tcBorders>
              <w:top w:val="nil"/>
              <w:left w:val="nil"/>
              <w:bottom w:val="single" w:sz="4" w:space="0" w:color="auto"/>
              <w:right w:val="single" w:sz="4" w:space="0" w:color="auto"/>
            </w:tcBorders>
            <w:shd w:val="clear" w:color="auto" w:fill="auto"/>
            <w:noWrap/>
            <w:vAlign w:val="bottom"/>
            <w:hideMark/>
          </w:tcPr>
          <w:p w14:paraId="4553EE01"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0.11</w:t>
            </w:r>
          </w:p>
        </w:tc>
        <w:tc>
          <w:tcPr>
            <w:tcW w:w="0" w:type="auto"/>
            <w:tcBorders>
              <w:top w:val="nil"/>
              <w:left w:val="nil"/>
              <w:bottom w:val="single" w:sz="4" w:space="0" w:color="auto"/>
              <w:right w:val="single" w:sz="4" w:space="0" w:color="auto"/>
            </w:tcBorders>
            <w:shd w:val="clear" w:color="auto" w:fill="auto"/>
            <w:noWrap/>
            <w:vAlign w:val="bottom"/>
            <w:hideMark/>
          </w:tcPr>
          <w:p w14:paraId="3FDE802B"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55E7C95C"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824C329"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0.64</w:t>
            </w:r>
          </w:p>
        </w:tc>
        <w:tc>
          <w:tcPr>
            <w:tcW w:w="0" w:type="auto"/>
            <w:tcBorders>
              <w:top w:val="nil"/>
              <w:left w:val="nil"/>
              <w:bottom w:val="single" w:sz="4" w:space="0" w:color="auto"/>
              <w:right w:val="single" w:sz="4" w:space="0" w:color="auto"/>
            </w:tcBorders>
            <w:shd w:val="clear" w:color="auto" w:fill="auto"/>
            <w:noWrap/>
            <w:vAlign w:val="bottom"/>
            <w:hideMark/>
          </w:tcPr>
          <w:p w14:paraId="755FD59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0.63</w:t>
            </w:r>
          </w:p>
        </w:tc>
        <w:tc>
          <w:tcPr>
            <w:tcW w:w="0" w:type="auto"/>
            <w:tcBorders>
              <w:top w:val="nil"/>
              <w:left w:val="nil"/>
              <w:bottom w:val="single" w:sz="4" w:space="0" w:color="auto"/>
              <w:right w:val="single" w:sz="4" w:space="0" w:color="auto"/>
            </w:tcBorders>
            <w:shd w:val="clear" w:color="auto" w:fill="auto"/>
            <w:noWrap/>
            <w:vAlign w:val="bottom"/>
            <w:hideMark/>
          </w:tcPr>
          <w:p w14:paraId="78919F39"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0.25</w:t>
            </w:r>
          </w:p>
        </w:tc>
        <w:tc>
          <w:tcPr>
            <w:tcW w:w="0" w:type="auto"/>
            <w:tcBorders>
              <w:top w:val="nil"/>
              <w:left w:val="nil"/>
              <w:bottom w:val="single" w:sz="4" w:space="0" w:color="auto"/>
              <w:right w:val="single" w:sz="4" w:space="0" w:color="auto"/>
            </w:tcBorders>
            <w:shd w:val="clear" w:color="auto" w:fill="auto"/>
            <w:noWrap/>
            <w:vAlign w:val="bottom"/>
            <w:hideMark/>
          </w:tcPr>
          <w:p w14:paraId="059655B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0.15</w:t>
            </w:r>
          </w:p>
        </w:tc>
        <w:tc>
          <w:tcPr>
            <w:tcW w:w="0" w:type="auto"/>
            <w:tcBorders>
              <w:top w:val="nil"/>
              <w:left w:val="nil"/>
              <w:bottom w:val="single" w:sz="4" w:space="0" w:color="auto"/>
              <w:right w:val="single" w:sz="4" w:space="0" w:color="auto"/>
            </w:tcBorders>
            <w:shd w:val="clear" w:color="auto" w:fill="auto"/>
            <w:noWrap/>
            <w:vAlign w:val="bottom"/>
            <w:hideMark/>
          </w:tcPr>
          <w:p w14:paraId="7362A7F0"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2AD1A251"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74CC847"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0.46</w:t>
            </w:r>
          </w:p>
        </w:tc>
        <w:tc>
          <w:tcPr>
            <w:tcW w:w="0" w:type="auto"/>
            <w:tcBorders>
              <w:top w:val="nil"/>
              <w:left w:val="nil"/>
              <w:bottom w:val="single" w:sz="4" w:space="0" w:color="auto"/>
              <w:right w:val="single" w:sz="4" w:space="0" w:color="auto"/>
            </w:tcBorders>
            <w:shd w:val="clear" w:color="auto" w:fill="auto"/>
            <w:noWrap/>
            <w:vAlign w:val="bottom"/>
            <w:hideMark/>
          </w:tcPr>
          <w:p w14:paraId="67AC373D"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0.42</w:t>
            </w:r>
          </w:p>
        </w:tc>
        <w:tc>
          <w:tcPr>
            <w:tcW w:w="0" w:type="auto"/>
            <w:tcBorders>
              <w:top w:val="nil"/>
              <w:left w:val="nil"/>
              <w:bottom w:val="single" w:sz="4" w:space="0" w:color="auto"/>
              <w:right w:val="single" w:sz="4" w:space="0" w:color="auto"/>
            </w:tcBorders>
            <w:shd w:val="clear" w:color="auto" w:fill="auto"/>
            <w:noWrap/>
            <w:vAlign w:val="bottom"/>
            <w:hideMark/>
          </w:tcPr>
          <w:p w14:paraId="54D00B22"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0.20</w:t>
            </w:r>
          </w:p>
        </w:tc>
        <w:tc>
          <w:tcPr>
            <w:tcW w:w="0" w:type="auto"/>
            <w:tcBorders>
              <w:top w:val="nil"/>
              <w:left w:val="nil"/>
              <w:bottom w:val="single" w:sz="4" w:space="0" w:color="auto"/>
              <w:right w:val="single" w:sz="4" w:space="0" w:color="auto"/>
            </w:tcBorders>
            <w:shd w:val="clear" w:color="auto" w:fill="auto"/>
            <w:noWrap/>
            <w:vAlign w:val="bottom"/>
            <w:hideMark/>
          </w:tcPr>
          <w:p w14:paraId="4C47E760"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0.11</w:t>
            </w:r>
          </w:p>
        </w:tc>
        <w:tc>
          <w:tcPr>
            <w:tcW w:w="0" w:type="auto"/>
            <w:tcBorders>
              <w:top w:val="nil"/>
              <w:left w:val="nil"/>
              <w:bottom w:val="single" w:sz="4" w:space="0" w:color="auto"/>
              <w:right w:val="single" w:sz="4" w:space="0" w:color="auto"/>
            </w:tcBorders>
            <w:shd w:val="clear" w:color="auto" w:fill="auto"/>
            <w:noWrap/>
            <w:vAlign w:val="bottom"/>
            <w:hideMark/>
          </w:tcPr>
          <w:p w14:paraId="7D842769"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0.91</w:t>
            </w:r>
          </w:p>
        </w:tc>
      </w:tr>
      <w:tr w:rsidR="00DD4B3B" w:rsidRPr="00B92144" w14:paraId="53275F6F" w14:textId="77777777" w:rsidTr="008440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592F24" w14:textId="77777777" w:rsidR="00DD4B3B" w:rsidRPr="00B92144" w:rsidRDefault="00DD4B3B" w:rsidP="00822564">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BDFOREIGN</w:t>
            </w:r>
          </w:p>
        </w:tc>
        <w:tc>
          <w:tcPr>
            <w:tcW w:w="0" w:type="auto"/>
            <w:tcBorders>
              <w:top w:val="nil"/>
              <w:left w:val="nil"/>
              <w:bottom w:val="single" w:sz="4" w:space="0" w:color="auto"/>
              <w:right w:val="single" w:sz="4" w:space="0" w:color="auto"/>
            </w:tcBorders>
            <w:shd w:val="clear" w:color="auto" w:fill="auto"/>
            <w:noWrap/>
            <w:vAlign w:val="bottom"/>
            <w:hideMark/>
          </w:tcPr>
          <w:p w14:paraId="4B72791B"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0.31</w:t>
            </w:r>
          </w:p>
        </w:tc>
        <w:tc>
          <w:tcPr>
            <w:tcW w:w="0" w:type="auto"/>
            <w:tcBorders>
              <w:top w:val="nil"/>
              <w:left w:val="nil"/>
              <w:bottom w:val="single" w:sz="4" w:space="0" w:color="auto"/>
              <w:right w:val="single" w:sz="4" w:space="0" w:color="auto"/>
            </w:tcBorders>
            <w:shd w:val="clear" w:color="auto" w:fill="auto"/>
            <w:noWrap/>
            <w:vAlign w:val="bottom"/>
            <w:hideMark/>
          </w:tcPr>
          <w:p w14:paraId="019CD28F"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0.20</w:t>
            </w:r>
          </w:p>
        </w:tc>
        <w:tc>
          <w:tcPr>
            <w:tcW w:w="0" w:type="auto"/>
            <w:tcBorders>
              <w:top w:val="nil"/>
              <w:left w:val="nil"/>
              <w:bottom w:val="single" w:sz="4" w:space="0" w:color="auto"/>
              <w:right w:val="single" w:sz="4" w:space="0" w:color="auto"/>
            </w:tcBorders>
            <w:shd w:val="clear" w:color="auto" w:fill="auto"/>
            <w:noWrap/>
            <w:vAlign w:val="bottom"/>
            <w:hideMark/>
          </w:tcPr>
          <w:p w14:paraId="784671F1"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0.33</w:t>
            </w:r>
          </w:p>
        </w:tc>
        <w:tc>
          <w:tcPr>
            <w:tcW w:w="0" w:type="auto"/>
            <w:tcBorders>
              <w:top w:val="nil"/>
              <w:left w:val="nil"/>
              <w:bottom w:val="single" w:sz="4" w:space="0" w:color="auto"/>
              <w:right w:val="single" w:sz="4" w:space="0" w:color="auto"/>
            </w:tcBorders>
            <w:shd w:val="clear" w:color="auto" w:fill="auto"/>
            <w:noWrap/>
            <w:vAlign w:val="bottom"/>
            <w:hideMark/>
          </w:tcPr>
          <w:p w14:paraId="418E1B0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03AF6690"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7AFE4A52"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8762BD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0.41</w:t>
            </w:r>
          </w:p>
        </w:tc>
        <w:tc>
          <w:tcPr>
            <w:tcW w:w="0" w:type="auto"/>
            <w:tcBorders>
              <w:top w:val="nil"/>
              <w:left w:val="nil"/>
              <w:bottom w:val="single" w:sz="4" w:space="0" w:color="auto"/>
              <w:right w:val="single" w:sz="4" w:space="0" w:color="auto"/>
            </w:tcBorders>
            <w:shd w:val="clear" w:color="auto" w:fill="auto"/>
            <w:noWrap/>
            <w:vAlign w:val="bottom"/>
            <w:hideMark/>
          </w:tcPr>
          <w:p w14:paraId="387CC14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0.36</w:t>
            </w:r>
          </w:p>
        </w:tc>
        <w:tc>
          <w:tcPr>
            <w:tcW w:w="0" w:type="auto"/>
            <w:tcBorders>
              <w:top w:val="nil"/>
              <w:left w:val="nil"/>
              <w:bottom w:val="single" w:sz="4" w:space="0" w:color="auto"/>
              <w:right w:val="single" w:sz="4" w:space="0" w:color="auto"/>
            </w:tcBorders>
            <w:shd w:val="clear" w:color="auto" w:fill="auto"/>
            <w:noWrap/>
            <w:vAlign w:val="bottom"/>
            <w:hideMark/>
          </w:tcPr>
          <w:p w14:paraId="250FA96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0.37</w:t>
            </w:r>
          </w:p>
        </w:tc>
        <w:tc>
          <w:tcPr>
            <w:tcW w:w="0" w:type="auto"/>
            <w:tcBorders>
              <w:top w:val="nil"/>
              <w:left w:val="nil"/>
              <w:bottom w:val="single" w:sz="4" w:space="0" w:color="auto"/>
              <w:right w:val="single" w:sz="4" w:space="0" w:color="auto"/>
            </w:tcBorders>
            <w:shd w:val="clear" w:color="auto" w:fill="auto"/>
            <w:noWrap/>
            <w:vAlign w:val="bottom"/>
            <w:hideMark/>
          </w:tcPr>
          <w:p w14:paraId="64E2510B"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594C0C87"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558988B5"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84E76A7"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0.21</w:t>
            </w:r>
          </w:p>
        </w:tc>
        <w:tc>
          <w:tcPr>
            <w:tcW w:w="0" w:type="auto"/>
            <w:tcBorders>
              <w:top w:val="nil"/>
              <w:left w:val="nil"/>
              <w:bottom w:val="single" w:sz="4" w:space="0" w:color="auto"/>
              <w:right w:val="single" w:sz="4" w:space="0" w:color="auto"/>
            </w:tcBorders>
            <w:shd w:val="clear" w:color="auto" w:fill="auto"/>
            <w:noWrap/>
            <w:vAlign w:val="bottom"/>
            <w:hideMark/>
          </w:tcPr>
          <w:p w14:paraId="152A918E"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0.14</w:t>
            </w:r>
          </w:p>
        </w:tc>
        <w:tc>
          <w:tcPr>
            <w:tcW w:w="0" w:type="auto"/>
            <w:tcBorders>
              <w:top w:val="nil"/>
              <w:left w:val="nil"/>
              <w:bottom w:val="single" w:sz="4" w:space="0" w:color="auto"/>
              <w:right w:val="single" w:sz="4" w:space="0" w:color="auto"/>
            </w:tcBorders>
            <w:shd w:val="clear" w:color="auto" w:fill="auto"/>
            <w:noWrap/>
            <w:vAlign w:val="bottom"/>
            <w:hideMark/>
          </w:tcPr>
          <w:p w14:paraId="1D1EA07F"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0.24</w:t>
            </w:r>
          </w:p>
        </w:tc>
        <w:tc>
          <w:tcPr>
            <w:tcW w:w="0" w:type="auto"/>
            <w:tcBorders>
              <w:top w:val="nil"/>
              <w:left w:val="nil"/>
              <w:bottom w:val="single" w:sz="4" w:space="0" w:color="auto"/>
              <w:right w:val="single" w:sz="4" w:space="0" w:color="auto"/>
            </w:tcBorders>
            <w:shd w:val="clear" w:color="auto" w:fill="auto"/>
            <w:noWrap/>
            <w:vAlign w:val="bottom"/>
            <w:hideMark/>
          </w:tcPr>
          <w:p w14:paraId="3AFFEC8C"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07228A7C"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1.00</w:t>
            </w:r>
          </w:p>
        </w:tc>
      </w:tr>
      <w:tr w:rsidR="00DD4B3B" w:rsidRPr="00B92144" w14:paraId="2725D4E4" w14:textId="77777777" w:rsidTr="008440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CD2452" w14:textId="77777777" w:rsidR="00DD4B3B" w:rsidRPr="00B92144" w:rsidRDefault="00E03F18" w:rsidP="00822564">
            <w:pPr>
              <w:spacing w:after="0" w:line="240" w:lineRule="auto"/>
              <w:rPr>
                <w:rFonts w:asciiTheme="majorBidi" w:eastAsia="Times New Roman" w:hAnsiTheme="majorBidi" w:cstheme="majorBidi"/>
                <w:b/>
                <w:color w:val="000000"/>
                <w:sz w:val="16"/>
                <w:szCs w:val="16"/>
              </w:rPr>
            </w:pPr>
            <w:r w:rsidRPr="00B92144">
              <w:rPr>
                <w:rFonts w:asciiTheme="majorBidi" w:eastAsia="Times New Roman" w:hAnsiTheme="majorBidi" w:cstheme="majorBidi"/>
                <w:b/>
                <w:color w:val="000000"/>
                <w:sz w:val="16"/>
                <w:szCs w:val="16"/>
              </w:rPr>
              <w:t>TIER1</w:t>
            </w:r>
          </w:p>
        </w:tc>
        <w:tc>
          <w:tcPr>
            <w:tcW w:w="0" w:type="auto"/>
            <w:tcBorders>
              <w:top w:val="nil"/>
              <w:left w:val="nil"/>
              <w:bottom w:val="single" w:sz="4" w:space="0" w:color="auto"/>
              <w:right w:val="single" w:sz="4" w:space="0" w:color="auto"/>
            </w:tcBorders>
            <w:shd w:val="clear" w:color="auto" w:fill="auto"/>
            <w:noWrap/>
            <w:vAlign w:val="bottom"/>
            <w:hideMark/>
          </w:tcPr>
          <w:p w14:paraId="12F705BB"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3.03</w:t>
            </w:r>
          </w:p>
        </w:tc>
        <w:tc>
          <w:tcPr>
            <w:tcW w:w="0" w:type="auto"/>
            <w:tcBorders>
              <w:top w:val="nil"/>
              <w:left w:val="nil"/>
              <w:bottom w:val="single" w:sz="4" w:space="0" w:color="auto"/>
              <w:right w:val="single" w:sz="4" w:space="0" w:color="auto"/>
            </w:tcBorders>
            <w:shd w:val="clear" w:color="auto" w:fill="auto"/>
            <w:noWrap/>
            <w:vAlign w:val="bottom"/>
            <w:hideMark/>
          </w:tcPr>
          <w:p w14:paraId="29A3834C"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0.17</w:t>
            </w:r>
          </w:p>
        </w:tc>
        <w:tc>
          <w:tcPr>
            <w:tcW w:w="0" w:type="auto"/>
            <w:tcBorders>
              <w:top w:val="nil"/>
              <w:left w:val="nil"/>
              <w:bottom w:val="single" w:sz="4" w:space="0" w:color="auto"/>
              <w:right w:val="single" w:sz="4" w:space="0" w:color="auto"/>
            </w:tcBorders>
            <w:shd w:val="clear" w:color="auto" w:fill="auto"/>
            <w:noWrap/>
            <w:vAlign w:val="bottom"/>
            <w:hideMark/>
          </w:tcPr>
          <w:p w14:paraId="00F0B31C"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10.73</w:t>
            </w:r>
          </w:p>
        </w:tc>
        <w:tc>
          <w:tcPr>
            <w:tcW w:w="0" w:type="auto"/>
            <w:tcBorders>
              <w:top w:val="nil"/>
              <w:left w:val="nil"/>
              <w:bottom w:val="single" w:sz="4" w:space="0" w:color="auto"/>
              <w:right w:val="single" w:sz="4" w:space="0" w:color="auto"/>
            </w:tcBorders>
            <w:shd w:val="clear" w:color="auto" w:fill="auto"/>
            <w:noWrap/>
            <w:vAlign w:val="bottom"/>
            <w:hideMark/>
          </w:tcPr>
          <w:p w14:paraId="2D13EB00"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0.02</w:t>
            </w:r>
          </w:p>
        </w:tc>
        <w:tc>
          <w:tcPr>
            <w:tcW w:w="0" w:type="auto"/>
            <w:tcBorders>
              <w:top w:val="nil"/>
              <w:left w:val="nil"/>
              <w:bottom w:val="single" w:sz="4" w:space="0" w:color="auto"/>
              <w:right w:val="single" w:sz="4" w:space="0" w:color="auto"/>
            </w:tcBorders>
            <w:shd w:val="clear" w:color="auto" w:fill="auto"/>
            <w:noWrap/>
            <w:vAlign w:val="bottom"/>
            <w:hideMark/>
          </w:tcPr>
          <w:p w14:paraId="702B30D2"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83.00</w:t>
            </w:r>
          </w:p>
        </w:tc>
        <w:tc>
          <w:tcPr>
            <w:tcW w:w="0" w:type="auto"/>
            <w:tcBorders>
              <w:top w:val="nil"/>
              <w:left w:val="nil"/>
              <w:bottom w:val="single" w:sz="4" w:space="0" w:color="auto"/>
              <w:right w:val="single" w:sz="4" w:space="0" w:color="auto"/>
            </w:tcBorders>
            <w:shd w:val="clear" w:color="auto" w:fill="auto"/>
            <w:noWrap/>
            <w:vAlign w:val="bottom"/>
            <w:hideMark/>
          </w:tcPr>
          <w:p w14:paraId="43FCDB1E"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66EE2A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4.57</w:t>
            </w:r>
          </w:p>
        </w:tc>
        <w:tc>
          <w:tcPr>
            <w:tcW w:w="0" w:type="auto"/>
            <w:tcBorders>
              <w:top w:val="nil"/>
              <w:left w:val="nil"/>
              <w:bottom w:val="single" w:sz="4" w:space="0" w:color="auto"/>
              <w:right w:val="single" w:sz="4" w:space="0" w:color="auto"/>
            </w:tcBorders>
            <w:shd w:val="clear" w:color="auto" w:fill="auto"/>
            <w:noWrap/>
            <w:vAlign w:val="bottom"/>
            <w:hideMark/>
          </w:tcPr>
          <w:p w14:paraId="76F99820"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0.19</w:t>
            </w:r>
          </w:p>
        </w:tc>
        <w:tc>
          <w:tcPr>
            <w:tcW w:w="0" w:type="auto"/>
            <w:tcBorders>
              <w:top w:val="nil"/>
              <w:left w:val="nil"/>
              <w:bottom w:val="single" w:sz="4" w:space="0" w:color="auto"/>
              <w:right w:val="single" w:sz="4" w:space="0" w:color="auto"/>
            </w:tcBorders>
            <w:shd w:val="clear" w:color="auto" w:fill="auto"/>
            <w:noWrap/>
            <w:vAlign w:val="bottom"/>
            <w:hideMark/>
          </w:tcPr>
          <w:p w14:paraId="604DE8B4"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13.98</w:t>
            </w:r>
          </w:p>
        </w:tc>
        <w:tc>
          <w:tcPr>
            <w:tcW w:w="0" w:type="auto"/>
            <w:tcBorders>
              <w:top w:val="nil"/>
              <w:left w:val="nil"/>
              <w:bottom w:val="single" w:sz="4" w:space="0" w:color="auto"/>
              <w:right w:val="single" w:sz="4" w:space="0" w:color="auto"/>
            </w:tcBorders>
            <w:shd w:val="clear" w:color="auto" w:fill="auto"/>
            <w:noWrap/>
            <w:vAlign w:val="bottom"/>
            <w:hideMark/>
          </w:tcPr>
          <w:p w14:paraId="27E51C95"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0.09</w:t>
            </w:r>
          </w:p>
        </w:tc>
        <w:tc>
          <w:tcPr>
            <w:tcW w:w="0" w:type="auto"/>
            <w:tcBorders>
              <w:top w:val="nil"/>
              <w:left w:val="nil"/>
              <w:bottom w:val="single" w:sz="4" w:space="0" w:color="auto"/>
              <w:right w:val="single" w:sz="4" w:space="0" w:color="auto"/>
            </w:tcBorders>
            <w:shd w:val="clear" w:color="auto" w:fill="auto"/>
            <w:noWrap/>
            <w:vAlign w:val="bottom"/>
            <w:hideMark/>
          </w:tcPr>
          <w:p w14:paraId="1B8635C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83.00</w:t>
            </w:r>
          </w:p>
        </w:tc>
        <w:tc>
          <w:tcPr>
            <w:tcW w:w="0" w:type="auto"/>
            <w:tcBorders>
              <w:top w:val="nil"/>
              <w:left w:val="nil"/>
              <w:bottom w:val="single" w:sz="4" w:space="0" w:color="auto"/>
              <w:right w:val="single" w:sz="4" w:space="0" w:color="auto"/>
            </w:tcBorders>
            <w:shd w:val="clear" w:color="auto" w:fill="auto"/>
            <w:noWrap/>
            <w:vAlign w:val="bottom"/>
            <w:hideMark/>
          </w:tcPr>
          <w:p w14:paraId="06C9EF3C" w14:textId="77777777" w:rsidR="00DD4B3B" w:rsidRPr="00B92144" w:rsidRDefault="00DD4B3B" w:rsidP="00822564">
            <w:pPr>
              <w:spacing w:after="0" w:line="240" w:lineRule="auto"/>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BEB7F68"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14:paraId="64836B81"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0.16</w:t>
            </w:r>
          </w:p>
        </w:tc>
        <w:tc>
          <w:tcPr>
            <w:tcW w:w="0" w:type="auto"/>
            <w:tcBorders>
              <w:top w:val="nil"/>
              <w:left w:val="nil"/>
              <w:bottom w:val="single" w:sz="4" w:space="0" w:color="auto"/>
              <w:right w:val="single" w:sz="4" w:space="0" w:color="auto"/>
            </w:tcBorders>
            <w:shd w:val="clear" w:color="auto" w:fill="auto"/>
            <w:noWrap/>
            <w:vAlign w:val="bottom"/>
            <w:hideMark/>
          </w:tcPr>
          <w:p w14:paraId="20C032F2"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3.71</w:t>
            </w:r>
          </w:p>
        </w:tc>
        <w:tc>
          <w:tcPr>
            <w:tcW w:w="0" w:type="auto"/>
            <w:tcBorders>
              <w:top w:val="nil"/>
              <w:left w:val="nil"/>
              <w:bottom w:val="single" w:sz="4" w:space="0" w:color="auto"/>
              <w:right w:val="single" w:sz="4" w:space="0" w:color="auto"/>
            </w:tcBorders>
            <w:shd w:val="clear" w:color="auto" w:fill="auto"/>
            <w:noWrap/>
            <w:vAlign w:val="bottom"/>
            <w:hideMark/>
          </w:tcPr>
          <w:p w14:paraId="086F23CB"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0.02</w:t>
            </w:r>
          </w:p>
        </w:tc>
        <w:tc>
          <w:tcPr>
            <w:tcW w:w="0" w:type="auto"/>
            <w:tcBorders>
              <w:top w:val="nil"/>
              <w:left w:val="nil"/>
              <w:bottom w:val="single" w:sz="4" w:space="0" w:color="auto"/>
              <w:right w:val="single" w:sz="4" w:space="0" w:color="auto"/>
            </w:tcBorders>
            <w:shd w:val="clear" w:color="auto" w:fill="auto"/>
            <w:noWrap/>
            <w:vAlign w:val="bottom"/>
            <w:hideMark/>
          </w:tcPr>
          <w:p w14:paraId="2ABCC6DD" w14:textId="77777777" w:rsidR="00DD4B3B" w:rsidRPr="00B92144" w:rsidRDefault="00DD4B3B" w:rsidP="00822564">
            <w:pPr>
              <w:spacing w:after="0" w:line="240" w:lineRule="auto"/>
              <w:jc w:val="right"/>
              <w:rPr>
                <w:rFonts w:asciiTheme="majorBidi" w:eastAsia="Times New Roman" w:hAnsiTheme="majorBidi" w:cstheme="majorBidi"/>
                <w:color w:val="000000"/>
                <w:sz w:val="16"/>
                <w:szCs w:val="16"/>
              </w:rPr>
            </w:pPr>
            <w:r w:rsidRPr="00B92144">
              <w:rPr>
                <w:rFonts w:asciiTheme="majorBidi" w:eastAsia="Times New Roman" w:hAnsiTheme="majorBidi" w:cstheme="majorBidi"/>
                <w:color w:val="000000"/>
                <w:sz w:val="16"/>
                <w:szCs w:val="16"/>
              </w:rPr>
              <w:t>23.29</w:t>
            </w:r>
          </w:p>
        </w:tc>
      </w:tr>
    </w:tbl>
    <w:p w14:paraId="4C18B925" w14:textId="77777777" w:rsidR="00BD3D0A" w:rsidRPr="00B92144" w:rsidRDefault="00BD3D0A">
      <w:pPr>
        <w:rPr>
          <w:rFonts w:asciiTheme="majorBidi" w:hAnsiTheme="majorBidi" w:cstheme="majorBidi"/>
          <w:sz w:val="24"/>
          <w:szCs w:val="24"/>
        </w:rPr>
      </w:pPr>
      <w:r w:rsidRPr="00B92144">
        <w:rPr>
          <w:rFonts w:asciiTheme="majorBidi" w:hAnsiTheme="majorBidi" w:cstheme="majorBidi"/>
          <w:sz w:val="24"/>
          <w:szCs w:val="24"/>
        </w:rPr>
        <w:br w:type="page"/>
      </w:r>
    </w:p>
    <w:p w14:paraId="6B83ABA9" w14:textId="77777777" w:rsidR="008A6BE3" w:rsidRPr="00B92144" w:rsidRDefault="00822564" w:rsidP="00F65F01">
      <w:pPr>
        <w:rPr>
          <w:rFonts w:asciiTheme="majorBidi" w:hAnsiTheme="majorBidi" w:cstheme="majorBidi"/>
          <w:b/>
          <w:sz w:val="24"/>
          <w:szCs w:val="24"/>
        </w:rPr>
      </w:pPr>
      <w:r w:rsidRPr="00B92144">
        <w:rPr>
          <w:rFonts w:asciiTheme="majorBidi" w:hAnsiTheme="majorBidi" w:cstheme="majorBidi"/>
          <w:b/>
          <w:sz w:val="24"/>
          <w:szCs w:val="24"/>
        </w:rPr>
        <w:lastRenderedPageBreak/>
        <w:t>Table 5: Correlation matrix.</w:t>
      </w:r>
    </w:p>
    <w:tbl>
      <w:tblPr>
        <w:tblW w:w="11395" w:type="dxa"/>
        <w:tblInd w:w="-10" w:type="dxa"/>
        <w:tblLook w:val="04A0" w:firstRow="1" w:lastRow="0" w:firstColumn="1" w:lastColumn="0" w:noHBand="0" w:noVBand="1"/>
      </w:tblPr>
      <w:tblGrid>
        <w:gridCol w:w="1259"/>
        <w:gridCol w:w="811"/>
        <w:gridCol w:w="601"/>
        <w:gridCol w:w="839"/>
        <w:gridCol w:w="810"/>
        <w:gridCol w:w="810"/>
        <w:gridCol w:w="810"/>
        <w:gridCol w:w="810"/>
        <w:gridCol w:w="900"/>
        <w:gridCol w:w="741"/>
        <w:gridCol w:w="741"/>
        <w:gridCol w:w="678"/>
        <w:gridCol w:w="671"/>
        <w:gridCol w:w="531"/>
        <w:gridCol w:w="388"/>
      </w:tblGrid>
      <w:tr w:rsidR="00B32783" w:rsidRPr="00B92144" w14:paraId="05F43AC3" w14:textId="77777777" w:rsidTr="00B32783">
        <w:trPr>
          <w:trHeight w:val="1000"/>
        </w:trPr>
        <w:tc>
          <w:tcPr>
            <w:tcW w:w="1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7B22E3"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811"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8F6079A"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RRD</w:t>
            </w:r>
          </w:p>
        </w:tc>
        <w:tc>
          <w:tcPr>
            <w:tcW w:w="601"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18E6E12"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ROA</w:t>
            </w:r>
          </w:p>
        </w:tc>
        <w:tc>
          <w:tcPr>
            <w:tcW w:w="839"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0217B2F"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LIST</w:t>
            </w:r>
          </w:p>
        </w:tc>
        <w:tc>
          <w:tcPr>
            <w:tcW w:w="81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F7FA153"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BANKSIZE</w:t>
            </w:r>
          </w:p>
        </w:tc>
        <w:tc>
          <w:tcPr>
            <w:tcW w:w="81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E5CD288"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BKAGE</w:t>
            </w:r>
          </w:p>
        </w:tc>
        <w:tc>
          <w:tcPr>
            <w:tcW w:w="81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0A057C08"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LEVERAGE</w:t>
            </w:r>
          </w:p>
        </w:tc>
        <w:tc>
          <w:tcPr>
            <w:tcW w:w="81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0F740378" w14:textId="77777777" w:rsidR="00B32783" w:rsidRPr="00B92144" w:rsidRDefault="00B32783" w:rsidP="00B32783">
            <w:pPr>
              <w:spacing w:after="0" w:line="240" w:lineRule="auto"/>
              <w:rPr>
                <w:rFonts w:asciiTheme="majorBidi" w:eastAsia="Times New Roman" w:hAnsiTheme="majorBidi" w:cstheme="majorBidi"/>
                <w:color w:val="000000"/>
                <w:sz w:val="12"/>
                <w:szCs w:val="12"/>
              </w:rPr>
            </w:pPr>
            <w:r w:rsidRPr="00B92144">
              <w:rPr>
                <w:rFonts w:asciiTheme="majorBidi" w:eastAsia="Times New Roman" w:hAnsiTheme="majorBidi" w:cstheme="majorBidi"/>
                <w:color w:val="000000"/>
                <w:sz w:val="12"/>
                <w:szCs w:val="12"/>
              </w:rPr>
              <w:t>COUTRANSDEX</w:t>
            </w:r>
          </w:p>
        </w:tc>
        <w:tc>
          <w:tcPr>
            <w:tcW w:w="9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0B5CDC9"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BLOCK</w:t>
            </w:r>
          </w:p>
        </w:tc>
        <w:tc>
          <w:tcPr>
            <w:tcW w:w="741"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09A484E5"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FOREIGN</w:t>
            </w:r>
          </w:p>
        </w:tc>
        <w:tc>
          <w:tcPr>
            <w:tcW w:w="741"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078AF5D3"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BDSIZE</w:t>
            </w:r>
          </w:p>
        </w:tc>
        <w:tc>
          <w:tcPr>
            <w:tcW w:w="678" w:type="dxa"/>
            <w:tcBorders>
              <w:top w:val="single" w:sz="8" w:space="0" w:color="auto"/>
              <w:left w:val="nil"/>
              <w:bottom w:val="single" w:sz="8" w:space="0" w:color="auto"/>
              <w:right w:val="single" w:sz="8" w:space="0" w:color="auto"/>
            </w:tcBorders>
            <w:shd w:val="clear" w:color="auto" w:fill="auto"/>
            <w:textDirection w:val="btLr"/>
            <w:vAlign w:val="center"/>
            <w:hideMark/>
          </w:tcPr>
          <w:p w14:paraId="79054EB4"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lang w:val="fr-FR"/>
              </w:rPr>
              <w:t>BDIND</w:t>
            </w:r>
          </w:p>
        </w:tc>
        <w:tc>
          <w:tcPr>
            <w:tcW w:w="671"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BA9524A"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BDFOREIGN</w:t>
            </w:r>
          </w:p>
        </w:tc>
        <w:tc>
          <w:tcPr>
            <w:tcW w:w="531"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09C6C750"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GDP GROWTH</w:t>
            </w:r>
          </w:p>
        </w:tc>
        <w:tc>
          <w:tcPr>
            <w:tcW w:w="383"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29D90727"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TIER1</w:t>
            </w:r>
          </w:p>
        </w:tc>
      </w:tr>
      <w:tr w:rsidR="00B32783" w:rsidRPr="00B92144" w14:paraId="21FBC07E" w14:textId="77777777" w:rsidTr="00B32783">
        <w:trPr>
          <w:trHeight w:val="300"/>
        </w:trPr>
        <w:tc>
          <w:tcPr>
            <w:tcW w:w="1259" w:type="dxa"/>
            <w:tcBorders>
              <w:top w:val="nil"/>
              <w:left w:val="single" w:sz="8" w:space="0" w:color="auto"/>
              <w:bottom w:val="single" w:sz="8" w:space="0" w:color="auto"/>
              <w:right w:val="single" w:sz="8" w:space="0" w:color="auto"/>
            </w:tcBorders>
            <w:shd w:val="clear" w:color="auto" w:fill="auto"/>
            <w:noWrap/>
            <w:vAlign w:val="center"/>
            <w:hideMark/>
          </w:tcPr>
          <w:p w14:paraId="057F0B48"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RRD</w:t>
            </w:r>
          </w:p>
        </w:tc>
        <w:tc>
          <w:tcPr>
            <w:tcW w:w="811" w:type="dxa"/>
            <w:tcBorders>
              <w:top w:val="nil"/>
              <w:left w:val="nil"/>
              <w:bottom w:val="single" w:sz="8" w:space="0" w:color="auto"/>
              <w:right w:val="single" w:sz="8" w:space="0" w:color="auto"/>
            </w:tcBorders>
            <w:shd w:val="clear" w:color="auto" w:fill="auto"/>
            <w:noWrap/>
            <w:vAlign w:val="center"/>
            <w:hideMark/>
          </w:tcPr>
          <w:p w14:paraId="75E084B9"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1</w:t>
            </w:r>
          </w:p>
        </w:tc>
        <w:tc>
          <w:tcPr>
            <w:tcW w:w="601" w:type="dxa"/>
            <w:tcBorders>
              <w:top w:val="nil"/>
              <w:left w:val="nil"/>
              <w:bottom w:val="single" w:sz="8" w:space="0" w:color="auto"/>
              <w:right w:val="single" w:sz="8" w:space="0" w:color="auto"/>
            </w:tcBorders>
            <w:shd w:val="clear" w:color="auto" w:fill="auto"/>
            <w:noWrap/>
            <w:vAlign w:val="center"/>
            <w:hideMark/>
          </w:tcPr>
          <w:p w14:paraId="4150968E"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839" w:type="dxa"/>
            <w:tcBorders>
              <w:top w:val="nil"/>
              <w:left w:val="nil"/>
              <w:bottom w:val="single" w:sz="8" w:space="0" w:color="auto"/>
              <w:right w:val="single" w:sz="8" w:space="0" w:color="auto"/>
            </w:tcBorders>
            <w:shd w:val="clear" w:color="auto" w:fill="auto"/>
            <w:noWrap/>
            <w:vAlign w:val="center"/>
            <w:hideMark/>
          </w:tcPr>
          <w:p w14:paraId="4BACAE69"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810" w:type="dxa"/>
            <w:tcBorders>
              <w:top w:val="nil"/>
              <w:left w:val="nil"/>
              <w:bottom w:val="single" w:sz="8" w:space="0" w:color="auto"/>
              <w:right w:val="single" w:sz="8" w:space="0" w:color="auto"/>
            </w:tcBorders>
            <w:shd w:val="clear" w:color="auto" w:fill="auto"/>
            <w:noWrap/>
            <w:vAlign w:val="center"/>
            <w:hideMark/>
          </w:tcPr>
          <w:p w14:paraId="3AABD068"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810" w:type="dxa"/>
            <w:tcBorders>
              <w:top w:val="nil"/>
              <w:left w:val="nil"/>
              <w:bottom w:val="single" w:sz="8" w:space="0" w:color="auto"/>
              <w:right w:val="single" w:sz="8" w:space="0" w:color="auto"/>
            </w:tcBorders>
            <w:shd w:val="clear" w:color="auto" w:fill="auto"/>
            <w:noWrap/>
            <w:vAlign w:val="center"/>
            <w:hideMark/>
          </w:tcPr>
          <w:p w14:paraId="6C66EC96"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810" w:type="dxa"/>
            <w:tcBorders>
              <w:top w:val="nil"/>
              <w:left w:val="nil"/>
              <w:bottom w:val="single" w:sz="8" w:space="0" w:color="auto"/>
              <w:right w:val="single" w:sz="8" w:space="0" w:color="auto"/>
            </w:tcBorders>
            <w:shd w:val="clear" w:color="auto" w:fill="auto"/>
            <w:noWrap/>
            <w:vAlign w:val="center"/>
            <w:hideMark/>
          </w:tcPr>
          <w:p w14:paraId="438F2948"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810" w:type="dxa"/>
            <w:tcBorders>
              <w:top w:val="nil"/>
              <w:left w:val="nil"/>
              <w:bottom w:val="single" w:sz="8" w:space="0" w:color="auto"/>
              <w:right w:val="single" w:sz="8" w:space="0" w:color="auto"/>
            </w:tcBorders>
            <w:shd w:val="clear" w:color="auto" w:fill="auto"/>
            <w:noWrap/>
            <w:vAlign w:val="center"/>
            <w:hideMark/>
          </w:tcPr>
          <w:p w14:paraId="662F937C"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900" w:type="dxa"/>
            <w:tcBorders>
              <w:top w:val="nil"/>
              <w:left w:val="nil"/>
              <w:bottom w:val="single" w:sz="8" w:space="0" w:color="auto"/>
              <w:right w:val="single" w:sz="8" w:space="0" w:color="auto"/>
            </w:tcBorders>
            <w:shd w:val="clear" w:color="auto" w:fill="auto"/>
            <w:noWrap/>
            <w:vAlign w:val="center"/>
            <w:hideMark/>
          </w:tcPr>
          <w:p w14:paraId="4A39DE34"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741" w:type="dxa"/>
            <w:tcBorders>
              <w:top w:val="nil"/>
              <w:left w:val="nil"/>
              <w:bottom w:val="single" w:sz="8" w:space="0" w:color="auto"/>
              <w:right w:val="single" w:sz="8" w:space="0" w:color="auto"/>
            </w:tcBorders>
            <w:shd w:val="clear" w:color="auto" w:fill="auto"/>
            <w:noWrap/>
            <w:vAlign w:val="center"/>
            <w:hideMark/>
          </w:tcPr>
          <w:p w14:paraId="290E48C9"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741" w:type="dxa"/>
            <w:tcBorders>
              <w:top w:val="nil"/>
              <w:left w:val="nil"/>
              <w:bottom w:val="single" w:sz="8" w:space="0" w:color="auto"/>
              <w:right w:val="single" w:sz="8" w:space="0" w:color="auto"/>
            </w:tcBorders>
            <w:shd w:val="clear" w:color="auto" w:fill="auto"/>
            <w:noWrap/>
            <w:vAlign w:val="center"/>
            <w:hideMark/>
          </w:tcPr>
          <w:p w14:paraId="240AFCF8"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8" w:type="dxa"/>
            <w:tcBorders>
              <w:top w:val="nil"/>
              <w:left w:val="nil"/>
              <w:bottom w:val="single" w:sz="8" w:space="0" w:color="auto"/>
              <w:right w:val="single" w:sz="8" w:space="0" w:color="auto"/>
            </w:tcBorders>
            <w:shd w:val="clear" w:color="auto" w:fill="auto"/>
            <w:noWrap/>
            <w:vAlign w:val="center"/>
            <w:hideMark/>
          </w:tcPr>
          <w:p w14:paraId="5497878A"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1" w:type="dxa"/>
            <w:tcBorders>
              <w:top w:val="nil"/>
              <w:left w:val="nil"/>
              <w:bottom w:val="single" w:sz="8" w:space="0" w:color="auto"/>
              <w:right w:val="single" w:sz="8" w:space="0" w:color="auto"/>
            </w:tcBorders>
            <w:shd w:val="clear" w:color="auto" w:fill="auto"/>
            <w:noWrap/>
            <w:vAlign w:val="center"/>
            <w:hideMark/>
          </w:tcPr>
          <w:p w14:paraId="5437A3FB"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531" w:type="dxa"/>
            <w:tcBorders>
              <w:top w:val="nil"/>
              <w:left w:val="nil"/>
              <w:bottom w:val="single" w:sz="8" w:space="0" w:color="auto"/>
              <w:right w:val="single" w:sz="8" w:space="0" w:color="auto"/>
            </w:tcBorders>
            <w:shd w:val="clear" w:color="auto" w:fill="auto"/>
            <w:noWrap/>
            <w:vAlign w:val="center"/>
            <w:hideMark/>
          </w:tcPr>
          <w:p w14:paraId="759AAEC5"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383" w:type="dxa"/>
            <w:tcBorders>
              <w:top w:val="nil"/>
              <w:left w:val="nil"/>
              <w:bottom w:val="single" w:sz="8" w:space="0" w:color="auto"/>
              <w:right w:val="single" w:sz="8" w:space="0" w:color="auto"/>
            </w:tcBorders>
            <w:shd w:val="clear" w:color="auto" w:fill="auto"/>
            <w:noWrap/>
            <w:vAlign w:val="center"/>
            <w:hideMark/>
          </w:tcPr>
          <w:p w14:paraId="4A2FAC8F"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r>
      <w:tr w:rsidR="00B32783" w:rsidRPr="00B92144" w14:paraId="63B546CA" w14:textId="77777777" w:rsidTr="00B32783">
        <w:trPr>
          <w:trHeight w:val="300"/>
        </w:trPr>
        <w:tc>
          <w:tcPr>
            <w:tcW w:w="1259" w:type="dxa"/>
            <w:tcBorders>
              <w:top w:val="nil"/>
              <w:left w:val="single" w:sz="8" w:space="0" w:color="auto"/>
              <w:bottom w:val="single" w:sz="8" w:space="0" w:color="auto"/>
              <w:right w:val="single" w:sz="8" w:space="0" w:color="auto"/>
            </w:tcBorders>
            <w:shd w:val="clear" w:color="auto" w:fill="auto"/>
            <w:noWrap/>
            <w:vAlign w:val="center"/>
            <w:hideMark/>
          </w:tcPr>
          <w:p w14:paraId="521473BF"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ROA</w:t>
            </w:r>
          </w:p>
        </w:tc>
        <w:tc>
          <w:tcPr>
            <w:tcW w:w="811" w:type="dxa"/>
            <w:tcBorders>
              <w:top w:val="nil"/>
              <w:left w:val="nil"/>
              <w:bottom w:val="single" w:sz="8" w:space="0" w:color="auto"/>
              <w:right w:val="single" w:sz="8" w:space="0" w:color="auto"/>
            </w:tcBorders>
            <w:shd w:val="clear" w:color="auto" w:fill="auto"/>
            <w:noWrap/>
            <w:vAlign w:val="center"/>
            <w:hideMark/>
          </w:tcPr>
          <w:p w14:paraId="75A93549"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-0.049</w:t>
            </w:r>
          </w:p>
        </w:tc>
        <w:tc>
          <w:tcPr>
            <w:tcW w:w="601" w:type="dxa"/>
            <w:tcBorders>
              <w:top w:val="nil"/>
              <w:left w:val="nil"/>
              <w:bottom w:val="single" w:sz="8" w:space="0" w:color="auto"/>
              <w:right w:val="single" w:sz="8" w:space="0" w:color="auto"/>
            </w:tcBorders>
            <w:shd w:val="clear" w:color="auto" w:fill="auto"/>
            <w:noWrap/>
            <w:vAlign w:val="center"/>
            <w:hideMark/>
          </w:tcPr>
          <w:p w14:paraId="776E159F"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1</w:t>
            </w:r>
          </w:p>
        </w:tc>
        <w:tc>
          <w:tcPr>
            <w:tcW w:w="839" w:type="dxa"/>
            <w:tcBorders>
              <w:top w:val="nil"/>
              <w:left w:val="nil"/>
              <w:bottom w:val="single" w:sz="8" w:space="0" w:color="auto"/>
              <w:right w:val="single" w:sz="8" w:space="0" w:color="auto"/>
            </w:tcBorders>
            <w:shd w:val="clear" w:color="auto" w:fill="auto"/>
            <w:noWrap/>
            <w:vAlign w:val="center"/>
            <w:hideMark/>
          </w:tcPr>
          <w:p w14:paraId="55406860"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810" w:type="dxa"/>
            <w:tcBorders>
              <w:top w:val="nil"/>
              <w:left w:val="nil"/>
              <w:bottom w:val="single" w:sz="8" w:space="0" w:color="auto"/>
              <w:right w:val="single" w:sz="8" w:space="0" w:color="auto"/>
            </w:tcBorders>
            <w:shd w:val="clear" w:color="auto" w:fill="auto"/>
            <w:noWrap/>
            <w:vAlign w:val="center"/>
            <w:hideMark/>
          </w:tcPr>
          <w:p w14:paraId="22F10F35"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810" w:type="dxa"/>
            <w:tcBorders>
              <w:top w:val="nil"/>
              <w:left w:val="nil"/>
              <w:bottom w:val="single" w:sz="8" w:space="0" w:color="auto"/>
              <w:right w:val="single" w:sz="8" w:space="0" w:color="auto"/>
            </w:tcBorders>
            <w:shd w:val="clear" w:color="auto" w:fill="auto"/>
            <w:noWrap/>
            <w:vAlign w:val="center"/>
            <w:hideMark/>
          </w:tcPr>
          <w:p w14:paraId="14E1200D"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810" w:type="dxa"/>
            <w:tcBorders>
              <w:top w:val="nil"/>
              <w:left w:val="nil"/>
              <w:bottom w:val="single" w:sz="8" w:space="0" w:color="auto"/>
              <w:right w:val="single" w:sz="8" w:space="0" w:color="auto"/>
            </w:tcBorders>
            <w:shd w:val="clear" w:color="auto" w:fill="auto"/>
            <w:noWrap/>
            <w:vAlign w:val="center"/>
            <w:hideMark/>
          </w:tcPr>
          <w:p w14:paraId="1B974441"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810" w:type="dxa"/>
            <w:tcBorders>
              <w:top w:val="nil"/>
              <w:left w:val="nil"/>
              <w:bottom w:val="single" w:sz="8" w:space="0" w:color="auto"/>
              <w:right w:val="single" w:sz="8" w:space="0" w:color="auto"/>
            </w:tcBorders>
            <w:shd w:val="clear" w:color="auto" w:fill="auto"/>
            <w:noWrap/>
            <w:vAlign w:val="center"/>
            <w:hideMark/>
          </w:tcPr>
          <w:p w14:paraId="15222791"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900" w:type="dxa"/>
            <w:tcBorders>
              <w:top w:val="nil"/>
              <w:left w:val="nil"/>
              <w:bottom w:val="single" w:sz="8" w:space="0" w:color="auto"/>
              <w:right w:val="single" w:sz="8" w:space="0" w:color="auto"/>
            </w:tcBorders>
            <w:shd w:val="clear" w:color="auto" w:fill="auto"/>
            <w:noWrap/>
            <w:vAlign w:val="center"/>
            <w:hideMark/>
          </w:tcPr>
          <w:p w14:paraId="5A5490C2"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741" w:type="dxa"/>
            <w:tcBorders>
              <w:top w:val="nil"/>
              <w:left w:val="nil"/>
              <w:bottom w:val="single" w:sz="8" w:space="0" w:color="auto"/>
              <w:right w:val="single" w:sz="8" w:space="0" w:color="auto"/>
            </w:tcBorders>
            <w:shd w:val="clear" w:color="auto" w:fill="auto"/>
            <w:noWrap/>
            <w:vAlign w:val="center"/>
            <w:hideMark/>
          </w:tcPr>
          <w:p w14:paraId="79424D52"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741" w:type="dxa"/>
            <w:tcBorders>
              <w:top w:val="nil"/>
              <w:left w:val="nil"/>
              <w:bottom w:val="single" w:sz="8" w:space="0" w:color="auto"/>
              <w:right w:val="single" w:sz="8" w:space="0" w:color="auto"/>
            </w:tcBorders>
            <w:shd w:val="clear" w:color="auto" w:fill="auto"/>
            <w:noWrap/>
            <w:vAlign w:val="center"/>
            <w:hideMark/>
          </w:tcPr>
          <w:p w14:paraId="7F9D43BD"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8" w:type="dxa"/>
            <w:tcBorders>
              <w:top w:val="nil"/>
              <w:left w:val="nil"/>
              <w:bottom w:val="single" w:sz="8" w:space="0" w:color="auto"/>
              <w:right w:val="single" w:sz="8" w:space="0" w:color="auto"/>
            </w:tcBorders>
            <w:shd w:val="clear" w:color="auto" w:fill="auto"/>
            <w:noWrap/>
            <w:vAlign w:val="center"/>
            <w:hideMark/>
          </w:tcPr>
          <w:p w14:paraId="4F3C9ABA"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1" w:type="dxa"/>
            <w:tcBorders>
              <w:top w:val="nil"/>
              <w:left w:val="nil"/>
              <w:bottom w:val="single" w:sz="8" w:space="0" w:color="auto"/>
              <w:right w:val="single" w:sz="8" w:space="0" w:color="auto"/>
            </w:tcBorders>
            <w:shd w:val="clear" w:color="auto" w:fill="auto"/>
            <w:noWrap/>
            <w:vAlign w:val="center"/>
            <w:hideMark/>
          </w:tcPr>
          <w:p w14:paraId="6308AF27"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531" w:type="dxa"/>
            <w:tcBorders>
              <w:top w:val="nil"/>
              <w:left w:val="nil"/>
              <w:bottom w:val="single" w:sz="8" w:space="0" w:color="auto"/>
              <w:right w:val="single" w:sz="8" w:space="0" w:color="auto"/>
            </w:tcBorders>
            <w:shd w:val="clear" w:color="auto" w:fill="auto"/>
            <w:noWrap/>
            <w:vAlign w:val="center"/>
            <w:hideMark/>
          </w:tcPr>
          <w:p w14:paraId="5F346659"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383" w:type="dxa"/>
            <w:tcBorders>
              <w:top w:val="nil"/>
              <w:left w:val="nil"/>
              <w:bottom w:val="single" w:sz="8" w:space="0" w:color="auto"/>
              <w:right w:val="single" w:sz="8" w:space="0" w:color="auto"/>
            </w:tcBorders>
            <w:shd w:val="clear" w:color="auto" w:fill="auto"/>
            <w:noWrap/>
            <w:vAlign w:val="center"/>
            <w:hideMark/>
          </w:tcPr>
          <w:p w14:paraId="784755D8"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r>
      <w:tr w:rsidR="00B32783" w:rsidRPr="00B92144" w14:paraId="717D16A3" w14:textId="77777777" w:rsidTr="00B32783">
        <w:trPr>
          <w:trHeight w:val="300"/>
        </w:trPr>
        <w:tc>
          <w:tcPr>
            <w:tcW w:w="1259" w:type="dxa"/>
            <w:tcBorders>
              <w:top w:val="nil"/>
              <w:left w:val="single" w:sz="8" w:space="0" w:color="auto"/>
              <w:bottom w:val="single" w:sz="8" w:space="0" w:color="auto"/>
              <w:right w:val="single" w:sz="8" w:space="0" w:color="auto"/>
            </w:tcBorders>
            <w:shd w:val="clear" w:color="auto" w:fill="auto"/>
            <w:noWrap/>
            <w:vAlign w:val="center"/>
            <w:hideMark/>
          </w:tcPr>
          <w:p w14:paraId="3C698F05"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LIST</w:t>
            </w:r>
          </w:p>
        </w:tc>
        <w:tc>
          <w:tcPr>
            <w:tcW w:w="811" w:type="dxa"/>
            <w:tcBorders>
              <w:top w:val="nil"/>
              <w:left w:val="nil"/>
              <w:bottom w:val="single" w:sz="8" w:space="0" w:color="auto"/>
              <w:right w:val="single" w:sz="8" w:space="0" w:color="auto"/>
            </w:tcBorders>
            <w:shd w:val="clear" w:color="auto" w:fill="auto"/>
            <w:noWrap/>
            <w:vAlign w:val="center"/>
            <w:hideMark/>
          </w:tcPr>
          <w:p w14:paraId="38A09247"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0.02</w:t>
            </w:r>
          </w:p>
        </w:tc>
        <w:tc>
          <w:tcPr>
            <w:tcW w:w="601" w:type="dxa"/>
            <w:tcBorders>
              <w:top w:val="nil"/>
              <w:left w:val="nil"/>
              <w:bottom w:val="single" w:sz="8" w:space="0" w:color="auto"/>
              <w:right w:val="single" w:sz="8" w:space="0" w:color="auto"/>
            </w:tcBorders>
            <w:shd w:val="clear" w:color="auto" w:fill="auto"/>
            <w:noWrap/>
            <w:vAlign w:val="center"/>
            <w:hideMark/>
          </w:tcPr>
          <w:p w14:paraId="03187102"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0.048</w:t>
            </w:r>
          </w:p>
        </w:tc>
        <w:tc>
          <w:tcPr>
            <w:tcW w:w="839" w:type="dxa"/>
            <w:tcBorders>
              <w:top w:val="nil"/>
              <w:left w:val="nil"/>
              <w:bottom w:val="single" w:sz="8" w:space="0" w:color="auto"/>
              <w:right w:val="single" w:sz="8" w:space="0" w:color="auto"/>
            </w:tcBorders>
            <w:shd w:val="clear" w:color="auto" w:fill="auto"/>
            <w:noWrap/>
            <w:vAlign w:val="center"/>
            <w:hideMark/>
          </w:tcPr>
          <w:p w14:paraId="5BB40A94"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1</w:t>
            </w:r>
          </w:p>
        </w:tc>
        <w:tc>
          <w:tcPr>
            <w:tcW w:w="810" w:type="dxa"/>
            <w:tcBorders>
              <w:top w:val="nil"/>
              <w:left w:val="nil"/>
              <w:bottom w:val="single" w:sz="8" w:space="0" w:color="auto"/>
              <w:right w:val="single" w:sz="8" w:space="0" w:color="auto"/>
            </w:tcBorders>
            <w:shd w:val="clear" w:color="auto" w:fill="auto"/>
            <w:noWrap/>
            <w:vAlign w:val="center"/>
            <w:hideMark/>
          </w:tcPr>
          <w:p w14:paraId="2506BA18"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810" w:type="dxa"/>
            <w:tcBorders>
              <w:top w:val="nil"/>
              <w:left w:val="nil"/>
              <w:bottom w:val="single" w:sz="8" w:space="0" w:color="auto"/>
              <w:right w:val="single" w:sz="8" w:space="0" w:color="auto"/>
            </w:tcBorders>
            <w:shd w:val="clear" w:color="auto" w:fill="auto"/>
            <w:noWrap/>
            <w:vAlign w:val="center"/>
            <w:hideMark/>
          </w:tcPr>
          <w:p w14:paraId="0E1DEB89"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810" w:type="dxa"/>
            <w:tcBorders>
              <w:top w:val="nil"/>
              <w:left w:val="nil"/>
              <w:bottom w:val="single" w:sz="8" w:space="0" w:color="auto"/>
              <w:right w:val="single" w:sz="8" w:space="0" w:color="auto"/>
            </w:tcBorders>
            <w:shd w:val="clear" w:color="auto" w:fill="auto"/>
            <w:noWrap/>
            <w:vAlign w:val="center"/>
            <w:hideMark/>
          </w:tcPr>
          <w:p w14:paraId="2CE19ED1"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810" w:type="dxa"/>
            <w:tcBorders>
              <w:top w:val="nil"/>
              <w:left w:val="nil"/>
              <w:bottom w:val="single" w:sz="8" w:space="0" w:color="auto"/>
              <w:right w:val="single" w:sz="8" w:space="0" w:color="auto"/>
            </w:tcBorders>
            <w:shd w:val="clear" w:color="auto" w:fill="auto"/>
            <w:noWrap/>
            <w:vAlign w:val="center"/>
            <w:hideMark/>
          </w:tcPr>
          <w:p w14:paraId="66968CAB"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900" w:type="dxa"/>
            <w:tcBorders>
              <w:top w:val="nil"/>
              <w:left w:val="nil"/>
              <w:bottom w:val="single" w:sz="8" w:space="0" w:color="auto"/>
              <w:right w:val="single" w:sz="8" w:space="0" w:color="auto"/>
            </w:tcBorders>
            <w:shd w:val="clear" w:color="auto" w:fill="auto"/>
            <w:noWrap/>
            <w:vAlign w:val="center"/>
            <w:hideMark/>
          </w:tcPr>
          <w:p w14:paraId="389F66AB"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741" w:type="dxa"/>
            <w:tcBorders>
              <w:top w:val="nil"/>
              <w:left w:val="nil"/>
              <w:bottom w:val="single" w:sz="8" w:space="0" w:color="auto"/>
              <w:right w:val="single" w:sz="8" w:space="0" w:color="auto"/>
            </w:tcBorders>
            <w:shd w:val="clear" w:color="auto" w:fill="auto"/>
            <w:noWrap/>
            <w:vAlign w:val="center"/>
            <w:hideMark/>
          </w:tcPr>
          <w:p w14:paraId="56329333"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741" w:type="dxa"/>
            <w:tcBorders>
              <w:top w:val="nil"/>
              <w:left w:val="nil"/>
              <w:bottom w:val="single" w:sz="8" w:space="0" w:color="auto"/>
              <w:right w:val="single" w:sz="8" w:space="0" w:color="auto"/>
            </w:tcBorders>
            <w:shd w:val="clear" w:color="auto" w:fill="auto"/>
            <w:noWrap/>
            <w:vAlign w:val="center"/>
            <w:hideMark/>
          </w:tcPr>
          <w:p w14:paraId="6D45E6A3"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8" w:type="dxa"/>
            <w:tcBorders>
              <w:top w:val="nil"/>
              <w:left w:val="nil"/>
              <w:bottom w:val="single" w:sz="8" w:space="0" w:color="auto"/>
              <w:right w:val="single" w:sz="8" w:space="0" w:color="auto"/>
            </w:tcBorders>
            <w:shd w:val="clear" w:color="auto" w:fill="auto"/>
            <w:noWrap/>
            <w:vAlign w:val="center"/>
            <w:hideMark/>
          </w:tcPr>
          <w:p w14:paraId="2DADF6A0"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1" w:type="dxa"/>
            <w:tcBorders>
              <w:top w:val="nil"/>
              <w:left w:val="nil"/>
              <w:bottom w:val="single" w:sz="8" w:space="0" w:color="auto"/>
              <w:right w:val="single" w:sz="8" w:space="0" w:color="auto"/>
            </w:tcBorders>
            <w:shd w:val="clear" w:color="auto" w:fill="auto"/>
            <w:noWrap/>
            <w:vAlign w:val="center"/>
            <w:hideMark/>
          </w:tcPr>
          <w:p w14:paraId="05DB11E6"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531" w:type="dxa"/>
            <w:tcBorders>
              <w:top w:val="nil"/>
              <w:left w:val="nil"/>
              <w:bottom w:val="single" w:sz="8" w:space="0" w:color="auto"/>
              <w:right w:val="single" w:sz="8" w:space="0" w:color="auto"/>
            </w:tcBorders>
            <w:shd w:val="clear" w:color="auto" w:fill="auto"/>
            <w:noWrap/>
            <w:vAlign w:val="center"/>
            <w:hideMark/>
          </w:tcPr>
          <w:p w14:paraId="404A59C1"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383" w:type="dxa"/>
            <w:tcBorders>
              <w:top w:val="nil"/>
              <w:left w:val="nil"/>
              <w:bottom w:val="single" w:sz="8" w:space="0" w:color="auto"/>
              <w:right w:val="single" w:sz="8" w:space="0" w:color="auto"/>
            </w:tcBorders>
            <w:shd w:val="clear" w:color="auto" w:fill="auto"/>
            <w:noWrap/>
            <w:vAlign w:val="center"/>
            <w:hideMark/>
          </w:tcPr>
          <w:p w14:paraId="7F62199A"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r>
      <w:tr w:rsidR="00B32783" w:rsidRPr="00B92144" w14:paraId="05A44B7A" w14:textId="77777777" w:rsidTr="00B32783">
        <w:trPr>
          <w:trHeight w:val="300"/>
        </w:trPr>
        <w:tc>
          <w:tcPr>
            <w:tcW w:w="1259" w:type="dxa"/>
            <w:tcBorders>
              <w:top w:val="nil"/>
              <w:left w:val="single" w:sz="8" w:space="0" w:color="auto"/>
              <w:bottom w:val="single" w:sz="8" w:space="0" w:color="auto"/>
              <w:right w:val="single" w:sz="8" w:space="0" w:color="auto"/>
            </w:tcBorders>
            <w:shd w:val="clear" w:color="auto" w:fill="auto"/>
            <w:noWrap/>
            <w:vAlign w:val="center"/>
            <w:hideMark/>
          </w:tcPr>
          <w:p w14:paraId="66DA686B"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BANKSIZE</w:t>
            </w:r>
          </w:p>
        </w:tc>
        <w:tc>
          <w:tcPr>
            <w:tcW w:w="811" w:type="dxa"/>
            <w:tcBorders>
              <w:top w:val="nil"/>
              <w:left w:val="nil"/>
              <w:bottom w:val="single" w:sz="8" w:space="0" w:color="auto"/>
              <w:right w:val="single" w:sz="8" w:space="0" w:color="auto"/>
            </w:tcBorders>
            <w:shd w:val="clear" w:color="auto" w:fill="auto"/>
            <w:noWrap/>
            <w:vAlign w:val="center"/>
            <w:hideMark/>
          </w:tcPr>
          <w:p w14:paraId="63E4BECA"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-0.080*</w:t>
            </w:r>
          </w:p>
        </w:tc>
        <w:tc>
          <w:tcPr>
            <w:tcW w:w="601" w:type="dxa"/>
            <w:tcBorders>
              <w:top w:val="nil"/>
              <w:left w:val="nil"/>
              <w:bottom w:val="single" w:sz="8" w:space="0" w:color="auto"/>
              <w:right w:val="single" w:sz="8" w:space="0" w:color="auto"/>
            </w:tcBorders>
            <w:shd w:val="clear" w:color="auto" w:fill="auto"/>
            <w:noWrap/>
            <w:vAlign w:val="center"/>
            <w:hideMark/>
          </w:tcPr>
          <w:p w14:paraId="59783721"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-0.014</w:t>
            </w:r>
          </w:p>
        </w:tc>
        <w:tc>
          <w:tcPr>
            <w:tcW w:w="839" w:type="dxa"/>
            <w:tcBorders>
              <w:top w:val="nil"/>
              <w:left w:val="nil"/>
              <w:bottom w:val="single" w:sz="8" w:space="0" w:color="auto"/>
              <w:right w:val="single" w:sz="8" w:space="0" w:color="auto"/>
            </w:tcBorders>
            <w:shd w:val="clear" w:color="auto" w:fill="auto"/>
            <w:noWrap/>
            <w:vAlign w:val="center"/>
            <w:hideMark/>
          </w:tcPr>
          <w:p w14:paraId="73E7CE78"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-0.076*</w:t>
            </w:r>
          </w:p>
        </w:tc>
        <w:tc>
          <w:tcPr>
            <w:tcW w:w="810" w:type="dxa"/>
            <w:tcBorders>
              <w:top w:val="nil"/>
              <w:left w:val="nil"/>
              <w:bottom w:val="single" w:sz="8" w:space="0" w:color="auto"/>
              <w:right w:val="single" w:sz="8" w:space="0" w:color="auto"/>
            </w:tcBorders>
            <w:shd w:val="clear" w:color="auto" w:fill="auto"/>
            <w:noWrap/>
            <w:vAlign w:val="center"/>
            <w:hideMark/>
          </w:tcPr>
          <w:p w14:paraId="1EE8B780"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1</w:t>
            </w:r>
          </w:p>
        </w:tc>
        <w:tc>
          <w:tcPr>
            <w:tcW w:w="810" w:type="dxa"/>
            <w:tcBorders>
              <w:top w:val="nil"/>
              <w:left w:val="nil"/>
              <w:bottom w:val="single" w:sz="8" w:space="0" w:color="auto"/>
              <w:right w:val="single" w:sz="8" w:space="0" w:color="auto"/>
            </w:tcBorders>
            <w:shd w:val="clear" w:color="auto" w:fill="auto"/>
            <w:noWrap/>
            <w:vAlign w:val="center"/>
            <w:hideMark/>
          </w:tcPr>
          <w:p w14:paraId="60D45E2C"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810" w:type="dxa"/>
            <w:tcBorders>
              <w:top w:val="nil"/>
              <w:left w:val="nil"/>
              <w:bottom w:val="single" w:sz="8" w:space="0" w:color="auto"/>
              <w:right w:val="single" w:sz="8" w:space="0" w:color="auto"/>
            </w:tcBorders>
            <w:shd w:val="clear" w:color="auto" w:fill="auto"/>
            <w:noWrap/>
            <w:vAlign w:val="center"/>
            <w:hideMark/>
          </w:tcPr>
          <w:p w14:paraId="4E2DB26C"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810" w:type="dxa"/>
            <w:tcBorders>
              <w:top w:val="nil"/>
              <w:left w:val="nil"/>
              <w:bottom w:val="single" w:sz="8" w:space="0" w:color="auto"/>
              <w:right w:val="single" w:sz="8" w:space="0" w:color="auto"/>
            </w:tcBorders>
            <w:shd w:val="clear" w:color="auto" w:fill="auto"/>
            <w:noWrap/>
            <w:vAlign w:val="center"/>
            <w:hideMark/>
          </w:tcPr>
          <w:p w14:paraId="4A22BD6A"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900" w:type="dxa"/>
            <w:tcBorders>
              <w:top w:val="nil"/>
              <w:left w:val="nil"/>
              <w:bottom w:val="single" w:sz="8" w:space="0" w:color="auto"/>
              <w:right w:val="single" w:sz="8" w:space="0" w:color="auto"/>
            </w:tcBorders>
            <w:shd w:val="clear" w:color="auto" w:fill="auto"/>
            <w:noWrap/>
            <w:vAlign w:val="center"/>
            <w:hideMark/>
          </w:tcPr>
          <w:p w14:paraId="31C95FBA"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741" w:type="dxa"/>
            <w:tcBorders>
              <w:top w:val="nil"/>
              <w:left w:val="nil"/>
              <w:bottom w:val="single" w:sz="8" w:space="0" w:color="auto"/>
              <w:right w:val="single" w:sz="8" w:space="0" w:color="auto"/>
            </w:tcBorders>
            <w:shd w:val="clear" w:color="auto" w:fill="auto"/>
            <w:noWrap/>
            <w:vAlign w:val="center"/>
            <w:hideMark/>
          </w:tcPr>
          <w:p w14:paraId="156A42B5"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741" w:type="dxa"/>
            <w:tcBorders>
              <w:top w:val="nil"/>
              <w:left w:val="nil"/>
              <w:bottom w:val="single" w:sz="8" w:space="0" w:color="auto"/>
              <w:right w:val="single" w:sz="8" w:space="0" w:color="auto"/>
            </w:tcBorders>
            <w:shd w:val="clear" w:color="auto" w:fill="auto"/>
            <w:noWrap/>
            <w:vAlign w:val="center"/>
            <w:hideMark/>
          </w:tcPr>
          <w:p w14:paraId="288DCEF4"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8" w:type="dxa"/>
            <w:tcBorders>
              <w:top w:val="nil"/>
              <w:left w:val="nil"/>
              <w:bottom w:val="single" w:sz="8" w:space="0" w:color="auto"/>
              <w:right w:val="single" w:sz="8" w:space="0" w:color="auto"/>
            </w:tcBorders>
            <w:shd w:val="clear" w:color="auto" w:fill="auto"/>
            <w:noWrap/>
            <w:vAlign w:val="center"/>
            <w:hideMark/>
          </w:tcPr>
          <w:p w14:paraId="63493F21"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1" w:type="dxa"/>
            <w:tcBorders>
              <w:top w:val="nil"/>
              <w:left w:val="nil"/>
              <w:bottom w:val="single" w:sz="8" w:space="0" w:color="auto"/>
              <w:right w:val="single" w:sz="8" w:space="0" w:color="auto"/>
            </w:tcBorders>
            <w:shd w:val="clear" w:color="auto" w:fill="auto"/>
            <w:noWrap/>
            <w:vAlign w:val="center"/>
            <w:hideMark/>
          </w:tcPr>
          <w:p w14:paraId="0C07C2B0"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531" w:type="dxa"/>
            <w:tcBorders>
              <w:top w:val="nil"/>
              <w:left w:val="nil"/>
              <w:bottom w:val="single" w:sz="8" w:space="0" w:color="auto"/>
              <w:right w:val="single" w:sz="8" w:space="0" w:color="auto"/>
            </w:tcBorders>
            <w:shd w:val="clear" w:color="auto" w:fill="auto"/>
            <w:noWrap/>
            <w:vAlign w:val="center"/>
            <w:hideMark/>
          </w:tcPr>
          <w:p w14:paraId="20C48A6B"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383" w:type="dxa"/>
            <w:tcBorders>
              <w:top w:val="nil"/>
              <w:left w:val="nil"/>
              <w:bottom w:val="single" w:sz="8" w:space="0" w:color="auto"/>
              <w:right w:val="single" w:sz="8" w:space="0" w:color="auto"/>
            </w:tcBorders>
            <w:shd w:val="clear" w:color="auto" w:fill="auto"/>
            <w:noWrap/>
            <w:vAlign w:val="center"/>
            <w:hideMark/>
          </w:tcPr>
          <w:p w14:paraId="2EFEF25B"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r>
      <w:tr w:rsidR="00B32783" w:rsidRPr="00B92144" w14:paraId="79E5B7CD" w14:textId="77777777" w:rsidTr="00B32783">
        <w:trPr>
          <w:trHeight w:val="300"/>
        </w:trPr>
        <w:tc>
          <w:tcPr>
            <w:tcW w:w="1259" w:type="dxa"/>
            <w:tcBorders>
              <w:top w:val="nil"/>
              <w:left w:val="single" w:sz="8" w:space="0" w:color="auto"/>
              <w:bottom w:val="single" w:sz="8" w:space="0" w:color="auto"/>
              <w:right w:val="single" w:sz="8" w:space="0" w:color="auto"/>
            </w:tcBorders>
            <w:shd w:val="clear" w:color="auto" w:fill="auto"/>
            <w:noWrap/>
            <w:vAlign w:val="center"/>
            <w:hideMark/>
          </w:tcPr>
          <w:p w14:paraId="0AF04690"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BKAGE</w:t>
            </w:r>
          </w:p>
        </w:tc>
        <w:tc>
          <w:tcPr>
            <w:tcW w:w="811" w:type="dxa"/>
            <w:tcBorders>
              <w:top w:val="nil"/>
              <w:left w:val="nil"/>
              <w:bottom w:val="single" w:sz="8" w:space="0" w:color="auto"/>
              <w:right w:val="single" w:sz="8" w:space="0" w:color="auto"/>
            </w:tcBorders>
            <w:shd w:val="clear" w:color="auto" w:fill="auto"/>
            <w:noWrap/>
            <w:vAlign w:val="center"/>
            <w:hideMark/>
          </w:tcPr>
          <w:p w14:paraId="3ECFC17A"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0.110***</w:t>
            </w:r>
          </w:p>
        </w:tc>
        <w:tc>
          <w:tcPr>
            <w:tcW w:w="601" w:type="dxa"/>
            <w:tcBorders>
              <w:top w:val="nil"/>
              <w:left w:val="nil"/>
              <w:bottom w:val="single" w:sz="8" w:space="0" w:color="auto"/>
              <w:right w:val="single" w:sz="8" w:space="0" w:color="auto"/>
            </w:tcBorders>
            <w:shd w:val="clear" w:color="auto" w:fill="auto"/>
            <w:noWrap/>
            <w:vAlign w:val="center"/>
            <w:hideMark/>
          </w:tcPr>
          <w:p w14:paraId="433E43E1"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0.018</w:t>
            </w:r>
          </w:p>
        </w:tc>
        <w:tc>
          <w:tcPr>
            <w:tcW w:w="839" w:type="dxa"/>
            <w:tcBorders>
              <w:top w:val="nil"/>
              <w:left w:val="nil"/>
              <w:bottom w:val="single" w:sz="8" w:space="0" w:color="auto"/>
              <w:right w:val="single" w:sz="8" w:space="0" w:color="auto"/>
            </w:tcBorders>
            <w:shd w:val="clear" w:color="auto" w:fill="auto"/>
            <w:noWrap/>
            <w:vAlign w:val="center"/>
            <w:hideMark/>
          </w:tcPr>
          <w:p w14:paraId="46BEF16B"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0.085**</w:t>
            </w:r>
          </w:p>
        </w:tc>
        <w:tc>
          <w:tcPr>
            <w:tcW w:w="810" w:type="dxa"/>
            <w:tcBorders>
              <w:top w:val="nil"/>
              <w:left w:val="nil"/>
              <w:bottom w:val="single" w:sz="8" w:space="0" w:color="auto"/>
              <w:right w:val="single" w:sz="8" w:space="0" w:color="auto"/>
            </w:tcBorders>
            <w:shd w:val="clear" w:color="auto" w:fill="auto"/>
            <w:noWrap/>
            <w:vAlign w:val="center"/>
            <w:hideMark/>
          </w:tcPr>
          <w:p w14:paraId="2640782E"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0.016</w:t>
            </w:r>
          </w:p>
        </w:tc>
        <w:tc>
          <w:tcPr>
            <w:tcW w:w="810" w:type="dxa"/>
            <w:tcBorders>
              <w:top w:val="nil"/>
              <w:left w:val="nil"/>
              <w:bottom w:val="single" w:sz="8" w:space="0" w:color="auto"/>
              <w:right w:val="single" w:sz="8" w:space="0" w:color="auto"/>
            </w:tcBorders>
            <w:shd w:val="clear" w:color="auto" w:fill="auto"/>
            <w:noWrap/>
            <w:vAlign w:val="center"/>
            <w:hideMark/>
          </w:tcPr>
          <w:p w14:paraId="124F3C2E"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1</w:t>
            </w:r>
          </w:p>
        </w:tc>
        <w:tc>
          <w:tcPr>
            <w:tcW w:w="810" w:type="dxa"/>
            <w:tcBorders>
              <w:top w:val="nil"/>
              <w:left w:val="nil"/>
              <w:bottom w:val="single" w:sz="8" w:space="0" w:color="auto"/>
              <w:right w:val="single" w:sz="8" w:space="0" w:color="auto"/>
            </w:tcBorders>
            <w:shd w:val="clear" w:color="auto" w:fill="auto"/>
            <w:noWrap/>
            <w:vAlign w:val="center"/>
            <w:hideMark/>
          </w:tcPr>
          <w:p w14:paraId="04C45E6C"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810" w:type="dxa"/>
            <w:tcBorders>
              <w:top w:val="nil"/>
              <w:left w:val="nil"/>
              <w:bottom w:val="single" w:sz="8" w:space="0" w:color="auto"/>
              <w:right w:val="single" w:sz="8" w:space="0" w:color="auto"/>
            </w:tcBorders>
            <w:shd w:val="clear" w:color="auto" w:fill="auto"/>
            <w:noWrap/>
            <w:vAlign w:val="center"/>
            <w:hideMark/>
          </w:tcPr>
          <w:p w14:paraId="7C670110"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900" w:type="dxa"/>
            <w:tcBorders>
              <w:top w:val="nil"/>
              <w:left w:val="nil"/>
              <w:bottom w:val="single" w:sz="8" w:space="0" w:color="auto"/>
              <w:right w:val="single" w:sz="8" w:space="0" w:color="auto"/>
            </w:tcBorders>
            <w:shd w:val="clear" w:color="auto" w:fill="auto"/>
            <w:noWrap/>
            <w:vAlign w:val="center"/>
            <w:hideMark/>
          </w:tcPr>
          <w:p w14:paraId="16A0CCFC"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741" w:type="dxa"/>
            <w:tcBorders>
              <w:top w:val="nil"/>
              <w:left w:val="nil"/>
              <w:bottom w:val="single" w:sz="8" w:space="0" w:color="auto"/>
              <w:right w:val="single" w:sz="8" w:space="0" w:color="auto"/>
            </w:tcBorders>
            <w:shd w:val="clear" w:color="auto" w:fill="auto"/>
            <w:noWrap/>
            <w:vAlign w:val="center"/>
            <w:hideMark/>
          </w:tcPr>
          <w:p w14:paraId="31E490ED"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741" w:type="dxa"/>
            <w:tcBorders>
              <w:top w:val="nil"/>
              <w:left w:val="nil"/>
              <w:bottom w:val="single" w:sz="8" w:space="0" w:color="auto"/>
              <w:right w:val="single" w:sz="8" w:space="0" w:color="auto"/>
            </w:tcBorders>
            <w:shd w:val="clear" w:color="auto" w:fill="auto"/>
            <w:noWrap/>
            <w:vAlign w:val="center"/>
            <w:hideMark/>
          </w:tcPr>
          <w:p w14:paraId="2898A279"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8" w:type="dxa"/>
            <w:tcBorders>
              <w:top w:val="nil"/>
              <w:left w:val="nil"/>
              <w:bottom w:val="single" w:sz="8" w:space="0" w:color="auto"/>
              <w:right w:val="single" w:sz="8" w:space="0" w:color="auto"/>
            </w:tcBorders>
            <w:shd w:val="clear" w:color="auto" w:fill="auto"/>
            <w:noWrap/>
            <w:vAlign w:val="center"/>
            <w:hideMark/>
          </w:tcPr>
          <w:p w14:paraId="029DD5A6"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1" w:type="dxa"/>
            <w:tcBorders>
              <w:top w:val="nil"/>
              <w:left w:val="nil"/>
              <w:bottom w:val="single" w:sz="8" w:space="0" w:color="auto"/>
              <w:right w:val="single" w:sz="8" w:space="0" w:color="auto"/>
            </w:tcBorders>
            <w:shd w:val="clear" w:color="auto" w:fill="auto"/>
            <w:noWrap/>
            <w:vAlign w:val="center"/>
            <w:hideMark/>
          </w:tcPr>
          <w:p w14:paraId="7C1A0509"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531" w:type="dxa"/>
            <w:tcBorders>
              <w:top w:val="nil"/>
              <w:left w:val="nil"/>
              <w:bottom w:val="single" w:sz="8" w:space="0" w:color="auto"/>
              <w:right w:val="single" w:sz="8" w:space="0" w:color="auto"/>
            </w:tcBorders>
            <w:shd w:val="clear" w:color="auto" w:fill="auto"/>
            <w:noWrap/>
            <w:vAlign w:val="center"/>
            <w:hideMark/>
          </w:tcPr>
          <w:p w14:paraId="0D403245"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383" w:type="dxa"/>
            <w:tcBorders>
              <w:top w:val="nil"/>
              <w:left w:val="nil"/>
              <w:bottom w:val="single" w:sz="8" w:space="0" w:color="auto"/>
              <w:right w:val="single" w:sz="8" w:space="0" w:color="auto"/>
            </w:tcBorders>
            <w:shd w:val="clear" w:color="auto" w:fill="auto"/>
            <w:noWrap/>
            <w:vAlign w:val="center"/>
            <w:hideMark/>
          </w:tcPr>
          <w:p w14:paraId="72D53F2E"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r>
      <w:tr w:rsidR="00B32783" w:rsidRPr="00B92144" w14:paraId="4324DBCC" w14:textId="77777777" w:rsidTr="00B32783">
        <w:trPr>
          <w:trHeight w:val="300"/>
        </w:trPr>
        <w:tc>
          <w:tcPr>
            <w:tcW w:w="1259" w:type="dxa"/>
            <w:tcBorders>
              <w:top w:val="nil"/>
              <w:left w:val="single" w:sz="8" w:space="0" w:color="auto"/>
              <w:bottom w:val="single" w:sz="8" w:space="0" w:color="auto"/>
              <w:right w:val="single" w:sz="8" w:space="0" w:color="auto"/>
            </w:tcBorders>
            <w:shd w:val="clear" w:color="auto" w:fill="auto"/>
            <w:noWrap/>
            <w:vAlign w:val="center"/>
            <w:hideMark/>
          </w:tcPr>
          <w:p w14:paraId="7CC9297B"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LEVERAGE</w:t>
            </w:r>
          </w:p>
        </w:tc>
        <w:tc>
          <w:tcPr>
            <w:tcW w:w="811" w:type="dxa"/>
            <w:tcBorders>
              <w:top w:val="nil"/>
              <w:left w:val="nil"/>
              <w:bottom w:val="single" w:sz="8" w:space="0" w:color="auto"/>
              <w:right w:val="single" w:sz="8" w:space="0" w:color="auto"/>
            </w:tcBorders>
            <w:shd w:val="clear" w:color="auto" w:fill="auto"/>
            <w:noWrap/>
            <w:vAlign w:val="center"/>
            <w:hideMark/>
          </w:tcPr>
          <w:p w14:paraId="4C49572F"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0.098**</w:t>
            </w:r>
          </w:p>
        </w:tc>
        <w:tc>
          <w:tcPr>
            <w:tcW w:w="601" w:type="dxa"/>
            <w:tcBorders>
              <w:top w:val="nil"/>
              <w:left w:val="nil"/>
              <w:bottom w:val="single" w:sz="8" w:space="0" w:color="auto"/>
              <w:right w:val="single" w:sz="8" w:space="0" w:color="auto"/>
            </w:tcBorders>
            <w:shd w:val="clear" w:color="auto" w:fill="auto"/>
            <w:noWrap/>
            <w:vAlign w:val="center"/>
            <w:hideMark/>
          </w:tcPr>
          <w:p w14:paraId="34A27786"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0.055</w:t>
            </w:r>
          </w:p>
        </w:tc>
        <w:tc>
          <w:tcPr>
            <w:tcW w:w="839" w:type="dxa"/>
            <w:tcBorders>
              <w:top w:val="nil"/>
              <w:left w:val="nil"/>
              <w:bottom w:val="single" w:sz="8" w:space="0" w:color="auto"/>
              <w:right w:val="single" w:sz="8" w:space="0" w:color="auto"/>
            </w:tcBorders>
            <w:shd w:val="clear" w:color="auto" w:fill="auto"/>
            <w:noWrap/>
            <w:vAlign w:val="center"/>
            <w:hideMark/>
          </w:tcPr>
          <w:p w14:paraId="57D0142A"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0.278***</w:t>
            </w:r>
          </w:p>
        </w:tc>
        <w:tc>
          <w:tcPr>
            <w:tcW w:w="810" w:type="dxa"/>
            <w:tcBorders>
              <w:top w:val="nil"/>
              <w:left w:val="nil"/>
              <w:bottom w:val="single" w:sz="8" w:space="0" w:color="auto"/>
              <w:right w:val="single" w:sz="8" w:space="0" w:color="auto"/>
            </w:tcBorders>
            <w:shd w:val="clear" w:color="auto" w:fill="auto"/>
            <w:noWrap/>
            <w:vAlign w:val="center"/>
            <w:hideMark/>
          </w:tcPr>
          <w:p w14:paraId="64A269D8"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-0.069</w:t>
            </w:r>
          </w:p>
        </w:tc>
        <w:tc>
          <w:tcPr>
            <w:tcW w:w="810" w:type="dxa"/>
            <w:tcBorders>
              <w:top w:val="nil"/>
              <w:left w:val="nil"/>
              <w:bottom w:val="single" w:sz="8" w:space="0" w:color="auto"/>
              <w:right w:val="single" w:sz="8" w:space="0" w:color="auto"/>
            </w:tcBorders>
            <w:shd w:val="clear" w:color="auto" w:fill="auto"/>
            <w:noWrap/>
            <w:vAlign w:val="center"/>
            <w:hideMark/>
          </w:tcPr>
          <w:p w14:paraId="45C37476"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0.003</w:t>
            </w:r>
          </w:p>
        </w:tc>
        <w:tc>
          <w:tcPr>
            <w:tcW w:w="810" w:type="dxa"/>
            <w:tcBorders>
              <w:top w:val="nil"/>
              <w:left w:val="nil"/>
              <w:bottom w:val="single" w:sz="8" w:space="0" w:color="auto"/>
              <w:right w:val="single" w:sz="8" w:space="0" w:color="auto"/>
            </w:tcBorders>
            <w:shd w:val="clear" w:color="auto" w:fill="auto"/>
            <w:noWrap/>
            <w:vAlign w:val="center"/>
            <w:hideMark/>
          </w:tcPr>
          <w:p w14:paraId="7657A968"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1</w:t>
            </w:r>
          </w:p>
        </w:tc>
        <w:tc>
          <w:tcPr>
            <w:tcW w:w="810" w:type="dxa"/>
            <w:tcBorders>
              <w:top w:val="nil"/>
              <w:left w:val="nil"/>
              <w:bottom w:val="single" w:sz="8" w:space="0" w:color="auto"/>
              <w:right w:val="single" w:sz="8" w:space="0" w:color="auto"/>
            </w:tcBorders>
            <w:shd w:val="clear" w:color="auto" w:fill="auto"/>
            <w:noWrap/>
            <w:vAlign w:val="center"/>
            <w:hideMark/>
          </w:tcPr>
          <w:p w14:paraId="1C0AF31E"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900" w:type="dxa"/>
            <w:tcBorders>
              <w:top w:val="nil"/>
              <w:left w:val="nil"/>
              <w:bottom w:val="single" w:sz="8" w:space="0" w:color="auto"/>
              <w:right w:val="single" w:sz="8" w:space="0" w:color="auto"/>
            </w:tcBorders>
            <w:shd w:val="clear" w:color="auto" w:fill="auto"/>
            <w:noWrap/>
            <w:vAlign w:val="center"/>
            <w:hideMark/>
          </w:tcPr>
          <w:p w14:paraId="6B1D94F2"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741" w:type="dxa"/>
            <w:tcBorders>
              <w:top w:val="nil"/>
              <w:left w:val="nil"/>
              <w:bottom w:val="single" w:sz="8" w:space="0" w:color="auto"/>
              <w:right w:val="single" w:sz="8" w:space="0" w:color="auto"/>
            </w:tcBorders>
            <w:shd w:val="clear" w:color="auto" w:fill="auto"/>
            <w:noWrap/>
            <w:vAlign w:val="center"/>
            <w:hideMark/>
          </w:tcPr>
          <w:p w14:paraId="68E7F9F4"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741" w:type="dxa"/>
            <w:tcBorders>
              <w:top w:val="nil"/>
              <w:left w:val="nil"/>
              <w:bottom w:val="single" w:sz="8" w:space="0" w:color="auto"/>
              <w:right w:val="single" w:sz="8" w:space="0" w:color="auto"/>
            </w:tcBorders>
            <w:shd w:val="clear" w:color="auto" w:fill="auto"/>
            <w:noWrap/>
            <w:vAlign w:val="center"/>
            <w:hideMark/>
          </w:tcPr>
          <w:p w14:paraId="266CF12A"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8" w:type="dxa"/>
            <w:tcBorders>
              <w:top w:val="nil"/>
              <w:left w:val="nil"/>
              <w:bottom w:val="single" w:sz="8" w:space="0" w:color="auto"/>
              <w:right w:val="single" w:sz="8" w:space="0" w:color="auto"/>
            </w:tcBorders>
            <w:shd w:val="clear" w:color="auto" w:fill="auto"/>
            <w:noWrap/>
            <w:vAlign w:val="center"/>
            <w:hideMark/>
          </w:tcPr>
          <w:p w14:paraId="3C6CA4D6"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1" w:type="dxa"/>
            <w:tcBorders>
              <w:top w:val="nil"/>
              <w:left w:val="nil"/>
              <w:bottom w:val="single" w:sz="8" w:space="0" w:color="auto"/>
              <w:right w:val="single" w:sz="8" w:space="0" w:color="auto"/>
            </w:tcBorders>
            <w:shd w:val="clear" w:color="auto" w:fill="auto"/>
            <w:noWrap/>
            <w:vAlign w:val="center"/>
            <w:hideMark/>
          </w:tcPr>
          <w:p w14:paraId="2EFC71A5"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531" w:type="dxa"/>
            <w:tcBorders>
              <w:top w:val="nil"/>
              <w:left w:val="nil"/>
              <w:bottom w:val="single" w:sz="8" w:space="0" w:color="auto"/>
              <w:right w:val="single" w:sz="8" w:space="0" w:color="auto"/>
            </w:tcBorders>
            <w:shd w:val="clear" w:color="auto" w:fill="auto"/>
            <w:noWrap/>
            <w:vAlign w:val="center"/>
            <w:hideMark/>
          </w:tcPr>
          <w:p w14:paraId="25A0A0DB"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383" w:type="dxa"/>
            <w:tcBorders>
              <w:top w:val="nil"/>
              <w:left w:val="nil"/>
              <w:bottom w:val="single" w:sz="8" w:space="0" w:color="auto"/>
              <w:right w:val="single" w:sz="8" w:space="0" w:color="auto"/>
            </w:tcBorders>
            <w:shd w:val="clear" w:color="auto" w:fill="auto"/>
            <w:noWrap/>
            <w:vAlign w:val="center"/>
            <w:hideMark/>
          </w:tcPr>
          <w:p w14:paraId="1E47CA33"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r>
      <w:tr w:rsidR="00B32783" w:rsidRPr="00B92144" w14:paraId="181D91FE" w14:textId="77777777" w:rsidTr="00B32783">
        <w:trPr>
          <w:trHeight w:val="300"/>
        </w:trPr>
        <w:tc>
          <w:tcPr>
            <w:tcW w:w="1259" w:type="dxa"/>
            <w:tcBorders>
              <w:top w:val="nil"/>
              <w:left w:val="single" w:sz="8" w:space="0" w:color="auto"/>
              <w:bottom w:val="single" w:sz="8" w:space="0" w:color="auto"/>
              <w:right w:val="single" w:sz="8" w:space="0" w:color="auto"/>
            </w:tcBorders>
            <w:shd w:val="clear" w:color="auto" w:fill="auto"/>
            <w:noWrap/>
            <w:vAlign w:val="center"/>
            <w:hideMark/>
          </w:tcPr>
          <w:p w14:paraId="7810EFB5"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COUTRANSDEX</w:t>
            </w:r>
          </w:p>
        </w:tc>
        <w:tc>
          <w:tcPr>
            <w:tcW w:w="811" w:type="dxa"/>
            <w:tcBorders>
              <w:top w:val="nil"/>
              <w:left w:val="nil"/>
              <w:bottom w:val="single" w:sz="8" w:space="0" w:color="auto"/>
              <w:right w:val="single" w:sz="8" w:space="0" w:color="auto"/>
            </w:tcBorders>
            <w:shd w:val="clear" w:color="auto" w:fill="auto"/>
            <w:noWrap/>
            <w:vAlign w:val="center"/>
            <w:hideMark/>
          </w:tcPr>
          <w:p w14:paraId="3CC8E159"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0.349***</w:t>
            </w:r>
          </w:p>
        </w:tc>
        <w:tc>
          <w:tcPr>
            <w:tcW w:w="601" w:type="dxa"/>
            <w:tcBorders>
              <w:top w:val="nil"/>
              <w:left w:val="nil"/>
              <w:bottom w:val="single" w:sz="8" w:space="0" w:color="auto"/>
              <w:right w:val="single" w:sz="8" w:space="0" w:color="auto"/>
            </w:tcBorders>
            <w:shd w:val="clear" w:color="auto" w:fill="auto"/>
            <w:noWrap/>
            <w:vAlign w:val="center"/>
            <w:hideMark/>
          </w:tcPr>
          <w:p w14:paraId="0179F112"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-0.03</w:t>
            </w:r>
          </w:p>
        </w:tc>
        <w:tc>
          <w:tcPr>
            <w:tcW w:w="839" w:type="dxa"/>
            <w:tcBorders>
              <w:top w:val="nil"/>
              <w:left w:val="nil"/>
              <w:bottom w:val="single" w:sz="8" w:space="0" w:color="auto"/>
              <w:right w:val="single" w:sz="8" w:space="0" w:color="auto"/>
            </w:tcBorders>
            <w:shd w:val="clear" w:color="auto" w:fill="auto"/>
            <w:noWrap/>
            <w:vAlign w:val="center"/>
            <w:hideMark/>
          </w:tcPr>
          <w:p w14:paraId="3E21FBEF"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-0.335***</w:t>
            </w:r>
          </w:p>
        </w:tc>
        <w:tc>
          <w:tcPr>
            <w:tcW w:w="810" w:type="dxa"/>
            <w:tcBorders>
              <w:top w:val="nil"/>
              <w:left w:val="nil"/>
              <w:bottom w:val="single" w:sz="8" w:space="0" w:color="auto"/>
              <w:right w:val="single" w:sz="8" w:space="0" w:color="auto"/>
            </w:tcBorders>
            <w:shd w:val="clear" w:color="auto" w:fill="auto"/>
            <w:noWrap/>
            <w:vAlign w:val="center"/>
            <w:hideMark/>
          </w:tcPr>
          <w:p w14:paraId="38CAC2BD"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-0.081*</w:t>
            </w:r>
          </w:p>
        </w:tc>
        <w:tc>
          <w:tcPr>
            <w:tcW w:w="810" w:type="dxa"/>
            <w:tcBorders>
              <w:top w:val="nil"/>
              <w:left w:val="nil"/>
              <w:bottom w:val="single" w:sz="8" w:space="0" w:color="auto"/>
              <w:right w:val="single" w:sz="8" w:space="0" w:color="auto"/>
            </w:tcBorders>
            <w:shd w:val="clear" w:color="auto" w:fill="auto"/>
            <w:noWrap/>
            <w:vAlign w:val="center"/>
            <w:hideMark/>
          </w:tcPr>
          <w:p w14:paraId="559D9377"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-0.024</w:t>
            </w:r>
          </w:p>
        </w:tc>
        <w:tc>
          <w:tcPr>
            <w:tcW w:w="810" w:type="dxa"/>
            <w:tcBorders>
              <w:top w:val="nil"/>
              <w:left w:val="nil"/>
              <w:bottom w:val="single" w:sz="8" w:space="0" w:color="auto"/>
              <w:right w:val="single" w:sz="8" w:space="0" w:color="auto"/>
            </w:tcBorders>
            <w:shd w:val="clear" w:color="auto" w:fill="auto"/>
            <w:noWrap/>
            <w:vAlign w:val="center"/>
            <w:hideMark/>
          </w:tcPr>
          <w:p w14:paraId="192F2F06"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-0.067</w:t>
            </w:r>
          </w:p>
        </w:tc>
        <w:tc>
          <w:tcPr>
            <w:tcW w:w="810" w:type="dxa"/>
            <w:tcBorders>
              <w:top w:val="nil"/>
              <w:left w:val="nil"/>
              <w:bottom w:val="single" w:sz="8" w:space="0" w:color="auto"/>
              <w:right w:val="single" w:sz="8" w:space="0" w:color="auto"/>
            </w:tcBorders>
            <w:shd w:val="clear" w:color="auto" w:fill="auto"/>
            <w:noWrap/>
            <w:vAlign w:val="center"/>
            <w:hideMark/>
          </w:tcPr>
          <w:p w14:paraId="422BB725"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1</w:t>
            </w:r>
          </w:p>
        </w:tc>
        <w:tc>
          <w:tcPr>
            <w:tcW w:w="900" w:type="dxa"/>
            <w:tcBorders>
              <w:top w:val="nil"/>
              <w:left w:val="nil"/>
              <w:bottom w:val="single" w:sz="8" w:space="0" w:color="auto"/>
              <w:right w:val="single" w:sz="8" w:space="0" w:color="auto"/>
            </w:tcBorders>
            <w:shd w:val="clear" w:color="auto" w:fill="auto"/>
            <w:noWrap/>
            <w:vAlign w:val="center"/>
            <w:hideMark/>
          </w:tcPr>
          <w:p w14:paraId="221DE89A"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741" w:type="dxa"/>
            <w:tcBorders>
              <w:top w:val="nil"/>
              <w:left w:val="nil"/>
              <w:bottom w:val="single" w:sz="8" w:space="0" w:color="auto"/>
              <w:right w:val="single" w:sz="8" w:space="0" w:color="auto"/>
            </w:tcBorders>
            <w:shd w:val="clear" w:color="auto" w:fill="auto"/>
            <w:noWrap/>
            <w:vAlign w:val="center"/>
            <w:hideMark/>
          </w:tcPr>
          <w:p w14:paraId="70710D78"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741" w:type="dxa"/>
            <w:tcBorders>
              <w:top w:val="nil"/>
              <w:left w:val="nil"/>
              <w:bottom w:val="single" w:sz="8" w:space="0" w:color="auto"/>
              <w:right w:val="single" w:sz="8" w:space="0" w:color="auto"/>
            </w:tcBorders>
            <w:shd w:val="clear" w:color="auto" w:fill="auto"/>
            <w:noWrap/>
            <w:vAlign w:val="center"/>
            <w:hideMark/>
          </w:tcPr>
          <w:p w14:paraId="3C1EB745"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8" w:type="dxa"/>
            <w:tcBorders>
              <w:top w:val="nil"/>
              <w:left w:val="nil"/>
              <w:bottom w:val="single" w:sz="8" w:space="0" w:color="auto"/>
              <w:right w:val="single" w:sz="8" w:space="0" w:color="auto"/>
            </w:tcBorders>
            <w:shd w:val="clear" w:color="auto" w:fill="auto"/>
            <w:noWrap/>
            <w:vAlign w:val="center"/>
            <w:hideMark/>
          </w:tcPr>
          <w:p w14:paraId="0169A385"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1" w:type="dxa"/>
            <w:tcBorders>
              <w:top w:val="nil"/>
              <w:left w:val="nil"/>
              <w:bottom w:val="single" w:sz="8" w:space="0" w:color="auto"/>
              <w:right w:val="single" w:sz="8" w:space="0" w:color="auto"/>
            </w:tcBorders>
            <w:shd w:val="clear" w:color="auto" w:fill="auto"/>
            <w:noWrap/>
            <w:vAlign w:val="center"/>
            <w:hideMark/>
          </w:tcPr>
          <w:p w14:paraId="4CB2C370"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531" w:type="dxa"/>
            <w:tcBorders>
              <w:top w:val="nil"/>
              <w:left w:val="nil"/>
              <w:bottom w:val="single" w:sz="8" w:space="0" w:color="auto"/>
              <w:right w:val="single" w:sz="8" w:space="0" w:color="auto"/>
            </w:tcBorders>
            <w:shd w:val="clear" w:color="auto" w:fill="auto"/>
            <w:noWrap/>
            <w:vAlign w:val="center"/>
            <w:hideMark/>
          </w:tcPr>
          <w:p w14:paraId="01007A48"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383" w:type="dxa"/>
            <w:tcBorders>
              <w:top w:val="nil"/>
              <w:left w:val="nil"/>
              <w:bottom w:val="single" w:sz="8" w:space="0" w:color="auto"/>
              <w:right w:val="single" w:sz="8" w:space="0" w:color="auto"/>
            </w:tcBorders>
            <w:shd w:val="clear" w:color="auto" w:fill="auto"/>
            <w:noWrap/>
            <w:vAlign w:val="center"/>
            <w:hideMark/>
          </w:tcPr>
          <w:p w14:paraId="0A5FCBE4"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r>
      <w:tr w:rsidR="00B32783" w:rsidRPr="00B92144" w14:paraId="374E4BCF" w14:textId="77777777" w:rsidTr="00B32783">
        <w:trPr>
          <w:trHeight w:val="300"/>
        </w:trPr>
        <w:tc>
          <w:tcPr>
            <w:tcW w:w="1259" w:type="dxa"/>
            <w:tcBorders>
              <w:top w:val="nil"/>
              <w:left w:val="single" w:sz="8" w:space="0" w:color="auto"/>
              <w:bottom w:val="single" w:sz="8" w:space="0" w:color="auto"/>
              <w:right w:val="single" w:sz="8" w:space="0" w:color="auto"/>
            </w:tcBorders>
            <w:shd w:val="clear" w:color="auto" w:fill="auto"/>
            <w:noWrap/>
            <w:vAlign w:val="center"/>
            <w:hideMark/>
          </w:tcPr>
          <w:p w14:paraId="41768A0A"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BLOCK</w:t>
            </w:r>
          </w:p>
        </w:tc>
        <w:tc>
          <w:tcPr>
            <w:tcW w:w="811" w:type="dxa"/>
            <w:tcBorders>
              <w:top w:val="nil"/>
              <w:left w:val="nil"/>
              <w:bottom w:val="single" w:sz="8" w:space="0" w:color="auto"/>
              <w:right w:val="single" w:sz="8" w:space="0" w:color="auto"/>
            </w:tcBorders>
            <w:shd w:val="clear" w:color="auto" w:fill="auto"/>
            <w:noWrap/>
            <w:vAlign w:val="center"/>
            <w:hideMark/>
          </w:tcPr>
          <w:p w14:paraId="7B9A6BC5"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-0.149***</w:t>
            </w:r>
          </w:p>
        </w:tc>
        <w:tc>
          <w:tcPr>
            <w:tcW w:w="601" w:type="dxa"/>
            <w:tcBorders>
              <w:top w:val="nil"/>
              <w:left w:val="nil"/>
              <w:bottom w:val="single" w:sz="8" w:space="0" w:color="auto"/>
              <w:right w:val="single" w:sz="8" w:space="0" w:color="auto"/>
            </w:tcBorders>
            <w:shd w:val="clear" w:color="auto" w:fill="auto"/>
            <w:noWrap/>
            <w:vAlign w:val="center"/>
            <w:hideMark/>
          </w:tcPr>
          <w:p w14:paraId="6E256DAF"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-0.058</w:t>
            </w:r>
          </w:p>
        </w:tc>
        <w:tc>
          <w:tcPr>
            <w:tcW w:w="839" w:type="dxa"/>
            <w:tcBorders>
              <w:top w:val="nil"/>
              <w:left w:val="nil"/>
              <w:bottom w:val="single" w:sz="8" w:space="0" w:color="auto"/>
              <w:right w:val="single" w:sz="8" w:space="0" w:color="auto"/>
            </w:tcBorders>
            <w:shd w:val="clear" w:color="auto" w:fill="auto"/>
            <w:noWrap/>
            <w:vAlign w:val="center"/>
            <w:hideMark/>
          </w:tcPr>
          <w:p w14:paraId="2CEDBC00"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0.129***</w:t>
            </w:r>
          </w:p>
        </w:tc>
        <w:tc>
          <w:tcPr>
            <w:tcW w:w="810" w:type="dxa"/>
            <w:tcBorders>
              <w:top w:val="nil"/>
              <w:left w:val="nil"/>
              <w:bottom w:val="single" w:sz="8" w:space="0" w:color="auto"/>
              <w:right w:val="single" w:sz="8" w:space="0" w:color="auto"/>
            </w:tcBorders>
            <w:shd w:val="clear" w:color="auto" w:fill="auto"/>
            <w:noWrap/>
            <w:vAlign w:val="center"/>
            <w:hideMark/>
          </w:tcPr>
          <w:p w14:paraId="3752155B"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0.014</w:t>
            </w:r>
          </w:p>
        </w:tc>
        <w:tc>
          <w:tcPr>
            <w:tcW w:w="810" w:type="dxa"/>
            <w:tcBorders>
              <w:top w:val="nil"/>
              <w:left w:val="nil"/>
              <w:bottom w:val="single" w:sz="8" w:space="0" w:color="auto"/>
              <w:right w:val="single" w:sz="8" w:space="0" w:color="auto"/>
            </w:tcBorders>
            <w:shd w:val="clear" w:color="auto" w:fill="auto"/>
            <w:noWrap/>
            <w:vAlign w:val="center"/>
            <w:hideMark/>
          </w:tcPr>
          <w:p w14:paraId="630A173A"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0.078*</w:t>
            </w:r>
          </w:p>
        </w:tc>
        <w:tc>
          <w:tcPr>
            <w:tcW w:w="810" w:type="dxa"/>
            <w:tcBorders>
              <w:top w:val="nil"/>
              <w:left w:val="nil"/>
              <w:bottom w:val="single" w:sz="8" w:space="0" w:color="auto"/>
              <w:right w:val="single" w:sz="8" w:space="0" w:color="auto"/>
            </w:tcBorders>
            <w:shd w:val="clear" w:color="auto" w:fill="auto"/>
            <w:noWrap/>
            <w:vAlign w:val="center"/>
            <w:hideMark/>
          </w:tcPr>
          <w:p w14:paraId="1529FDBD"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-0.115</w:t>
            </w:r>
          </w:p>
        </w:tc>
        <w:tc>
          <w:tcPr>
            <w:tcW w:w="810" w:type="dxa"/>
            <w:tcBorders>
              <w:top w:val="nil"/>
              <w:left w:val="nil"/>
              <w:bottom w:val="single" w:sz="8" w:space="0" w:color="auto"/>
              <w:right w:val="single" w:sz="8" w:space="0" w:color="auto"/>
            </w:tcBorders>
            <w:shd w:val="clear" w:color="auto" w:fill="auto"/>
            <w:noWrap/>
            <w:vAlign w:val="center"/>
            <w:hideMark/>
          </w:tcPr>
          <w:p w14:paraId="06F80432"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-0.176***</w:t>
            </w:r>
          </w:p>
        </w:tc>
        <w:tc>
          <w:tcPr>
            <w:tcW w:w="900" w:type="dxa"/>
            <w:tcBorders>
              <w:top w:val="nil"/>
              <w:left w:val="nil"/>
              <w:bottom w:val="single" w:sz="8" w:space="0" w:color="auto"/>
              <w:right w:val="single" w:sz="8" w:space="0" w:color="auto"/>
            </w:tcBorders>
            <w:shd w:val="clear" w:color="auto" w:fill="auto"/>
            <w:noWrap/>
            <w:vAlign w:val="center"/>
            <w:hideMark/>
          </w:tcPr>
          <w:p w14:paraId="73C59F0B"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1</w:t>
            </w:r>
          </w:p>
        </w:tc>
        <w:tc>
          <w:tcPr>
            <w:tcW w:w="741" w:type="dxa"/>
            <w:tcBorders>
              <w:top w:val="nil"/>
              <w:left w:val="nil"/>
              <w:bottom w:val="single" w:sz="8" w:space="0" w:color="auto"/>
              <w:right w:val="single" w:sz="8" w:space="0" w:color="auto"/>
            </w:tcBorders>
            <w:shd w:val="clear" w:color="auto" w:fill="auto"/>
            <w:noWrap/>
            <w:vAlign w:val="center"/>
            <w:hideMark/>
          </w:tcPr>
          <w:p w14:paraId="7F7361A1"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741" w:type="dxa"/>
            <w:tcBorders>
              <w:top w:val="nil"/>
              <w:left w:val="nil"/>
              <w:bottom w:val="single" w:sz="8" w:space="0" w:color="auto"/>
              <w:right w:val="single" w:sz="8" w:space="0" w:color="auto"/>
            </w:tcBorders>
            <w:shd w:val="clear" w:color="auto" w:fill="auto"/>
            <w:noWrap/>
            <w:vAlign w:val="center"/>
            <w:hideMark/>
          </w:tcPr>
          <w:p w14:paraId="0875486A"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8" w:type="dxa"/>
            <w:tcBorders>
              <w:top w:val="nil"/>
              <w:left w:val="nil"/>
              <w:bottom w:val="single" w:sz="8" w:space="0" w:color="auto"/>
              <w:right w:val="single" w:sz="8" w:space="0" w:color="auto"/>
            </w:tcBorders>
            <w:shd w:val="clear" w:color="auto" w:fill="auto"/>
            <w:noWrap/>
            <w:vAlign w:val="center"/>
            <w:hideMark/>
          </w:tcPr>
          <w:p w14:paraId="1667C5C7"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1" w:type="dxa"/>
            <w:tcBorders>
              <w:top w:val="nil"/>
              <w:left w:val="nil"/>
              <w:bottom w:val="single" w:sz="8" w:space="0" w:color="auto"/>
              <w:right w:val="single" w:sz="8" w:space="0" w:color="auto"/>
            </w:tcBorders>
            <w:shd w:val="clear" w:color="auto" w:fill="auto"/>
            <w:noWrap/>
            <w:vAlign w:val="center"/>
            <w:hideMark/>
          </w:tcPr>
          <w:p w14:paraId="261B30C5"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531" w:type="dxa"/>
            <w:tcBorders>
              <w:top w:val="nil"/>
              <w:left w:val="nil"/>
              <w:bottom w:val="single" w:sz="8" w:space="0" w:color="auto"/>
              <w:right w:val="single" w:sz="8" w:space="0" w:color="auto"/>
            </w:tcBorders>
            <w:shd w:val="clear" w:color="auto" w:fill="auto"/>
            <w:noWrap/>
            <w:vAlign w:val="center"/>
            <w:hideMark/>
          </w:tcPr>
          <w:p w14:paraId="7C2AC85C"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383" w:type="dxa"/>
            <w:tcBorders>
              <w:top w:val="nil"/>
              <w:left w:val="nil"/>
              <w:bottom w:val="single" w:sz="8" w:space="0" w:color="auto"/>
              <w:right w:val="single" w:sz="8" w:space="0" w:color="auto"/>
            </w:tcBorders>
            <w:shd w:val="clear" w:color="auto" w:fill="auto"/>
            <w:noWrap/>
            <w:vAlign w:val="center"/>
            <w:hideMark/>
          </w:tcPr>
          <w:p w14:paraId="1055669D"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r>
      <w:tr w:rsidR="00B32783" w:rsidRPr="00B92144" w14:paraId="058736EF" w14:textId="77777777" w:rsidTr="00B32783">
        <w:trPr>
          <w:trHeight w:val="300"/>
        </w:trPr>
        <w:tc>
          <w:tcPr>
            <w:tcW w:w="1259" w:type="dxa"/>
            <w:tcBorders>
              <w:top w:val="nil"/>
              <w:left w:val="single" w:sz="8" w:space="0" w:color="auto"/>
              <w:bottom w:val="single" w:sz="8" w:space="0" w:color="auto"/>
              <w:right w:val="single" w:sz="8" w:space="0" w:color="auto"/>
            </w:tcBorders>
            <w:shd w:val="clear" w:color="auto" w:fill="auto"/>
            <w:noWrap/>
            <w:vAlign w:val="center"/>
            <w:hideMark/>
          </w:tcPr>
          <w:p w14:paraId="51BF1592"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FOREIGN</w:t>
            </w:r>
          </w:p>
        </w:tc>
        <w:tc>
          <w:tcPr>
            <w:tcW w:w="811" w:type="dxa"/>
            <w:tcBorders>
              <w:top w:val="nil"/>
              <w:left w:val="nil"/>
              <w:bottom w:val="single" w:sz="8" w:space="0" w:color="auto"/>
              <w:right w:val="single" w:sz="8" w:space="0" w:color="auto"/>
            </w:tcBorders>
            <w:shd w:val="clear" w:color="auto" w:fill="auto"/>
            <w:noWrap/>
            <w:vAlign w:val="center"/>
            <w:hideMark/>
          </w:tcPr>
          <w:p w14:paraId="2AAB65EC"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0.039</w:t>
            </w:r>
          </w:p>
        </w:tc>
        <w:tc>
          <w:tcPr>
            <w:tcW w:w="601" w:type="dxa"/>
            <w:tcBorders>
              <w:top w:val="nil"/>
              <w:left w:val="nil"/>
              <w:bottom w:val="single" w:sz="8" w:space="0" w:color="auto"/>
              <w:right w:val="single" w:sz="8" w:space="0" w:color="auto"/>
            </w:tcBorders>
            <w:shd w:val="clear" w:color="auto" w:fill="auto"/>
            <w:noWrap/>
            <w:vAlign w:val="center"/>
            <w:hideMark/>
          </w:tcPr>
          <w:p w14:paraId="0C71C715"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0.036</w:t>
            </w:r>
          </w:p>
        </w:tc>
        <w:tc>
          <w:tcPr>
            <w:tcW w:w="839" w:type="dxa"/>
            <w:tcBorders>
              <w:top w:val="nil"/>
              <w:left w:val="nil"/>
              <w:bottom w:val="single" w:sz="8" w:space="0" w:color="auto"/>
              <w:right w:val="single" w:sz="8" w:space="0" w:color="auto"/>
            </w:tcBorders>
            <w:shd w:val="clear" w:color="auto" w:fill="auto"/>
            <w:noWrap/>
            <w:vAlign w:val="center"/>
            <w:hideMark/>
          </w:tcPr>
          <w:p w14:paraId="03EF3AE3"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-0.549***</w:t>
            </w:r>
          </w:p>
        </w:tc>
        <w:tc>
          <w:tcPr>
            <w:tcW w:w="810" w:type="dxa"/>
            <w:tcBorders>
              <w:top w:val="nil"/>
              <w:left w:val="nil"/>
              <w:bottom w:val="single" w:sz="8" w:space="0" w:color="auto"/>
              <w:right w:val="single" w:sz="8" w:space="0" w:color="auto"/>
            </w:tcBorders>
            <w:shd w:val="clear" w:color="auto" w:fill="auto"/>
            <w:noWrap/>
            <w:vAlign w:val="center"/>
            <w:hideMark/>
          </w:tcPr>
          <w:p w14:paraId="0BB2CA2B"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0.062</w:t>
            </w:r>
          </w:p>
        </w:tc>
        <w:tc>
          <w:tcPr>
            <w:tcW w:w="810" w:type="dxa"/>
            <w:tcBorders>
              <w:top w:val="nil"/>
              <w:left w:val="nil"/>
              <w:bottom w:val="single" w:sz="8" w:space="0" w:color="auto"/>
              <w:right w:val="single" w:sz="8" w:space="0" w:color="auto"/>
            </w:tcBorders>
            <w:shd w:val="clear" w:color="auto" w:fill="auto"/>
            <w:noWrap/>
            <w:vAlign w:val="center"/>
            <w:hideMark/>
          </w:tcPr>
          <w:p w14:paraId="650293D5"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-0.365***</w:t>
            </w:r>
          </w:p>
        </w:tc>
        <w:tc>
          <w:tcPr>
            <w:tcW w:w="810" w:type="dxa"/>
            <w:tcBorders>
              <w:top w:val="nil"/>
              <w:left w:val="nil"/>
              <w:bottom w:val="single" w:sz="8" w:space="0" w:color="auto"/>
              <w:right w:val="single" w:sz="8" w:space="0" w:color="auto"/>
            </w:tcBorders>
            <w:shd w:val="clear" w:color="auto" w:fill="auto"/>
            <w:noWrap/>
            <w:vAlign w:val="center"/>
            <w:hideMark/>
          </w:tcPr>
          <w:p w14:paraId="2EEE45C5"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-0.265***</w:t>
            </w:r>
          </w:p>
        </w:tc>
        <w:tc>
          <w:tcPr>
            <w:tcW w:w="810" w:type="dxa"/>
            <w:tcBorders>
              <w:top w:val="nil"/>
              <w:left w:val="nil"/>
              <w:bottom w:val="single" w:sz="8" w:space="0" w:color="auto"/>
              <w:right w:val="single" w:sz="8" w:space="0" w:color="auto"/>
            </w:tcBorders>
            <w:shd w:val="clear" w:color="auto" w:fill="auto"/>
            <w:noWrap/>
            <w:vAlign w:val="center"/>
            <w:hideMark/>
          </w:tcPr>
          <w:p w14:paraId="05F765EB"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0.381***</w:t>
            </w:r>
          </w:p>
        </w:tc>
        <w:tc>
          <w:tcPr>
            <w:tcW w:w="900" w:type="dxa"/>
            <w:tcBorders>
              <w:top w:val="nil"/>
              <w:left w:val="nil"/>
              <w:bottom w:val="single" w:sz="8" w:space="0" w:color="auto"/>
              <w:right w:val="single" w:sz="8" w:space="0" w:color="auto"/>
            </w:tcBorders>
            <w:shd w:val="clear" w:color="auto" w:fill="auto"/>
            <w:noWrap/>
            <w:vAlign w:val="center"/>
            <w:hideMark/>
          </w:tcPr>
          <w:p w14:paraId="7F0DA98E"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-0.245***</w:t>
            </w:r>
          </w:p>
        </w:tc>
        <w:tc>
          <w:tcPr>
            <w:tcW w:w="741" w:type="dxa"/>
            <w:tcBorders>
              <w:top w:val="nil"/>
              <w:left w:val="nil"/>
              <w:bottom w:val="single" w:sz="8" w:space="0" w:color="auto"/>
              <w:right w:val="single" w:sz="8" w:space="0" w:color="auto"/>
            </w:tcBorders>
            <w:shd w:val="clear" w:color="auto" w:fill="auto"/>
            <w:noWrap/>
            <w:vAlign w:val="center"/>
            <w:hideMark/>
          </w:tcPr>
          <w:p w14:paraId="4A2EADD6"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1</w:t>
            </w:r>
          </w:p>
        </w:tc>
        <w:tc>
          <w:tcPr>
            <w:tcW w:w="741" w:type="dxa"/>
            <w:tcBorders>
              <w:top w:val="nil"/>
              <w:left w:val="nil"/>
              <w:bottom w:val="single" w:sz="8" w:space="0" w:color="auto"/>
              <w:right w:val="single" w:sz="8" w:space="0" w:color="auto"/>
            </w:tcBorders>
            <w:shd w:val="clear" w:color="auto" w:fill="auto"/>
            <w:noWrap/>
            <w:vAlign w:val="center"/>
            <w:hideMark/>
          </w:tcPr>
          <w:p w14:paraId="7BCFD151"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8" w:type="dxa"/>
            <w:tcBorders>
              <w:top w:val="nil"/>
              <w:left w:val="nil"/>
              <w:bottom w:val="single" w:sz="8" w:space="0" w:color="auto"/>
              <w:right w:val="single" w:sz="8" w:space="0" w:color="auto"/>
            </w:tcBorders>
            <w:shd w:val="clear" w:color="auto" w:fill="auto"/>
            <w:noWrap/>
            <w:vAlign w:val="center"/>
            <w:hideMark/>
          </w:tcPr>
          <w:p w14:paraId="6E9E03D0"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1" w:type="dxa"/>
            <w:tcBorders>
              <w:top w:val="nil"/>
              <w:left w:val="nil"/>
              <w:bottom w:val="single" w:sz="8" w:space="0" w:color="auto"/>
              <w:right w:val="single" w:sz="8" w:space="0" w:color="auto"/>
            </w:tcBorders>
            <w:shd w:val="clear" w:color="auto" w:fill="auto"/>
            <w:noWrap/>
            <w:vAlign w:val="center"/>
            <w:hideMark/>
          </w:tcPr>
          <w:p w14:paraId="3F053846"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531" w:type="dxa"/>
            <w:tcBorders>
              <w:top w:val="nil"/>
              <w:left w:val="nil"/>
              <w:bottom w:val="single" w:sz="8" w:space="0" w:color="auto"/>
              <w:right w:val="single" w:sz="8" w:space="0" w:color="auto"/>
            </w:tcBorders>
            <w:shd w:val="clear" w:color="auto" w:fill="auto"/>
            <w:noWrap/>
            <w:vAlign w:val="center"/>
            <w:hideMark/>
          </w:tcPr>
          <w:p w14:paraId="464CBD0E"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383" w:type="dxa"/>
            <w:tcBorders>
              <w:top w:val="nil"/>
              <w:left w:val="nil"/>
              <w:bottom w:val="single" w:sz="8" w:space="0" w:color="auto"/>
              <w:right w:val="single" w:sz="8" w:space="0" w:color="auto"/>
            </w:tcBorders>
            <w:shd w:val="clear" w:color="auto" w:fill="auto"/>
            <w:noWrap/>
            <w:vAlign w:val="center"/>
            <w:hideMark/>
          </w:tcPr>
          <w:p w14:paraId="08FDA3F2"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r>
      <w:tr w:rsidR="00B32783" w:rsidRPr="00B92144" w14:paraId="16659685" w14:textId="77777777" w:rsidTr="00B32783">
        <w:trPr>
          <w:trHeight w:val="300"/>
        </w:trPr>
        <w:tc>
          <w:tcPr>
            <w:tcW w:w="1259" w:type="dxa"/>
            <w:tcBorders>
              <w:top w:val="nil"/>
              <w:left w:val="single" w:sz="8" w:space="0" w:color="auto"/>
              <w:bottom w:val="single" w:sz="8" w:space="0" w:color="auto"/>
              <w:right w:val="single" w:sz="8" w:space="0" w:color="auto"/>
            </w:tcBorders>
            <w:shd w:val="clear" w:color="auto" w:fill="auto"/>
            <w:noWrap/>
            <w:vAlign w:val="center"/>
            <w:hideMark/>
          </w:tcPr>
          <w:p w14:paraId="2F533542"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BDSIZE</w:t>
            </w:r>
          </w:p>
        </w:tc>
        <w:tc>
          <w:tcPr>
            <w:tcW w:w="811" w:type="dxa"/>
            <w:tcBorders>
              <w:top w:val="nil"/>
              <w:left w:val="nil"/>
              <w:bottom w:val="single" w:sz="8" w:space="0" w:color="auto"/>
              <w:right w:val="single" w:sz="8" w:space="0" w:color="auto"/>
            </w:tcBorders>
            <w:shd w:val="clear" w:color="auto" w:fill="auto"/>
            <w:noWrap/>
            <w:vAlign w:val="center"/>
            <w:hideMark/>
          </w:tcPr>
          <w:p w14:paraId="262EF4ED"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w:t>
            </w:r>
            <w:r w:rsidRPr="00B92144">
              <w:rPr>
                <w:rFonts w:asciiTheme="majorBidi" w:eastAsia="Times New Roman" w:hAnsiTheme="majorBidi" w:cstheme="majorBidi"/>
                <w:b/>
                <w:bCs/>
                <w:color w:val="000000"/>
                <w:sz w:val="14"/>
                <w:szCs w:val="14"/>
              </w:rPr>
              <w:t>0.212***</w:t>
            </w:r>
          </w:p>
        </w:tc>
        <w:tc>
          <w:tcPr>
            <w:tcW w:w="601" w:type="dxa"/>
            <w:tcBorders>
              <w:top w:val="nil"/>
              <w:left w:val="nil"/>
              <w:bottom w:val="single" w:sz="8" w:space="0" w:color="auto"/>
              <w:right w:val="single" w:sz="8" w:space="0" w:color="auto"/>
            </w:tcBorders>
            <w:shd w:val="clear" w:color="auto" w:fill="auto"/>
            <w:noWrap/>
            <w:vAlign w:val="center"/>
            <w:hideMark/>
          </w:tcPr>
          <w:p w14:paraId="7276FAAA"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0.027</w:t>
            </w:r>
          </w:p>
        </w:tc>
        <w:tc>
          <w:tcPr>
            <w:tcW w:w="839" w:type="dxa"/>
            <w:tcBorders>
              <w:top w:val="nil"/>
              <w:left w:val="nil"/>
              <w:bottom w:val="single" w:sz="8" w:space="0" w:color="auto"/>
              <w:right w:val="single" w:sz="8" w:space="0" w:color="auto"/>
            </w:tcBorders>
            <w:shd w:val="clear" w:color="auto" w:fill="auto"/>
            <w:noWrap/>
            <w:vAlign w:val="center"/>
            <w:hideMark/>
          </w:tcPr>
          <w:p w14:paraId="597B5267"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-0.007</w:t>
            </w:r>
          </w:p>
        </w:tc>
        <w:tc>
          <w:tcPr>
            <w:tcW w:w="810" w:type="dxa"/>
            <w:tcBorders>
              <w:top w:val="nil"/>
              <w:left w:val="nil"/>
              <w:bottom w:val="single" w:sz="8" w:space="0" w:color="auto"/>
              <w:right w:val="single" w:sz="8" w:space="0" w:color="auto"/>
            </w:tcBorders>
            <w:shd w:val="clear" w:color="auto" w:fill="auto"/>
            <w:noWrap/>
            <w:vAlign w:val="center"/>
            <w:hideMark/>
          </w:tcPr>
          <w:p w14:paraId="6B1522FD"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0.059</w:t>
            </w:r>
          </w:p>
        </w:tc>
        <w:tc>
          <w:tcPr>
            <w:tcW w:w="810" w:type="dxa"/>
            <w:tcBorders>
              <w:top w:val="nil"/>
              <w:left w:val="nil"/>
              <w:bottom w:val="single" w:sz="8" w:space="0" w:color="auto"/>
              <w:right w:val="single" w:sz="8" w:space="0" w:color="auto"/>
            </w:tcBorders>
            <w:shd w:val="clear" w:color="auto" w:fill="auto"/>
            <w:noWrap/>
            <w:vAlign w:val="center"/>
            <w:hideMark/>
          </w:tcPr>
          <w:p w14:paraId="24EC417E"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0.164***</w:t>
            </w:r>
          </w:p>
        </w:tc>
        <w:tc>
          <w:tcPr>
            <w:tcW w:w="810" w:type="dxa"/>
            <w:tcBorders>
              <w:top w:val="nil"/>
              <w:left w:val="nil"/>
              <w:bottom w:val="single" w:sz="8" w:space="0" w:color="auto"/>
              <w:right w:val="single" w:sz="8" w:space="0" w:color="auto"/>
            </w:tcBorders>
            <w:shd w:val="clear" w:color="auto" w:fill="auto"/>
            <w:noWrap/>
            <w:vAlign w:val="center"/>
            <w:hideMark/>
          </w:tcPr>
          <w:p w14:paraId="169942BC"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-0.065</w:t>
            </w:r>
          </w:p>
        </w:tc>
        <w:tc>
          <w:tcPr>
            <w:tcW w:w="810" w:type="dxa"/>
            <w:tcBorders>
              <w:top w:val="nil"/>
              <w:left w:val="nil"/>
              <w:bottom w:val="single" w:sz="8" w:space="0" w:color="auto"/>
              <w:right w:val="single" w:sz="8" w:space="0" w:color="auto"/>
            </w:tcBorders>
            <w:shd w:val="clear" w:color="auto" w:fill="auto"/>
            <w:noWrap/>
            <w:vAlign w:val="center"/>
            <w:hideMark/>
          </w:tcPr>
          <w:p w14:paraId="10A1F679"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-0.049</w:t>
            </w:r>
          </w:p>
        </w:tc>
        <w:tc>
          <w:tcPr>
            <w:tcW w:w="900" w:type="dxa"/>
            <w:tcBorders>
              <w:top w:val="nil"/>
              <w:left w:val="nil"/>
              <w:bottom w:val="single" w:sz="8" w:space="0" w:color="auto"/>
              <w:right w:val="single" w:sz="8" w:space="0" w:color="auto"/>
            </w:tcBorders>
            <w:shd w:val="clear" w:color="auto" w:fill="auto"/>
            <w:noWrap/>
            <w:vAlign w:val="center"/>
            <w:hideMark/>
          </w:tcPr>
          <w:p w14:paraId="30794112"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0.231***</w:t>
            </w:r>
          </w:p>
        </w:tc>
        <w:tc>
          <w:tcPr>
            <w:tcW w:w="741" w:type="dxa"/>
            <w:tcBorders>
              <w:top w:val="nil"/>
              <w:left w:val="nil"/>
              <w:bottom w:val="single" w:sz="8" w:space="0" w:color="auto"/>
              <w:right w:val="single" w:sz="8" w:space="0" w:color="auto"/>
            </w:tcBorders>
            <w:shd w:val="clear" w:color="auto" w:fill="auto"/>
            <w:noWrap/>
            <w:vAlign w:val="center"/>
            <w:hideMark/>
          </w:tcPr>
          <w:p w14:paraId="36C22376"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0.104***</w:t>
            </w:r>
          </w:p>
        </w:tc>
        <w:tc>
          <w:tcPr>
            <w:tcW w:w="741" w:type="dxa"/>
            <w:tcBorders>
              <w:top w:val="nil"/>
              <w:left w:val="nil"/>
              <w:bottom w:val="single" w:sz="8" w:space="0" w:color="auto"/>
              <w:right w:val="single" w:sz="8" w:space="0" w:color="auto"/>
            </w:tcBorders>
            <w:shd w:val="clear" w:color="auto" w:fill="auto"/>
            <w:noWrap/>
            <w:vAlign w:val="center"/>
            <w:hideMark/>
          </w:tcPr>
          <w:p w14:paraId="50D72A20"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1</w:t>
            </w:r>
          </w:p>
        </w:tc>
        <w:tc>
          <w:tcPr>
            <w:tcW w:w="678" w:type="dxa"/>
            <w:tcBorders>
              <w:top w:val="nil"/>
              <w:left w:val="nil"/>
              <w:bottom w:val="single" w:sz="8" w:space="0" w:color="auto"/>
              <w:right w:val="single" w:sz="8" w:space="0" w:color="auto"/>
            </w:tcBorders>
            <w:shd w:val="clear" w:color="auto" w:fill="auto"/>
            <w:noWrap/>
            <w:vAlign w:val="center"/>
            <w:hideMark/>
          </w:tcPr>
          <w:p w14:paraId="6977F9AB"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671" w:type="dxa"/>
            <w:tcBorders>
              <w:top w:val="nil"/>
              <w:left w:val="nil"/>
              <w:bottom w:val="single" w:sz="8" w:space="0" w:color="auto"/>
              <w:right w:val="single" w:sz="8" w:space="0" w:color="auto"/>
            </w:tcBorders>
            <w:shd w:val="clear" w:color="auto" w:fill="auto"/>
            <w:noWrap/>
            <w:vAlign w:val="center"/>
            <w:hideMark/>
          </w:tcPr>
          <w:p w14:paraId="3AB2127A"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531" w:type="dxa"/>
            <w:tcBorders>
              <w:top w:val="nil"/>
              <w:left w:val="nil"/>
              <w:bottom w:val="single" w:sz="8" w:space="0" w:color="auto"/>
              <w:right w:val="single" w:sz="8" w:space="0" w:color="auto"/>
            </w:tcBorders>
            <w:shd w:val="clear" w:color="auto" w:fill="auto"/>
            <w:noWrap/>
            <w:vAlign w:val="center"/>
            <w:hideMark/>
          </w:tcPr>
          <w:p w14:paraId="5C7BA7BD"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383" w:type="dxa"/>
            <w:tcBorders>
              <w:top w:val="nil"/>
              <w:left w:val="nil"/>
              <w:bottom w:val="single" w:sz="8" w:space="0" w:color="auto"/>
              <w:right w:val="single" w:sz="8" w:space="0" w:color="auto"/>
            </w:tcBorders>
            <w:shd w:val="clear" w:color="auto" w:fill="auto"/>
            <w:noWrap/>
            <w:vAlign w:val="center"/>
            <w:hideMark/>
          </w:tcPr>
          <w:p w14:paraId="0EDEDA33"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r>
      <w:tr w:rsidR="00B32783" w:rsidRPr="00B92144" w14:paraId="134296EA" w14:textId="77777777" w:rsidTr="00B32783">
        <w:trPr>
          <w:trHeight w:val="300"/>
        </w:trPr>
        <w:tc>
          <w:tcPr>
            <w:tcW w:w="1259" w:type="dxa"/>
            <w:tcBorders>
              <w:top w:val="nil"/>
              <w:left w:val="single" w:sz="8" w:space="0" w:color="auto"/>
              <w:bottom w:val="single" w:sz="8" w:space="0" w:color="auto"/>
              <w:right w:val="single" w:sz="8" w:space="0" w:color="auto"/>
            </w:tcBorders>
            <w:shd w:val="clear" w:color="auto" w:fill="auto"/>
            <w:noWrap/>
            <w:vAlign w:val="center"/>
            <w:hideMark/>
          </w:tcPr>
          <w:p w14:paraId="524C2470"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lang w:val="fr-FR"/>
              </w:rPr>
              <w:t>BDIND</w:t>
            </w:r>
          </w:p>
        </w:tc>
        <w:tc>
          <w:tcPr>
            <w:tcW w:w="811" w:type="dxa"/>
            <w:tcBorders>
              <w:top w:val="nil"/>
              <w:left w:val="nil"/>
              <w:bottom w:val="single" w:sz="8" w:space="0" w:color="auto"/>
              <w:right w:val="single" w:sz="8" w:space="0" w:color="auto"/>
            </w:tcBorders>
            <w:shd w:val="clear" w:color="auto" w:fill="auto"/>
            <w:noWrap/>
            <w:vAlign w:val="center"/>
            <w:hideMark/>
          </w:tcPr>
          <w:p w14:paraId="4E1EB866"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0.006</w:t>
            </w:r>
          </w:p>
        </w:tc>
        <w:tc>
          <w:tcPr>
            <w:tcW w:w="601" w:type="dxa"/>
            <w:tcBorders>
              <w:top w:val="nil"/>
              <w:left w:val="nil"/>
              <w:bottom w:val="single" w:sz="8" w:space="0" w:color="auto"/>
              <w:right w:val="single" w:sz="8" w:space="0" w:color="auto"/>
            </w:tcBorders>
            <w:shd w:val="clear" w:color="auto" w:fill="auto"/>
            <w:noWrap/>
            <w:vAlign w:val="center"/>
            <w:hideMark/>
          </w:tcPr>
          <w:p w14:paraId="0B95077C"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0.066*</w:t>
            </w:r>
          </w:p>
        </w:tc>
        <w:tc>
          <w:tcPr>
            <w:tcW w:w="839" w:type="dxa"/>
            <w:tcBorders>
              <w:top w:val="nil"/>
              <w:left w:val="nil"/>
              <w:bottom w:val="single" w:sz="8" w:space="0" w:color="auto"/>
              <w:right w:val="single" w:sz="8" w:space="0" w:color="auto"/>
            </w:tcBorders>
            <w:shd w:val="clear" w:color="auto" w:fill="auto"/>
            <w:noWrap/>
            <w:vAlign w:val="center"/>
            <w:hideMark/>
          </w:tcPr>
          <w:p w14:paraId="6F4CDF22"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-0.094**</w:t>
            </w:r>
          </w:p>
        </w:tc>
        <w:tc>
          <w:tcPr>
            <w:tcW w:w="810" w:type="dxa"/>
            <w:tcBorders>
              <w:top w:val="nil"/>
              <w:left w:val="nil"/>
              <w:bottom w:val="single" w:sz="8" w:space="0" w:color="auto"/>
              <w:right w:val="single" w:sz="8" w:space="0" w:color="auto"/>
            </w:tcBorders>
            <w:shd w:val="clear" w:color="auto" w:fill="auto"/>
            <w:noWrap/>
            <w:vAlign w:val="center"/>
            <w:hideMark/>
          </w:tcPr>
          <w:p w14:paraId="7319194E"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-0.107**</w:t>
            </w:r>
          </w:p>
        </w:tc>
        <w:tc>
          <w:tcPr>
            <w:tcW w:w="810" w:type="dxa"/>
            <w:tcBorders>
              <w:top w:val="nil"/>
              <w:left w:val="nil"/>
              <w:bottom w:val="single" w:sz="8" w:space="0" w:color="auto"/>
              <w:right w:val="single" w:sz="8" w:space="0" w:color="auto"/>
            </w:tcBorders>
            <w:shd w:val="clear" w:color="auto" w:fill="auto"/>
            <w:noWrap/>
            <w:vAlign w:val="center"/>
            <w:hideMark/>
          </w:tcPr>
          <w:p w14:paraId="24ECAC37"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-0.161**</w:t>
            </w:r>
          </w:p>
        </w:tc>
        <w:tc>
          <w:tcPr>
            <w:tcW w:w="810" w:type="dxa"/>
            <w:tcBorders>
              <w:top w:val="nil"/>
              <w:left w:val="nil"/>
              <w:bottom w:val="single" w:sz="8" w:space="0" w:color="auto"/>
              <w:right w:val="single" w:sz="8" w:space="0" w:color="auto"/>
            </w:tcBorders>
            <w:shd w:val="clear" w:color="auto" w:fill="auto"/>
            <w:noWrap/>
            <w:vAlign w:val="center"/>
            <w:hideMark/>
          </w:tcPr>
          <w:p w14:paraId="26977C98"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-0.109**</w:t>
            </w:r>
          </w:p>
        </w:tc>
        <w:tc>
          <w:tcPr>
            <w:tcW w:w="810" w:type="dxa"/>
            <w:tcBorders>
              <w:top w:val="nil"/>
              <w:left w:val="nil"/>
              <w:bottom w:val="single" w:sz="8" w:space="0" w:color="auto"/>
              <w:right w:val="single" w:sz="8" w:space="0" w:color="auto"/>
            </w:tcBorders>
            <w:shd w:val="clear" w:color="auto" w:fill="auto"/>
            <w:noWrap/>
            <w:vAlign w:val="center"/>
            <w:hideMark/>
          </w:tcPr>
          <w:p w14:paraId="1C93990E"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0.037</w:t>
            </w:r>
          </w:p>
        </w:tc>
        <w:tc>
          <w:tcPr>
            <w:tcW w:w="900" w:type="dxa"/>
            <w:tcBorders>
              <w:top w:val="nil"/>
              <w:left w:val="nil"/>
              <w:bottom w:val="single" w:sz="8" w:space="0" w:color="auto"/>
              <w:right w:val="single" w:sz="8" w:space="0" w:color="auto"/>
            </w:tcBorders>
            <w:shd w:val="clear" w:color="auto" w:fill="auto"/>
            <w:noWrap/>
            <w:vAlign w:val="center"/>
            <w:hideMark/>
          </w:tcPr>
          <w:p w14:paraId="65636CA6"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-0.169***</w:t>
            </w:r>
          </w:p>
        </w:tc>
        <w:tc>
          <w:tcPr>
            <w:tcW w:w="741" w:type="dxa"/>
            <w:tcBorders>
              <w:top w:val="nil"/>
              <w:left w:val="nil"/>
              <w:bottom w:val="single" w:sz="8" w:space="0" w:color="auto"/>
              <w:right w:val="single" w:sz="8" w:space="0" w:color="auto"/>
            </w:tcBorders>
            <w:shd w:val="clear" w:color="auto" w:fill="auto"/>
            <w:noWrap/>
            <w:vAlign w:val="center"/>
            <w:hideMark/>
          </w:tcPr>
          <w:p w14:paraId="324C0FD8"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-0.009*</w:t>
            </w:r>
          </w:p>
        </w:tc>
        <w:tc>
          <w:tcPr>
            <w:tcW w:w="741" w:type="dxa"/>
            <w:tcBorders>
              <w:top w:val="nil"/>
              <w:left w:val="nil"/>
              <w:bottom w:val="single" w:sz="8" w:space="0" w:color="auto"/>
              <w:right w:val="single" w:sz="8" w:space="0" w:color="auto"/>
            </w:tcBorders>
            <w:shd w:val="clear" w:color="auto" w:fill="auto"/>
            <w:noWrap/>
            <w:vAlign w:val="center"/>
            <w:hideMark/>
          </w:tcPr>
          <w:p w14:paraId="2B08AEC2"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-0.275***</w:t>
            </w:r>
          </w:p>
        </w:tc>
        <w:tc>
          <w:tcPr>
            <w:tcW w:w="678" w:type="dxa"/>
            <w:tcBorders>
              <w:top w:val="nil"/>
              <w:left w:val="nil"/>
              <w:bottom w:val="single" w:sz="8" w:space="0" w:color="auto"/>
              <w:right w:val="single" w:sz="8" w:space="0" w:color="auto"/>
            </w:tcBorders>
            <w:shd w:val="clear" w:color="auto" w:fill="auto"/>
            <w:noWrap/>
            <w:vAlign w:val="center"/>
            <w:hideMark/>
          </w:tcPr>
          <w:p w14:paraId="0725016D"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1</w:t>
            </w:r>
          </w:p>
        </w:tc>
        <w:tc>
          <w:tcPr>
            <w:tcW w:w="671" w:type="dxa"/>
            <w:tcBorders>
              <w:top w:val="nil"/>
              <w:left w:val="nil"/>
              <w:bottom w:val="single" w:sz="8" w:space="0" w:color="auto"/>
              <w:right w:val="single" w:sz="8" w:space="0" w:color="auto"/>
            </w:tcBorders>
            <w:shd w:val="clear" w:color="auto" w:fill="auto"/>
            <w:noWrap/>
            <w:vAlign w:val="center"/>
            <w:hideMark/>
          </w:tcPr>
          <w:p w14:paraId="31B467DF"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531" w:type="dxa"/>
            <w:tcBorders>
              <w:top w:val="nil"/>
              <w:left w:val="nil"/>
              <w:bottom w:val="single" w:sz="8" w:space="0" w:color="auto"/>
              <w:right w:val="single" w:sz="8" w:space="0" w:color="auto"/>
            </w:tcBorders>
            <w:shd w:val="clear" w:color="auto" w:fill="auto"/>
            <w:noWrap/>
            <w:vAlign w:val="center"/>
            <w:hideMark/>
          </w:tcPr>
          <w:p w14:paraId="7101B578"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383" w:type="dxa"/>
            <w:tcBorders>
              <w:top w:val="nil"/>
              <w:left w:val="nil"/>
              <w:bottom w:val="single" w:sz="8" w:space="0" w:color="auto"/>
              <w:right w:val="single" w:sz="8" w:space="0" w:color="auto"/>
            </w:tcBorders>
            <w:shd w:val="clear" w:color="auto" w:fill="auto"/>
            <w:noWrap/>
            <w:vAlign w:val="center"/>
            <w:hideMark/>
          </w:tcPr>
          <w:p w14:paraId="699BA62A"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r>
      <w:tr w:rsidR="00B32783" w:rsidRPr="00B92144" w14:paraId="39B7308F" w14:textId="77777777" w:rsidTr="00B32783">
        <w:trPr>
          <w:trHeight w:val="300"/>
        </w:trPr>
        <w:tc>
          <w:tcPr>
            <w:tcW w:w="1259" w:type="dxa"/>
            <w:tcBorders>
              <w:top w:val="nil"/>
              <w:left w:val="single" w:sz="8" w:space="0" w:color="auto"/>
              <w:bottom w:val="single" w:sz="8" w:space="0" w:color="auto"/>
              <w:right w:val="single" w:sz="8" w:space="0" w:color="auto"/>
            </w:tcBorders>
            <w:shd w:val="clear" w:color="auto" w:fill="auto"/>
            <w:noWrap/>
            <w:vAlign w:val="center"/>
            <w:hideMark/>
          </w:tcPr>
          <w:p w14:paraId="7CA459EF"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BDFOREIGN</w:t>
            </w:r>
          </w:p>
        </w:tc>
        <w:tc>
          <w:tcPr>
            <w:tcW w:w="811" w:type="dxa"/>
            <w:tcBorders>
              <w:top w:val="nil"/>
              <w:left w:val="nil"/>
              <w:bottom w:val="single" w:sz="8" w:space="0" w:color="auto"/>
              <w:right w:val="single" w:sz="8" w:space="0" w:color="auto"/>
            </w:tcBorders>
            <w:shd w:val="clear" w:color="auto" w:fill="auto"/>
            <w:noWrap/>
            <w:vAlign w:val="center"/>
            <w:hideMark/>
          </w:tcPr>
          <w:p w14:paraId="481B183D"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-0.019</w:t>
            </w:r>
          </w:p>
        </w:tc>
        <w:tc>
          <w:tcPr>
            <w:tcW w:w="601" w:type="dxa"/>
            <w:tcBorders>
              <w:top w:val="nil"/>
              <w:left w:val="nil"/>
              <w:bottom w:val="single" w:sz="8" w:space="0" w:color="auto"/>
              <w:right w:val="single" w:sz="8" w:space="0" w:color="auto"/>
            </w:tcBorders>
            <w:shd w:val="clear" w:color="auto" w:fill="auto"/>
            <w:noWrap/>
            <w:vAlign w:val="center"/>
            <w:hideMark/>
          </w:tcPr>
          <w:p w14:paraId="527DC416"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0.038</w:t>
            </w:r>
          </w:p>
        </w:tc>
        <w:tc>
          <w:tcPr>
            <w:tcW w:w="839" w:type="dxa"/>
            <w:tcBorders>
              <w:top w:val="nil"/>
              <w:left w:val="nil"/>
              <w:bottom w:val="single" w:sz="8" w:space="0" w:color="auto"/>
              <w:right w:val="single" w:sz="8" w:space="0" w:color="auto"/>
            </w:tcBorders>
            <w:shd w:val="clear" w:color="auto" w:fill="auto"/>
            <w:noWrap/>
            <w:vAlign w:val="center"/>
            <w:hideMark/>
          </w:tcPr>
          <w:p w14:paraId="3DD8575C"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-0.409***</w:t>
            </w:r>
          </w:p>
        </w:tc>
        <w:tc>
          <w:tcPr>
            <w:tcW w:w="810" w:type="dxa"/>
            <w:tcBorders>
              <w:top w:val="nil"/>
              <w:left w:val="nil"/>
              <w:bottom w:val="single" w:sz="8" w:space="0" w:color="auto"/>
              <w:right w:val="single" w:sz="8" w:space="0" w:color="auto"/>
            </w:tcBorders>
            <w:shd w:val="clear" w:color="auto" w:fill="auto"/>
            <w:noWrap/>
            <w:vAlign w:val="center"/>
            <w:hideMark/>
          </w:tcPr>
          <w:p w14:paraId="2F9C3652"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0.005</w:t>
            </w:r>
          </w:p>
        </w:tc>
        <w:tc>
          <w:tcPr>
            <w:tcW w:w="810" w:type="dxa"/>
            <w:tcBorders>
              <w:top w:val="nil"/>
              <w:left w:val="nil"/>
              <w:bottom w:val="single" w:sz="8" w:space="0" w:color="auto"/>
              <w:right w:val="single" w:sz="8" w:space="0" w:color="auto"/>
            </w:tcBorders>
            <w:shd w:val="clear" w:color="auto" w:fill="auto"/>
            <w:noWrap/>
            <w:vAlign w:val="center"/>
            <w:hideMark/>
          </w:tcPr>
          <w:p w14:paraId="16DCAFB9"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-0.364***</w:t>
            </w:r>
          </w:p>
        </w:tc>
        <w:tc>
          <w:tcPr>
            <w:tcW w:w="810" w:type="dxa"/>
            <w:tcBorders>
              <w:top w:val="nil"/>
              <w:left w:val="nil"/>
              <w:bottom w:val="single" w:sz="8" w:space="0" w:color="auto"/>
              <w:right w:val="single" w:sz="8" w:space="0" w:color="auto"/>
            </w:tcBorders>
            <w:shd w:val="clear" w:color="auto" w:fill="auto"/>
            <w:noWrap/>
            <w:vAlign w:val="center"/>
            <w:hideMark/>
          </w:tcPr>
          <w:p w14:paraId="2B4E0E12"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-0.290***</w:t>
            </w:r>
          </w:p>
        </w:tc>
        <w:tc>
          <w:tcPr>
            <w:tcW w:w="810" w:type="dxa"/>
            <w:tcBorders>
              <w:top w:val="nil"/>
              <w:left w:val="nil"/>
              <w:bottom w:val="single" w:sz="8" w:space="0" w:color="auto"/>
              <w:right w:val="single" w:sz="8" w:space="0" w:color="auto"/>
            </w:tcBorders>
            <w:shd w:val="clear" w:color="auto" w:fill="auto"/>
            <w:noWrap/>
            <w:vAlign w:val="center"/>
            <w:hideMark/>
          </w:tcPr>
          <w:p w14:paraId="6C7E956A"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0.315***</w:t>
            </w:r>
          </w:p>
        </w:tc>
        <w:tc>
          <w:tcPr>
            <w:tcW w:w="900" w:type="dxa"/>
            <w:tcBorders>
              <w:top w:val="nil"/>
              <w:left w:val="nil"/>
              <w:bottom w:val="single" w:sz="8" w:space="0" w:color="auto"/>
              <w:right w:val="single" w:sz="8" w:space="0" w:color="auto"/>
            </w:tcBorders>
            <w:shd w:val="clear" w:color="auto" w:fill="auto"/>
            <w:noWrap/>
            <w:vAlign w:val="center"/>
            <w:hideMark/>
          </w:tcPr>
          <w:p w14:paraId="4F36EB48"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-0.133***</w:t>
            </w:r>
          </w:p>
        </w:tc>
        <w:tc>
          <w:tcPr>
            <w:tcW w:w="741" w:type="dxa"/>
            <w:tcBorders>
              <w:top w:val="nil"/>
              <w:left w:val="nil"/>
              <w:bottom w:val="single" w:sz="8" w:space="0" w:color="auto"/>
              <w:right w:val="single" w:sz="8" w:space="0" w:color="auto"/>
            </w:tcBorders>
            <w:shd w:val="clear" w:color="auto" w:fill="auto"/>
            <w:noWrap/>
            <w:vAlign w:val="center"/>
            <w:hideMark/>
          </w:tcPr>
          <w:p w14:paraId="08ED1907"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0.085***</w:t>
            </w:r>
          </w:p>
        </w:tc>
        <w:tc>
          <w:tcPr>
            <w:tcW w:w="741" w:type="dxa"/>
            <w:tcBorders>
              <w:top w:val="nil"/>
              <w:left w:val="nil"/>
              <w:bottom w:val="single" w:sz="8" w:space="0" w:color="auto"/>
              <w:right w:val="single" w:sz="8" w:space="0" w:color="auto"/>
            </w:tcBorders>
            <w:shd w:val="clear" w:color="auto" w:fill="auto"/>
            <w:noWrap/>
            <w:vAlign w:val="center"/>
            <w:hideMark/>
          </w:tcPr>
          <w:p w14:paraId="0AE5DC4A"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0.111**</w:t>
            </w:r>
          </w:p>
        </w:tc>
        <w:tc>
          <w:tcPr>
            <w:tcW w:w="678" w:type="dxa"/>
            <w:tcBorders>
              <w:top w:val="nil"/>
              <w:left w:val="nil"/>
              <w:bottom w:val="single" w:sz="8" w:space="0" w:color="auto"/>
              <w:right w:val="single" w:sz="8" w:space="0" w:color="auto"/>
            </w:tcBorders>
            <w:shd w:val="clear" w:color="auto" w:fill="auto"/>
            <w:noWrap/>
            <w:vAlign w:val="center"/>
            <w:hideMark/>
          </w:tcPr>
          <w:p w14:paraId="2F40C5F2"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0.002</w:t>
            </w:r>
          </w:p>
        </w:tc>
        <w:tc>
          <w:tcPr>
            <w:tcW w:w="671" w:type="dxa"/>
            <w:tcBorders>
              <w:top w:val="nil"/>
              <w:left w:val="nil"/>
              <w:bottom w:val="single" w:sz="8" w:space="0" w:color="auto"/>
              <w:right w:val="single" w:sz="8" w:space="0" w:color="auto"/>
            </w:tcBorders>
            <w:shd w:val="clear" w:color="auto" w:fill="auto"/>
            <w:noWrap/>
            <w:vAlign w:val="center"/>
            <w:hideMark/>
          </w:tcPr>
          <w:p w14:paraId="62F69E31"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1</w:t>
            </w:r>
          </w:p>
        </w:tc>
        <w:tc>
          <w:tcPr>
            <w:tcW w:w="531" w:type="dxa"/>
            <w:tcBorders>
              <w:top w:val="nil"/>
              <w:left w:val="nil"/>
              <w:bottom w:val="single" w:sz="8" w:space="0" w:color="auto"/>
              <w:right w:val="single" w:sz="8" w:space="0" w:color="auto"/>
            </w:tcBorders>
            <w:shd w:val="clear" w:color="auto" w:fill="auto"/>
            <w:noWrap/>
            <w:vAlign w:val="center"/>
            <w:hideMark/>
          </w:tcPr>
          <w:p w14:paraId="2A1FB05E"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c>
          <w:tcPr>
            <w:tcW w:w="383" w:type="dxa"/>
            <w:tcBorders>
              <w:top w:val="nil"/>
              <w:left w:val="nil"/>
              <w:bottom w:val="single" w:sz="8" w:space="0" w:color="auto"/>
              <w:right w:val="single" w:sz="8" w:space="0" w:color="auto"/>
            </w:tcBorders>
            <w:shd w:val="clear" w:color="auto" w:fill="auto"/>
            <w:noWrap/>
            <w:vAlign w:val="center"/>
            <w:hideMark/>
          </w:tcPr>
          <w:p w14:paraId="1CBDD593"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r>
      <w:tr w:rsidR="00B32783" w:rsidRPr="00B92144" w14:paraId="3EB224B5" w14:textId="77777777" w:rsidTr="00B32783">
        <w:trPr>
          <w:trHeight w:val="300"/>
        </w:trPr>
        <w:tc>
          <w:tcPr>
            <w:tcW w:w="1259" w:type="dxa"/>
            <w:tcBorders>
              <w:top w:val="nil"/>
              <w:left w:val="single" w:sz="8" w:space="0" w:color="auto"/>
              <w:bottom w:val="single" w:sz="8" w:space="0" w:color="auto"/>
              <w:right w:val="single" w:sz="8" w:space="0" w:color="auto"/>
            </w:tcBorders>
            <w:shd w:val="clear" w:color="auto" w:fill="auto"/>
            <w:noWrap/>
            <w:vAlign w:val="center"/>
            <w:hideMark/>
          </w:tcPr>
          <w:p w14:paraId="43CEB4B7"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xml:space="preserve">GDP </w:t>
            </w:r>
          </w:p>
        </w:tc>
        <w:tc>
          <w:tcPr>
            <w:tcW w:w="811" w:type="dxa"/>
            <w:tcBorders>
              <w:top w:val="nil"/>
              <w:left w:val="nil"/>
              <w:bottom w:val="single" w:sz="8" w:space="0" w:color="auto"/>
              <w:right w:val="single" w:sz="8" w:space="0" w:color="auto"/>
            </w:tcBorders>
            <w:shd w:val="clear" w:color="auto" w:fill="auto"/>
            <w:noWrap/>
            <w:vAlign w:val="center"/>
            <w:hideMark/>
          </w:tcPr>
          <w:p w14:paraId="6BF7B75B"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0.039</w:t>
            </w:r>
          </w:p>
        </w:tc>
        <w:tc>
          <w:tcPr>
            <w:tcW w:w="601" w:type="dxa"/>
            <w:tcBorders>
              <w:top w:val="nil"/>
              <w:left w:val="nil"/>
              <w:bottom w:val="single" w:sz="8" w:space="0" w:color="auto"/>
              <w:right w:val="single" w:sz="8" w:space="0" w:color="auto"/>
            </w:tcBorders>
            <w:shd w:val="clear" w:color="auto" w:fill="auto"/>
            <w:noWrap/>
            <w:vAlign w:val="center"/>
            <w:hideMark/>
          </w:tcPr>
          <w:p w14:paraId="194206F6"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0.041</w:t>
            </w:r>
          </w:p>
        </w:tc>
        <w:tc>
          <w:tcPr>
            <w:tcW w:w="839" w:type="dxa"/>
            <w:tcBorders>
              <w:top w:val="nil"/>
              <w:left w:val="nil"/>
              <w:bottom w:val="single" w:sz="8" w:space="0" w:color="auto"/>
              <w:right w:val="single" w:sz="8" w:space="0" w:color="auto"/>
            </w:tcBorders>
            <w:shd w:val="clear" w:color="auto" w:fill="auto"/>
            <w:noWrap/>
            <w:vAlign w:val="center"/>
            <w:hideMark/>
          </w:tcPr>
          <w:p w14:paraId="1511CA3C"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0.027</w:t>
            </w:r>
          </w:p>
        </w:tc>
        <w:tc>
          <w:tcPr>
            <w:tcW w:w="810" w:type="dxa"/>
            <w:tcBorders>
              <w:top w:val="nil"/>
              <w:left w:val="nil"/>
              <w:bottom w:val="single" w:sz="8" w:space="0" w:color="auto"/>
              <w:right w:val="single" w:sz="8" w:space="0" w:color="auto"/>
            </w:tcBorders>
            <w:shd w:val="clear" w:color="auto" w:fill="auto"/>
            <w:noWrap/>
            <w:vAlign w:val="center"/>
            <w:hideMark/>
          </w:tcPr>
          <w:p w14:paraId="6688227B"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-0.016</w:t>
            </w:r>
          </w:p>
        </w:tc>
        <w:tc>
          <w:tcPr>
            <w:tcW w:w="810" w:type="dxa"/>
            <w:tcBorders>
              <w:top w:val="nil"/>
              <w:left w:val="nil"/>
              <w:bottom w:val="single" w:sz="8" w:space="0" w:color="auto"/>
              <w:right w:val="single" w:sz="8" w:space="0" w:color="auto"/>
            </w:tcBorders>
            <w:shd w:val="clear" w:color="auto" w:fill="auto"/>
            <w:noWrap/>
            <w:vAlign w:val="center"/>
            <w:hideMark/>
          </w:tcPr>
          <w:p w14:paraId="0F9FBBDA"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-0.05</w:t>
            </w:r>
          </w:p>
        </w:tc>
        <w:tc>
          <w:tcPr>
            <w:tcW w:w="810" w:type="dxa"/>
            <w:tcBorders>
              <w:top w:val="nil"/>
              <w:left w:val="nil"/>
              <w:bottom w:val="single" w:sz="8" w:space="0" w:color="auto"/>
              <w:right w:val="single" w:sz="8" w:space="0" w:color="auto"/>
            </w:tcBorders>
            <w:shd w:val="clear" w:color="auto" w:fill="auto"/>
            <w:noWrap/>
            <w:vAlign w:val="center"/>
            <w:hideMark/>
          </w:tcPr>
          <w:p w14:paraId="7DF654A3"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0.035</w:t>
            </w:r>
          </w:p>
        </w:tc>
        <w:tc>
          <w:tcPr>
            <w:tcW w:w="810" w:type="dxa"/>
            <w:tcBorders>
              <w:top w:val="nil"/>
              <w:left w:val="nil"/>
              <w:bottom w:val="single" w:sz="8" w:space="0" w:color="auto"/>
              <w:right w:val="single" w:sz="8" w:space="0" w:color="auto"/>
            </w:tcBorders>
            <w:shd w:val="clear" w:color="auto" w:fill="auto"/>
            <w:noWrap/>
            <w:vAlign w:val="center"/>
            <w:hideMark/>
          </w:tcPr>
          <w:p w14:paraId="6E19E520"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0.137***</w:t>
            </w:r>
          </w:p>
        </w:tc>
        <w:tc>
          <w:tcPr>
            <w:tcW w:w="900" w:type="dxa"/>
            <w:tcBorders>
              <w:top w:val="nil"/>
              <w:left w:val="nil"/>
              <w:bottom w:val="single" w:sz="8" w:space="0" w:color="auto"/>
              <w:right w:val="single" w:sz="8" w:space="0" w:color="auto"/>
            </w:tcBorders>
            <w:shd w:val="clear" w:color="auto" w:fill="auto"/>
            <w:noWrap/>
            <w:vAlign w:val="center"/>
            <w:hideMark/>
          </w:tcPr>
          <w:p w14:paraId="7277FCD3"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-0.078</w:t>
            </w:r>
          </w:p>
        </w:tc>
        <w:tc>
          <w:tcPr>
            <w:tcW w:w="741" w:type="dxa"/>
            <w:tcBorders>
              <w:top w:val="nil"/>
              <w:left w:val="nil"/>
              <w:bottom w:val="single" w:sz="8" w:space="0" w:color="auto"/>
              <w:right w:val="single" w:sz="8" w:space="0" w:color="auto"/>
            </w:tcBorders>
            <w:shd w:val="clear" w:color="auto" w:fill="auto"/>
            <w:noWrap/>
            <w:vAlign w:val="center"/>
            <w:hideMark/>
          </w:tcPr>
          <w:p w14:paraId="002B22C4"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-0.069</w:t>
            </w:r>
          </w:p>
        </w:tc>
        <w:tc>
          <w:tcPr>
            <w:tcW w:w="741" w:type="dxa"/>
            <w:tcBorders>
              <w:top w:val="nil"/>
              <w:left w:val="nil"/>
              <w:bottom w:val="single" w:sz="8" w:space="0" w:color="auto"/>
              <w:right w:val="single" w:sz="8" w:space="0" w:color="auto"/>
            </w:tcBorders>
            <w:shd w:val="clear" w:color="auto" w:fill="auto"/>
            <w:noWrap/>
            <w:vAlign w:val="center"/>
            <w:hideMark/>
          </w:tcPr>
          <w:p w14:paraId="11E17347"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-0.013</w:t>
            </w:r>
          </w:p>
        </w:tc>
        <w:tc>
          <w:tcPr>
            <w:tcW w:w="678" w:type="dxa"/>
            <w:tcBorders>
              <w:top w:val="nil"/>
              <w:left w:val="nil"/>
              <w:bottom w:val="single" w:sz="8" w:space="0" w:color="auto"/>
              <w:right w:val="single" w:sz="8" w:space="0" w:color="auto"/>
            </w:tcBorders>
            <w:shd w:val="clear" w:color="auto" w:fill="auto"/>
            <w:noWrap/>
            <w:vAlign w:val="center"/>
            <w:hideMark/>
          </w:tcPr>
          <w:p w14:paraId="11101582"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-0.008*</w:t>
            </w:r>
          </w:p>
        </w:tc>
        <w:tc>
          <w:tcPr>
            <w:tcW w:w="671" w:type="dxa"/>
            <w:tcBorders>
              <w:top w:val="nil"/>
              <w:left w:val="nil"/>
              <w:bottom w:val="single" w:sz="8" w:space="0" w:color="auto"/>
              <w:right w:val="single" w:sz="8" w:space="0" w:color="auto"/>
            </w:tcBorders>
            <w:shd w:val="clear" w:color="auto" w:fill="auto"/>
            <w:noWrap/>
            <w:vAlign w:val="center"/>
            <w:hideMark/>
          </w:tcPr>
          <w:p w14:paraId="3115CC3D"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0.037**</w:t>
            </w:r>
          </w:p>
        </w:tc>
        <w:tc>
          <w:tcPr>
            <w:tcW w:w="531" w:type="dxa"/>
            <w:tcBorders>
              <w:top w:val="nil"/>
              <w:left w:val="nil"/>
              <w:bottom w:val="single" w:sz="8" w:space="0" w:color="auto"/>
              <w:right w:val="single" w:sz="8" w:space="0" w:color="auto"/>
            </w:tcBorders>
            <w:shd w:val="clear" w:color="auto" w:fill="auto"/>
            <w:noWrap/>
            <w:vAlign w:val="center"/>
            <w:hideMark/>
          </w:tcPr>
          <w:p w14:paraId="2C490C0C"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1</w:t>
            </w:r>
          </w:p>
        </w:tc>
        <w:tc>
          <w:tcPr>
            <w:tcW w:w="383" w:type="dxa"/>
            <w:tcBorders>
              <w:top w:val="nil"/>
              <w:left w:val="nil"/>
              <w:bottom w:val="single" w:sz="8" w:space="0" w:color="auto"/>
              <w:right w:val="single" w:sz="8" w:space="0" w:color="auto"/>
            </w:tcBorders>
            <w:shd w:val="clear" w:color="auto" w:fill="auto"/>
            <w:noWrap/>
            <w:vAlign w:val="center"/>
            <w:hideMark/>
          </w:tcPr>
          <w:p w14:paraId="095FE3C8"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 </w:t>
            </w:r>
          </w:p>
        </w:tc>
      </w:tr>
      <w:tr w:rsidR="00B32783" w:rsidRPr="00B92144" w14:paraId="55B414CC" w14:textId="77777777" w:rsidTr="00B32783">
        <w:trPr>
          <w:trHeight w:val="300"/>
        </w:trPr>
        <w:tc>
          <w:tcPr>
            <w:tcW w:w="1259" w:type="dxa"/>
            <w:tcBorders>
              <w:top w:val="nil"/>
              <w:left w:val="single" w:sz="8" w:space="0" w:color="auto"/>
              <w:bottom w:val="single" w:sz="8" w:space="0" w:color="auto"/>
              <w:right w:val="single" w:sz="8" w:space="0" w:color="auto"/>
            </w:tcBorders>
            <w:shd w:val="clear" w:color="auto" w:fill="auto"/>
            <w:noWrap/>
            <w:vAlign w:val="center"/>
            <w:hideMark/>
          </w:tcPr>
          <w:p w14:paraId="5336FE4F" w14:textId="77777777" w:rsidR="00B32783" w:rsidRPr="00B92144" w:rsidRDefault="00B32783" w:rsidP="00B32783">
            <w:pPr>
              <w:spacing w:after="0" w:line="240" w:lineRule="auto"/>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TIER1</w:t>
            </w:r>
          </w:p>
        </w:tc>
        <w:tc>
          <w:tcPr>
            <w:tcW w:w="811" w:type="dxa"/>
            <w:tcBorders>
              <w:top w:val="nil"/>
              <w:left w:val="nil"/>
              <w:bottom w:val="single" w:sz="8" w:space="0" w:color="auto"/>
              <w:right w:val="single" w:sz="8" w:space="0" w:color="auto"/>
            </w:tcBorders>
            <w:shd w:val="clear" w:color="auto" w:fill="auto"/>
            <w:noWrap/>
            <w:vAlign w:val="center"/>
            <w:hideMark/>
          </w:tcPr>
          <w:p w14:paraId="7FC6EC45"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0.017</w:t>
            </w:r>
          </w:p>
        </w:tc>
        <w:tc>
          <w:tcPr>
            <w:tcW w:w="601" w:type="dxa"/>
            <w:tcBorders>
              <w:top w:val="nil"/>
              <w:left w:val="nil"/>
              <w:bottom w:val="single" w:sz="8" w:space="0" w:color="auto"/>
              <w:right w:val="single" w:sz="8" w:space="0" w:color="auto"/>
            </w:tcBorders>
            <w:shd w:val="clear" w:color="auto" w:fill="auto"/>
            <w:noWrap/>
            <w:vAlign w:val="center"/>
            <w:hideMark/>
          </w:tcPr>
          <w:p w14:paraId="0D630F87"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0.025</w:t>
            </w:r>
          </w:p>
        </w:tc>
        <w:tc>
          <w:tcPr>
            <w:tcW w:w="839" w:type="dxa"/>
            <w:tcBorders>
              <w:top w:val="nil"/>
              <w:left w:val="nil"/>
              <w:bottom w:val="single" w:sz="8" w:space="0" w:color="auto"/>
              <w:right w:val="single" w:sz="8" w:space="0" w:color="auto"/>
            </w:tcBorders>
            <w:shd w:val="clear" w:color="auto" w:fill="auto"/>
            <w:noWrap/>
            <w:vAlign w:val="center"/>
            <w:hideMark/>
          </w:tcPr>
          <w:p w14:paraId="2C575648"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-0.167***</w:t>
            </w:r>
          </w:p>
        </w:tc>
        <w:tc>
          <w:tcPr>
            <w:tcW w:w="810" w:type="dxa"/>
            <w:tcBorders>
              <w:top w:val="nil"/>
              <w:left w:val="nil"/>
              <w:bottom w:val="single" w:sz="8" w:space="0" w:color="auto"/>
              <w:right w:val="single" w:sz="8" w:space="0" w:color="auto"/>
            </w:tcBorders>
            <w:shd w:val="clear" w:color="auto" w:fill="auto"/>
            <w:noWrap/>
            <w:vAlign w:val="center"/>
            <w:hideMark/>
          </w:tcPr>
          <w:p w14:paraId="2D95D063"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-0.62</w:t>
            </w:r>
          </w:p>
        </w:tc>
        <w:tc>
          <w:tcPr>
            <w:tcW w:w="810" w:type="dxa"/>
            <w:tcBorders>
              <w:top w:val="nil"/>
              <w:left w:val="nil"/>
              <w:bottom w:val="single" w:sz="8" w:space="0" w:color="auto"/>
              <w:right w:val="single" w:sz="8" w:space="0" w:color="auto"/>
            </w:tcBorders>
            <w:shd w:val="clear" w:color="auto" w:fill="auto"/>
            <w:noWrap/>
            <w:vAlign w:val="center"/>
            <w:hideMark/>
          </w:tcPr>
          <w:p w14:paraId="676843B3"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0.003</w:t>
            </w:r>
          </w:p>
        </w:tc>
        <w:tc>
          <w:tcPr>
            <w:tcW w:w="810" w:type="dxa"/>
            <w:tcBorders>
              <w:top w:val="nil"/>
              <w:left w:val="nil"/>
              <w:bottom w:val="single" w:sz="8" w:space="0" w:color="auto"/>
              <w:right w:val="single" w:sz="8" w:space="0" w:color="auto"/>
            </w:tcBorders>
            <w:shd w:val="clear" w:color="auto" w:fill="auto"/>
            <w:noWrap/>
            <w:vAlign w:val="center"/>
            <w:hideMark/>
          </w:tcPr>
          <w:p w14:paraId="25FA0CC9"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-0.267***</w:t>
            </w:r>
          </w:p>
        </w:tc>
        <w:tc>
          <w:tcPr>
            <w:tcW w:w="810" w:type="dxa"/>
            <w:tcBorders>
              <w:top w:val="nil"/>
              <w:left w:val="nil"/>
              <w:bottom w:val="single" w:sz="8" w:space="0" w:color="auto"/>
              <w:right w:val="single" w:sz="8" w:space="0" w:color="auto"/>
            </w:tcBorders>
            <w:shd w:val="clear" w:color="auto" w:fill="auto"/>
            <w:noWrap/>
            <w:vAlign w:val="center"/>
            <w:hideMark/>
          </w:tcPr>
          <w:p w14:paraId="04C93DEF"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0.073</w:t>
            </w:r>
          </w:p>
        </w:tc>
        <w:tc>
          <w:tcPr>
            <w:tcW w:w="900" w:type="dxa"/>
            <w:tcBorders>
              <w:top w:val="nil"/>
              <w:left w:val="nil"/>
              <w:bottom w:val="single" w:sz="8" w:space="0" w:color="auto"/>
              <w:right w:val="single" w:sz="8" w:space="0" w:color="auto"/>
            </w:tcBorders>
            <w:shd w:val="clear" w:color="auto" w:fill="auto"/>
            <w:noWrap/>
            <w:vAlign w:val="center"/>
            <w:hideMark/>
          </w:tcPr>
          <w:p w14:paraId="3759B52B"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0.195***</w:t>
            </w:r>
          </w:p>
        </w:tc>
        <w:tc>
          <w:tcPr>
            <w:tcW w:w="741" w:type="dxa"/>
            <w:tcBorders>
              <w:top w:val="nil"/>
              <w:left w:val="nil"/>
              <w:bottom w:val="single" w:sz="8" w:space="0" w:color="auto"/>
              <w:right w:val="single" w:sz="8" w:space="0" w:color="auto"/>
            </w:tcBorders>
            <w:shd w:val="clear" w:color="auto" w:fill="auto"/>
            <w:noWrap/>
            <w:vAlign w:val="center"/>
            <w:hideMark/>
          </w:tcPr>
          <w:p w14:paraId="07880712"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0.220***</w:t>
            </w:r>
          </w:p>
        </w:tc>
        <w:tc>
          <w:tcPr>
            <w:tcW w:w="741" w:type="dxa"/>
            <w:tcBorders>
              <w:top w:val="nil"/>
              <w:left w:val="nil"/>
              <w:bottom w:val="single" w:sz="8" w:space="0" w:color="auto"/>
              <w:right w:val="single" w:sz="8" w:space="0" w:color="auto"/>
            </w:tcBorders>
            <w:shd w:val="clear" w:color="auto" w:fill="auto"/>
            <w:noWrap/>
            <w:vAlign w:val="center"/>
            <w:hideMark/>
          </w:tcPr>
          <w:p w14:paraId="0883E5DB" w14:textId="77777777" w:rsidR="00B32783" w:rsidRPr="00B92144" w:rsidRDefault="00B32783" w:rsidP="00B32783">
            <w:pPr>
              <w:spacing w:after="0" w:line="240" w:lineRule="auto"/>
              <w:jc w:val="right"/>
              <w:rPr>
                <w:rFonts w:asciiTheme="majorBidi" w:eastAsia="Times New Roman" w:hAnsiTheme="majorBidi" w:cstheme="majorBidi"/>
                <w:b/>
                <w:bCs/>
                <w:color w:val="000000"/>
                <w:sz w:val="14"/>
                <w:szCs w:val="14"/>
              </w:rPr>
            </w:pPr>
            <w:r w:rsidRPr="00B92144">
              <w:rPr>
                <w:rFonts w:asciiTheme="majorBidi" w:eastAsia="Times New Roman" w:hAnsiTheme="majorBidi" w:cstheme="majorBidi"/>
                <w:b/>
                <w:bCs/>
                <w:color w:val="000000"/>
                <w:sz w:val="14"/>
                <w:szCs w:val="14"/>
              </w:rPr>
              <w:t>0.012***</w:t>
            </w:r>
          </w:p>
        </w:tc>
        <w:tc>
          <w:tcPr>
            <w:tcW w:w="678" w:type="dxa"/>
            <w:tcBorders>
              <w:top w:val="nil"/>
              <w:left w:val="nil"/>
              <w:bottom w:val="single" w:sz="8" w:space="0" w:color="auto"/>
              <w:right w:val="single" w:sz="8" w:space="0" w:color="auto"/>
            </w:tcBorders>
            <w:shd w:val="clear" w:color="auto" w:fill="auto"/>
            <w:noWrap/>
            <w:vAlign w:val="center"/>
            <w:hideMark/>
          </w:tcPr>
          <w:p w14:paraId="4715AB65"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-0.017</w:t>
            </w:r>
          </w:p>
        </w:tc>
        <w:tc>
          <w:tcPr>
            <w:tcW w:w="671" w:type="dxa"/>
            <w:tcBorders>
              <w:top w:val="nil"/>
              <w:left w:val="nil"/>
              <w:bottom w:val="single" w:sz="8" w:space="0" w:color="auto"/>
              <w:right w:val="single" w:sz="8" w:space="0" w:color="auto"/>
            </w:tcBorders>
            <w:shd w:val="clear" w:color="auto" w:fill="auto"/>
            <w:noWrap/>
            <w:vAlign w:val="center"/>
            <w:hideMark/>
          </w:tcPr>
          <w:p w14:paraId="255D1B4F"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-0.051</w:t>
            </w:r>
          </w:p>
        </w:tc>
        <w:tc>
          <w:tcPr>
            <w:tcW w:w="531" w:type="dxa"/>
            <w:tcBorders>
              <w:top w:val="nil"/>
              <w:left w:val="nil"/>
              <w:bottom w:val="single" w:sz="8" w:space="0" w:color="auto"/>
              <w:right w:val="single" w:sz="8" w:space="0" w:color="auto"/>
            </w:tcBorders>
            <w:shd w:val="clear" w:color="auto" w:fill="auto"/>
            <w:noWrap/>
            <w:vAlign w:val="center"/>
            <w:hideMark/>
          </w:tcPr>
          <w:p w14:paraId="7FED6276"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0.051</w:t>
            </w:r>
          </w:p>
        </w:tc>
        <w:tc>
          <w:tcPr>
            <w:tcW w:w="383" w:type="dxa"/>
            <w:tcBorders>
              <w:top w:val="nil"/>
              <w:left w:val="nil"/>
              <w:bottom w:val="single" w:sz="8" w:space="0" w:color="auto"/>
              <w:right w:val="single" w:sz="8" w:space="0" w:color="auto"/>
            </w:tcBorders>
            <w:shd w:val="clear" w:color="auto" w:fill="auto"/>
            <w:noWrap/>
            <w:vAlign w:val="center"/>
            <w:hideMark/>
          </w:tcPr>
          <w:p w14:paraId="50E754FB" w14:textId="77777777" w:rsidR="00B32783" w:rsidRPr="00B92144" w:rsidRDefault="00B32783" w:rsidP="00B32783">
            <w:pPr>
              <w:spacing w:after="0" w:line="240" w:lineRule="auto"/>
              <w:jc w:val="right"/>
              <w:rPr>
                <w:rFonts w:asciiTheme="majorBidi" w:eastAsia="Times New Roman" w:hAnsiTheme="majorBidi" w:cstheme="majorBidi"/>
                <w:color w:val="000000"/>
                <w:sz w:val="14"/>
                <w:szCs w:val="14"/>
              </w:rPr>
            </w:pPr>
            <w:r w:rsidRPr="00B92144">
              <w:rPr>
                <w:rFonts w:asciiTheme="majorBidi" w:eastAsia="Times New Roman" w:hAnsiTheme="majorBidi" w:cstheme="majorBidi"/>
                <w:color w:val="000000"/>
                <w:sz w:val="14"/>
                <w:szCs w:val="14"/>
              </w:rPr>
              <w:t>1</w:t>
            </w:r>
          </w:p>
        </w:tc>
      </w:tr>
    </w:tbl>
    <w:p w14:paraId="59F79144" w14:textId="77777777" w:rsidR="00B32783" w:rsidRPr="00B92144" w:rsidRDefault="00B32783" w:rsidP="0071253E">
      <w:pPr>
        <w:spacing w:after="0"/>
        <w:rPr>
          <w:rFonts w:asciiTheme="majorBidi" w:hAnsiTheme="majorBidi" w:cstheme="majorBidi"/>
          <w:sz w:val="18"/>
          <w:szCs w:val="18"/>
        </w:rPr>
      </w:pPr>
    </w:p>
    <w:p w14:paraId="6F32246F" w14:textId="42C9FCE4" w:rsidR="0071253E" w:rsidRPr="00B92144" w:rsidRDefault="0071253E" w:rsidP="0071253E">
      <w:pPr>
        <w:spacing w:after="0"/>
        <w:rPr>
          <w:rFonts w:asciiTheme="majorBidi" w:hAnsiTheme="majorBidi" w:cstheme="majorBidi"/>
          <w:sz w:val="18"/>
          <w:szCs w:val="18"/>
        </w:rPr>
      </w:pPr>
      <w:r w:rsidRPr="00B92144">
        <w:rPr>
          <w:rFonts w:asciiTheme="majorBidi" w:hAnsiTheme="majorBidi" w:cstheme="majorBidi"/>
          <w:sz w:val="18"/>
          <w:szCs w:val="18"/>
        </w:rPr>
        <w:t>*, **, and *** indicate significance at 10%, 5%, and 1% level.</w:t>
      </w:r>
    </w:p>
    <w:p w14:paraId="54B599F2" w14:textId="77777777" w:rsidR="00BD3D0A" w:rsidRPr="00B92144" w:rsidRDefault="00BD3D0A" w:rsidP="00F65F01">
      <w:pPr>
        <w:rPr>
          <w:rFonts w:asciiTheme="majorBidi" w:hAnsiTheme="majorBidi" w:cstheme="majorBidi"/>
          <w:sz w:val="24"/>
          <w:szCs w:val="24"/>
        </w:rPr>
      </w:pPr>
    </w:p>
    <w:p w14:paraId="55DFCBEE" w14:textId="77777777" w:rsidR="00E82AA2" w:rsidRPr="00B92144" w:rsidRDefault="00E82AA2">
      <w:pPr>
        <w:rPr>
          <w:rFonts w:asciiTheme="majorBidi" w:hAnsiTheme="majorBidi" w:cstheme="majorBidi"/>
          <w:sz w:val="24"/>
          <w:szCs w:val="24"/>
        </w:rPr>
      </w:pPr>
      <w:r w:rsidRPr="00B92144">
        <w:rPr>
          <w:rFonts w:asciiTheme="majorBidi" w:hAnsiTheme="majorBidi" w:cstheme="majorBidi"/>
          <w:sz w:val="24"/>
          <w:szCs w:val="24"/>
        </w:rPr>
        <w:br w:type="page"/>
      </w:r>
    </w:p>
    <w:p w14:paraId="059F3C56" w14:textId="77777777" w:rsidR="00E82AA2" w:rsidRPr="00B92144" w:rsidRDefault="00E82AA2">
      <w:pPr>
        <w:rPr>
          <w:rFonts w:asciiTheme="majorBidi" w:hAnsiTheme="majorBidi" w:cstheme="majorBidi"/>
          <w:sz w:val="24"/>
          <w:szCs w:val="24"/>
        </w:rPr>
        <w:sectPr w:rsidR="00E82AA2" w:rsidRPr="00B92144" w:rsidSect="00F65F01">
          <w:pgSz w:w="15840" w:h="12240" w:orient="landscape"/>
          <w:pgMar w:top="1440" w:right="1440" w:bottom="1440" w:left="1440" w:header="720" w:footer="720" w:gutter="0"/>
          <w:cols w:space="720"/>
          <w:docGrid w:linePitch="360"/>
        </w:sectPr>
      </w:pPr>
    </w:p>
    <w:p w14:paraId="7C6EC57F" w14:textId="273AA1DE" w:rsidR="00532B65" w:rsidRPr="00B92144" w:rsidRDefault="00532B65" w:rsidP="00EB3533">
      <w:pPr>
        <w:rPr>
          <w:rFonts w:asciiTheme="majorBidi" w:hAnsiTheme="majorBidi" w:cstheme="majorBidi"/>
          <w:b/>
          <w:bCs/>
          <w:sz w:val="24"/>
          <w:szCs w:val="24"/>
        </w:rPr>
      </w:pPr>
      <w:r w:rsidRPr="00B92144">
        <w:rPr>
          <w:rFonts w:asciiTheme="majorBidi" w:hAnsiTheme="majorBidi" w:cstheme="majorBidi"/>
          <w:b/>
          <w:bCs/>
          <w:sz w:val="24"/>
          <w:szCs w:val="24"/>
        </w:rPr>
        <w:t xml:space="preserve">Table 6: Determinants of </w:t>
      </w:r>
      <w:r w:rsidR="00EB3533" w:rsidRPr="00B92144">
        <w:rPr>
          <w:rFonts w:asciiTheme="majorBidi" w:hAnsiTheme="majorBidi" w:cstheme="majorBidi"/>
          <w:b/>
          <w:bCs/>
          <w:sz w:val="24"/>
          <w:szCs w:val="24"/>
        </w:rPr>
        <w:t>RRD</w:t>
      </w:r>
      <w:r w:rsidRPr="00B92144">
        <w:rPr>
          <w:rFonts w:asciiTheme="majorBidi" w:hAnsiTheme="majorBidi" w:cstheme="majorBidi"/>
          <w:b/>
          <w:bCs/>
          <w:sz w:val="24"/>
          <w:szCs w:val="24"/>
        </w:rPr>
        <w:t>.</w:t>
      </w:r>
    </w:p>
    <w:tbl>
      <w:tblPr>
        <w:tblW w:w="12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960"/>
        <w:gridCol w:w="958"/>
        <w:gridCol w:w="1116"/>
        <w:gridCol w:w="420"/>
        <w:gridCol w:w="960"/>
        <w:gridCol w:w="967"/>
        <w:gridCol w:w="1229"/>
        <w:gridCol w:w="222"/>
        <w:gridCol w:w="960"/>
        <w:gridCol w:w="956"/>
        <w:gridCol w:w="1862"/>
      </w:tblGrid>
      <w:tr w:rsidR="00920DB5" w:rsidRPr="00B92144" w14:paraId="3DA36C05" w14:textId="77777777" w:rsidTr="0071253E">
        <w:trPr>
          <w:trHeight w:val="300"/>
          <w:jc w:val="center"/>
        </w:trPr>
        <w:tc>
          <w:tcPr>
            <w:tcW w:w="2003" w:type="dxa"/>
            <w:shd w:val="clear" w:color="auto" w:fill="auto"/>
            <w:noWrap/>
            <w:vAlign w:val="bottom"/>
            <w:hideMark/>
          </w:tcPr>
          <w:p w14:paraId="409B913F" w14:textId="77777777" w:rsidR="00920DB5" w:rsidRPr="00B92144" w:rsidRDefault="00920DB5" w:rsidP="00532B65">
            <w:pPr>
              <w:spacing w:after="0" w:line="240" w:lineRule="auto"/>
              <w:rPr>
                <w:rFonts w:asciiTheme="majorBidi" w:eastAsia="Times New Roman" w:hAnsiTheme="majorBidi" w:cstheme="majorBidi"/>
              </w:rPr>
            </w:pPr>
          </w:p>
        </w:tc>
        <w:tc>
          <w:tcPr>
            <w:tcW w:w="3034" w:type="dxa"/>
            <w:gridSpan w:val="3"/>
            <w:shd w:val="clear" w:color="auto" w:fill="auto"/>
            <w:noWrap/>
            <w:vAlign w:val="bottom"/>
            <w:hideMark/>
          </w:tcPr>
          <w:p w14:paraId="2B1FFE52" w14:textId="6DB12D20" w:rsidR="00920DB5" w:rsidRPr="00B92144" w:rsidRDefault="008677A6" w:rsidP="00920DB5">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PANEL A: POOLED SAMPLE</w:t>
            </w:r>
          </w:p>
        </w:tc>
        <w:tc>
          <w:tcPr>
            <w:tcW w:w="420" w:type="dxa"/>
            <w:shd w:val="clear" w:color="auto" w:fill="auto"/>
            <w:noWrap/>
            <w:vAlign w:val="bottom"/>
            <w:hideMark/>
          </w:tcPr>
          <w:p w14:paraId="056C60DE" w14:textId="77777777" w:rsidR="00920DB5" w:rsidRPr="00B92144" w:rsidRDefault="00920DB5" w:rsidP="00920DB5">
            <w:pPr>
              <w:spacing w:after="0" w:line="240" w:lineRule="auto"/>
              <w:jc w:val="center"/>
              <w:rPr>
                <w:rFonts w:asciiTheme="majorBidi" w:eastAsia="Times New Roman" w:hAnsiTheme="majorBidi" w:cstheme="majorBidi"/>
                <w:b/>
                <w:color w:val="000000"/>
              </w:rPr>
            </w:pPr>
          </w:p>
        </w:tc>
        <w:tc>
          <w:tcPr>
            <w:tcW w:w="3378" w:type="dxa"/>
            <w:gridSpan w:val="4"/>
            <w:shd w:val="clear" w:color="auto" w:fill="auto"/>
            <w:noWrap/>
            <w:vAlign w:val="bottom"/>
            <w:hideMark/>
          </w:tcPr>
          <w:p w14:paraId="29CCC64B" w14:textId="6F1B94A3" w:rsidR="00920DB5" w:rsidRPr="00B92144" w:rsidRDefault="008677A6" w:rsidP="00AF6B93">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PANEL B: ISLAMIC BANKS</w:t>
            </w:r>
          </w:p>
        </w:tc>
        <w:tc>
          <w:tcPr>
            <w:tcW w:w="3778" w:type="dxa"/>
            <w:gridSpan w:val="3"/>
            <w:shd w:val="clear" w:color="auto" w:fill="auto"/>
            <w:noWrap/>
            <w:vAlign w:val="bottom"/>
            <w:hideMark/>
          </w:tcPr>
          <w:p w14:paraId="2FDFF414" w14:textId="0BDF729A" w:rsidR="00920DB5" w:rsidRPr="00B92144" w:rsidRDefault="008677A6" w:rsidP="008677A6">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PANEL C: CONVENTIONAL BANKS</w:t>
            </w:r>
          </w:p>
        </w:tc>
      </w:tr>
      <w:tr w:rsidR="00920DB5" w:rsidRPr="00B92144" w14:paraId="5B836680" w14:textId="77777777" w:rsidTr="0071253E">
        <w:trPr>
          <w:trHeight w:val="243"/>
          <w:jc w:val="center"/>
        </w:trPr>
        <w:tc>
          <w:tcPr>
            <w:tcW w:w="2003" w:type="dxa"/>
            <w:shd w:val="clear" w:color="auto" w:fill="auto"/>
            <w:noWrap/>
            <w:vAlign w:val="bottom"/>
            <w:hideMark/>
          </w:tcPr>
          <w:p w14:paraId="4173E3F8" w14:textId="77777777" w:rsidR="00532B65" w:rsidRPr="00B92144" w:rsidRDefault="00532B65" w:rsidP="00532B65">
            <w:pPr>
              <w:spacing w:after="0" w:line="240" w:lineRule="auto"/>
              <w:rPr>
                <w:rFonts w:asciiTheme="majorBidi" w:eastAsia="Times New Roman" w:hAnsiTheme="majorBidi" w:cstheme="majorBidi"/>
                <w:color w:val="000000"/>
              </w:rPr>
            </w:pPr>
          </w:p>
        </w:tc>
        <w:tc>
          <w:tcPr>
            <w:tcW w:w="960" w:type="dxa"/>
            <w:shd w:val="clear" w:color="auto" w:fill="auto"/>
            <w:noWrap/>
            <w:vAlign w:val="bottom"/>
            <w:hideMark/>
          </w:tcPr>
          <w:p w14:paraId="15FD6701" w14:textId="77777777" w:rsidR="00532B65" w:rsidRPr="00B92144" w:rsidRDefault="00920DB5" w:rsidP="00920DB5">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C</w:t>
            </w:r>
            <w:r w:rsidR="00532B65" w:rsidRPr="00B92144">
              <w:rPr>
                <w:rFonts w:asciiTheme="majorBidi" w:eastAsia="Times New Roman" w:hAnsiTheme="majorBidi" w:cstheme="majorBidi"/>
                <w:color w:val="000000"/>
              </w:rPr>
              <w:t>oef</w:t>
            </w:r>
          </w:p>
        </w:tc>
        <w:tc>
          <w:tcPr>
            <w:tcW w:w="958" w:type="dxa"/>
            <w:shd w:val="clear" w:color="auto" w:fill="auto"/>
            <w:noWrap/>
            <w:vAlign w:val="bottom"/>
            <w:hideMark/>
          </w:tcPr>
          <w:p w14:paraId="356556E6" w14:textId="77777777" w:rsidR="00532B65" w:rsidRPr="00B92144" w:rsidRDefault="00532B65" w:rsidP="00920DB5">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T-stat</w:t>
            </w:r>
          </w:p>
        </w:tc>
        <w:tc>
          <w:tcPr>
            <w:tcW w:w="1116" w:type="dxa"/>
            <w:shd w:val="clear" w:color="auto" w:fill="auto"/>
            <w:noWrap/>
            <w:vAlign w:val="bottom"/>
            <w:hideMark/>
          </w:tcPr>
          <w:p w14:paraId="0BC37E9D" w14:textId="77777777" w:rsidR="00532B65" w:rsidRPr="00B92144" w:rsidRDefault="00532B65" w:rsidP="00920DB5">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P-value</w:t>
            </w:r>
          </w:p>
        </w:tc>
        <w:tc>
          <w:tcPr>
            <w:tcW w:w="420" w:type="dxa"/>
            <w:shd w:val="clear" w:color="auto" w:fill="auto"/>
            <w:noWrap/>
            <w:vAlign w:val="bottom"/>
            <w:hideMark/>
          </w:tcPr>
          <w:p w14:paraId="65DD0455" w14:textId="77777777" w:rsidR="00532B65" w:rsidRPr="00B92144" w:rsidRDefault="00532B65" w:rsidP="00920DB5">
            <w:pPr>
              <w:spacing w:after="0" w:line="240" w:lineRule="auto"/>
              <w:jc w:val="center"/>
              <w:rPr>
                <w:rFonts w:asciiTheme="majorBidi" w:eastAsia="Times New Roman" w:hAnsiTheme="majorBidi" w:cstheme="majorBidi"/>
                <w:color w:val="000000"/>
              </w:rPr>
            </w:pPr>
          </w:p>
        </w:tc>
        <w:tc>
          <w:tcPr>
            <w:tcW w:w="960" w:type="dxa"/>
            <w:shd w:val="clear" w:color="auto" w:fill="auto"/>
            <w:noWrap/>
            <w:vAlign w:val="bottom"/>
            <w:hideMark/>
          </w:tcPr>
          <w:p w14:paraId="6AFC0CAA" w14:textId="77777777" w:rsidR="00532B65" w:rsidRPr="00B92144" w:rsidRDefault="00920DB5" w:rsidP="00920DB5">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C</w:t>
            </w:r>
            <w:r w:rsidR="00532B65" w:rsidRPr="00B92144">
              <w:rPr>
                <w:rFonts w:asciiTheme="majorBidi" w:eastAsia="Times New Roman" w:hAnsiTheme="majorBidi" w:cstheme="majorBidi"/>
                <w:color w:val="000000"/>
              </w:rPr>
              <w:t>oef</w:t>
            </w:r>
          </w:p>
        </w:tc>
        <w:tc>
          <w:tcPr>
            <w:tcW w:w="967" w:type="dxa"/>
            <w:shd w:val="clear" w:color="auto" w:fill="auto"/>
            <w:noWrap/>
            <w:vAlign w:val="bottom"/>
            <w:hideMark/>
          </w:tcPr>
          <w:p w14:paraId="627EC327" w14:textId="77777777" w:rsidR="00532B65" w:rsidRPr="00B92144" w:rsidRDefault="00532B65" w:rsidP="00920DB5">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T-stat</w:t>
            </w:r>
          </w:p>
        </w:tc>
        <w:tc>
          <w:tcPr>
            <w:tcW w:w="1229" w:type="dxa"/>
            <w:shd w:val="clear" w:color="auto" w:fill="auto"/>
            <w:noWrap/>
            <w:vAlign w:val="bottom"/>
            <w:hideMark/>
          </w:tcPr>
          <w:p w14:paraId="34119080" w14:textId="77777777" w:rsidR="00532B65" w:rsidRPr="00B92144" w:rsidRDefault="00532B65" w:rsidP="00920DB5">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P-value</w:t>
            </w:r>
          </w:p>
        </w:tc>
        <w:tc>
          <w:tcPr>
            <w:tcW w:w="222" w:type="dxa"/>
            <w:shd w:val="clear" w:color="auto" w:fill="auto"/>
            <w:noWrap/>
            <w:vAlign w:val="bottom"/>
            <w:hideMark/>
          </w:tcPr>
          <w:p w14:paraId="20E15678" w14:textId="77777777" w:rsidR="00532B65" w:rsidRPr="00B92144" w:rsidRDefault="00532B65" w:rsidP="00920DB5">
            <w:pPr>
              <w:spacing w:after="0" w:line="240" w:lineRule="auto"/>
              <w:jc w:val="center"/>
              <w:rPr>
                <w:rFonts w:asciiTheme="majorBidi" w:eastAsia="Times New Roman" w:hAnsiTheme="majorBidi" w:cstheme="majorBidi"/>
                <w:color w:val="000000"/>
              </w:rPr>
            </w:pPr>
          </w:p>
        </w:tc>
        <w:tc>
          <w:tcPr>
            <w:tcW w:w="960" w:type="dxa"/>
            <w:shd w:val="clear" w:color="auto" w:fill="auto"/>
            <w:noWrap/>
            <w:vAlign w:val="bottom"/>
            <w:hideMark/>
          </w:tcPr>
          <w:p w14:paraId="7FBEF682" w14:textId="77777777" w:rsidR="00532B65" w:rsidRPr="00B92144" w:rsidRDefault="00920DB5" w:rsidP="00920DB5">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C</w:t>
            </w:r>
            <w:r w:rsidR="00532B65" w:rsidRPr="00B92144">
              <w:rPr>
                <w:rFonts w:asciiTheme="majorBidi" w:eastAsia="Times New Roman" w:hAnsiTheme="majorBidi" w:cstheme="majorBidi"/>
                <w:color w:val="000000"/>
              </w:rPr>
              <w:t>oef</w:t>
            </w:r>
          </w:p>
        </w:tc>
        <w:tc>
          <w:tcPr>
            <w:tcW w:w="956" w:type="dxa"/>
            <w:shd w:val="clear" w:color="auto" w:fill="auto"/>
            <w:noWrap/>
            <w:vAlign w:val="bottom"/>
            <w:hideMark/>
          </w:tcPr>
          <w:p w14:paraId="5C03CCEA" w14:textId="77777777" w:rsidR="00532B65" w:rsidRPr="00B92144" w:rsidRDefault="00532B65" w:rsidP="00920DB5">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T-stat</w:t>
            </w:r>
          </w:p>
        </w:tc>
        <w:tc>
          <w:tcPr>
            <w:tcW w:w="1862" w:type="dxa"/>
            <w:shd w:val="clear" w:color="auto" w:fill="auto"/>
            <w:noWrap/>
            <w:vAlign w:val="bottom"/>
            <w:hideMark/>
          </w:tcPr>
          <w:p w14:paraId="18D9183C" w14:textId="77777777" w:rsidR="00532B65" w:rsidRPr="00B92144" w:rsidRDefault="00532B65" w:rsidP="00920DB5">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P-value</w:t>
            </w:r>
          </w:p>
        </w:tc>
      </w:tr>
      <w:tr w:rsidR="00920DB5" w:rsidRPr="00B92144" w14:paraId="25E0ADBF" w14:textId="77777777" w:rsidTr="0071253E">
        <w:trPr>
          <w:trHeight w:val="300"/>
          <w:jc w:val="center"/>
        </w:trPr>
        <w:tc>
          <w:tcPr>
            <w:tcW w:w="2003" w:type="dxa"/>
            <w:shd w:val="clear" w:color="auto" w:fill="auto"/>
            <w:noWrap/>
            <w:vAlign w:val="bottom"/>
            <w:hideMark/>
          </w:tcPr>
          <w:p w14:paraId="5B0018E3" w14:textId="77777777" w:rsidR="00532B65" w:rsidRPr="00B92144" w:rsidRDefault="00532B65" w:rsidP="00532B65">
            <w:pPr>
              <w:spacing w:after="0" w:line="240" w:lineRule="auto"/>
              <w:rPr>
                <w:rFonts w:asciiTheme="majorBidi" w:eastAsia="Times New Roman" w:hAnsiTheme="majorBidi" w:cstheme="majorBidi"/>
                <w:color w:val="000000"/>
              </w:rPr>
            </w:pPr>
          </w:p>
        </w:tc>
        <w:tc>
          <w:tcPr>
            <w:tcW w:w="960" w:type="dxa"/>
            <w:shd w:val="clear" w:color="auto" w:fill="auto"/>
            <w:noWrap/>
            <w:vAlign w:val="bottom"/>
            <w:hideMark/>
          </w:tcPr>
          <w:p w14:paraId="2DC794E2" w14:textId="77777777" w:rsidR="00532B65" w:rsidRPr="00B92144" w:rsidRDefault="00532B65" w:rsidP="00532B65">
            <w:pPr>
              <w:spacing w:after="0" w:line="240" w:lineRule="auto"/>
              <w:rPr>
                <w:rFonts w:asciiTheme="majorBidi" w:eastAsia="Times New Roman" w:hAnsiTheme="majorBidi" w:cstheme="majorBidi"/>
              </w:rPr>
            </w:pPr>
          </w:p>
        </w:tc>
        <w:tc>
          <w:tcPr>
            <w:tcW w:w="958" w:type="dxa"/>
            <w:shd w:val="clear" w:color="auto" w:fill="auto"/>
            <w:noWrap/>
            <w:vAlign w:val="bottom"/>
            <w:hideMark/>
          </w:tcPr>
          <w:p w14:paraId="5CA76277" w14:textId="77777777" w:rsidR="00532B65" w:rsidRPr="00B92144" w:rsidRDefault="00532B65" w:rsidP="00532B65">
            <w:pPr>
              <w:spacing w:after="0" w:line="240" w:lineRule="auto"/>
              <w:rPr>
                <w:rFonts w:asciiTheme="majorBidi" w:eastAsia="Times New Roman" w:hAnsiTheme="majorBidi" w:cstheme="majorBidi"/>
              </w:rPr>
            </w:pPr>
          </w:p>
        </w:tc>
        <w:tc>
          <w:tcPr>
            <w:tcW w:w="1116" w:type="dxa"/>
            <w:shd w:val="clear" w:color="auto" w:fill="auto"/>
            <w:noWrap/>
            <w:vAlign w:val="bottom"/>
            <w:hideMark/>
          </w:tcPr>
          <w:p w14:paraId="1C794A32" w14:textId="77777777" w:rsidR="00532B65" w:rsidRPr="00B92144" w:rsidRDefault="00532B65" w:rsidP="00532B65">
            <w:pPr>
              <w:spacing w:after="0" w:line="240" w:lineRule="auto"/>
              <w:rPr>
                <w:rFonts w:asciiTheme="majorBidi" w:eastAsia="Times New Roman" w:hAnsiTheme="majorBidi" w:cstheme="majorBidi"/>
              </w:rPr>
            </w:pPr>
          </w:p>
        </w:tc>
        <w:tc>
          <w:tcPr>
            <w:tcW w:w="420" w:type="dxa"/>
            <w:shd w:val="clear" w:color="auto" w:fill="auto"/>
            <w:noWrap/>
            <w:vAlign w:val="bottom"/>
            <w:hideMark/>
          </w:tcPr>
          <w:p w14:paraId="74202745" w14:textId="77777777" w:rsidR="00532B65" w:rsidRPr="00B92144" w:rsidRDefault="00532B65" w:rsidP="00532B65">
            <w:pPr>
              <w:spacing w:after="0" w:line="240" w:lineRule="auto"/>
              <w:rPr>
                <w:rFonts w:asciiTheme="majorBidi" w:eastAsia="Times New Roman" w:hAnsiTheme="majorBidi" w:cstheme="majorBidi"/>
              </w:rPr>
            </w:pPr>
          </w:p>
        </w:tc>
        <w:tc>
          <w:tcPr>
            <w:tcW w:w="960" w:type="dxa"/>
            <w:shd w:val="clear" w:color="auto" w:fill="auto"/>
            <w:noWrap/>
            <w:vAlign w:val="bottom"/>
            <w:hideMark/>
          </w:tcPr>
          <w:p w14:paraId="108F6A5F" w14:textId="77777777" w:rsidR="00532B65" w:rsidRPr="00B92144" w:rsidRDefault="00532B65" w:rsidP="00532B65">
            <w:pPr>
              <w:spacing w:after="0" w:line="240" w:lineRule="auto"/>
              <w:rPr>
                <w:rFonts w:asciiTheme="majorBidi" w:eastAsia="Times New Roman" w:hAnsiTheme="majorBidi" w:cstheme="majorBidi"/>
              </w:rPr>
            </w:pPr>
          </w:p>
        </w:tc>
        <w:tc>
          <w:tcPr>
            <w:tcW w:w="967" w:type="dxa"/>
            <w:shd w:val="clear" w:color="auto" w:fill="auto"/>
            <w:noWrap/>
            <w:vAlign w:val="bottom"/>
            <w:hideMark/>
          </w:tcPr>
          <w:p w14:paraId="68F06BFE" w14:textId="77777777" w:rsidR="00532B65" w:rsidRPr="00B92144" w:rsidRDefault="00532B65" w:rsidP="00532B65">
            <w:pPr>
              <w:spacing w:after="0" w:line="240" w:lineRule="auto"/>
              <w:rPr>
                <w:rFonts w:asciiTheme="majorBidi" w:eastAsia="Times New Roman" w:hAnsiTheme="majorBidi" w:cstheme="majorBidi"/>
              </w:rPr>
            </w:pPr>
          </w:p>
        </w:tc>
        <w:tc>
          <w:tcPr>
            <w:tcW w:w="1229" w:type="dxa"/>
            <w:shd w:val="clear" w:color="auto" w:fill="auto"/>
            <w:noWrap/>
            <w:vAlign w:val="bottom"/>
            <w:hideMark/>
          </w:tcPr>
          <w:p w14:paraId="6A6BD2ED" w14:textId="77777777" w:rsidR="00532B65" w:rsidRPr="00B92144" w:rsidRDefault="00532B65" w:rsidP="00532B65">
            <w:pPr>
              <w:spacing w:after="0" w:line="240" w:lineRule="auto"/>
              <w:rPr>
                <w:rFonts w:asciiTheme="majorBidi" w:eastAsia="Times New Roman" w:hAnsiTheme="majorBidi" w:cstheme="majorBidi"/>
              </w:rPr>
            </w:pPr>
          </w:p>
        </w:tc>
        <w:tc>
          <w:tcPr>
            <w:tcW w:w="222" w:type="dxa"/>
            <w:shd w:val="clear" w:color="auto" w:fill="auto"/>
            <w:noWrap/>
            <w:vAlign w:val="bottom"/>
            <w:hideMark/>
          </w:tcPr>
          <w:p w14:paraId="4587BE44" w14:textId="77777777" w:rsidR="00532B65" w:rsidRPr="00B92144" w:rsidRDefault="00532B65" w:rsidP="00532B65">
            <w:pPr>
              <w:spacing w:after="0" w:line="240" w:lineRule="auto"/>
              <w:rPr>
                <w:rFonts w:asciiTheme="majorBidi" w:eastAsia="Times New Roman" w:hAnsiTheme="majorBidi" w:cstheme="majorBidi"/>
              </w:rPr>
            </w:pPr>
          </w:p>
        </w:tc>
        <w:tc>
          <w:tcPr>
            <w:tcW w:w="960" w:type="dxa"/>
            <w:shd w:val="clear" w:color="auto" w:fill="auto"/>
            <w:noWrap/>
            <w:vAlign w:val="bottom"/>
            <w:hideMark/>
          </w:tcPr>
          <w:p w14:paraId="039B0D53" w14:textId="77777777" w:rsidR="00532B65" w:rsidRPr="00B92144" w:rsidRDefault="00532B65" w:rsidP="00532B65">
            <w:pPr>
              <w:spacing w:after="0" w:line="240" w:lineRule="auto"/>
              <w:rPr>
                <w:rFonts w:asciiTheme="majorBidi" w:eastAsia="Times New Roman" w:hAnsiTheme="majorBidi" w:cstheme="majorBidi"/>
              </w:rPr>
            </w:pPr>
          </w:p>
        </w:tc>
        <w:tc>
          <w:tcPr>
            <w:tcW w:w="956" w:type="dxa"/>
            <w:shd w:val="clear" w:color="auto" w:fill="auto"/>
            <w:noWrap/>
            <w:vAlign w:val="bottom"/>
            <w:hideMark/>
          </w:tcPr>
          <w:p w14:paraId="6E5ADBBA" w14:textId="77777777" w:rsidR="00532B65" w:rsidRPr="00B92144" w:rsidRDefault="00532B65" w:rsidP="00532B65">
            <w:pPr>
              <w:spacing w:after="0" w:line="240" w:lineRule="auto"/>
              <w:rPr>
                <w:rFonts w:asciiTheme="majorBidi" w:eastAsia="Times New Roman" w:hAnsiTheme="majorBidi" w:cstheme="majorBidi"/>
              </w:rPr>
            </w:pPr>
          </w:p>
        </w:tc>
        <w:tc>
          <w:tcPr>
            <w:tcW w:w="1862" w:type="dxa"/>
            <w:shd w:val="clear" w:color="auto" w:fill="auto"/>
            <w:noWrap/>
            <w:vAlign w:val="bottom"/>
            <w:hideMark/>
          </w:tcPr>
          <w:p w14:paraId="2EAC5FB7" w14:textId="77777777" w:rsidR="00532B65" w:rsidRPr="00B92144" w:rsidRDefault="00532B65" w:rsidP="00532B65">
            <w:pPr>
              <w:spacing w:after="0" w:line="240" w:lineRule="auto"/>
              <w:rPr>
                <w:rFonts w:asciiTheme="majorBidi" w:eastAsia="Times New Roman" w:hAnsiTheme="majorBidi" w:cstheme="majorBidi"/>
              </w:rPr>
            </w:pPr>
          </w:p>
        </w:tc>
      </w:tr>
      <w:tr w:rsidR="00920DB5" w:rsidRPr="00B92144" w14:paraId="3F55BC67" w14:textId="77777777" w:rsidTr="0071253E">
        <w:trPr>
          <w:trHeight w:val="300"/>
          <w:jc w:val="center"/>
        </w:trPr>
        <w:tc>
          <w:tcPr>
            <w:tcW w:w="2003" w:type="dxa"/>
            <w:shd w:val="clear" w:color="auto" w:fill="auto"/>
            <w:noWrap/>
            <w:vAlign w:val="bottom"/>
            <w:hideMark/>
          </w:tcPr>
          <w:p w14:paraId="3776500E" w14:textId="77777777" w:rsidR="00532B65" w:rsidRPr="00B92144" w:rsidRDefault="00532B65" w:rsidP="00532B65">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ROA</w:t>
            </w:r>
          </w:p>
        </w:tc>
        <w:tc>
          <w:tcPr>
            <w:tcW w:w="960" w:type="dxa"/>
            <w:shd w:val="clear" w:color="auto" w:fill="auto"/>
            <w:noWrap/>
            <w:vAlign w:val="bottom"/>
            <w:hideMark/>
          </w:tcPr>
          <w:p w14:paraId="50E9F07E"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-254.92</w:t>
            </w:r>
          </w:p>
        </w:tc>
        <w:tc>
          <w:tcPr>
            <w:tcW w:w="958" w:type="dxa"/>
            <w:shd w:val="clear" w:color="auto" w:fill="auto"/>
            <w:noWrap/>
            <w:vAlign w:val="bottom"/>
            <w:hideMark/>
          </w:tcPr>
          <w:p w14:paraId="39BBEF96"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-0.61</w:t>
            </w:r>
          </w:p>
        </w:tc>
        <w:tc>
          <w:tcPr>
            <w:tcW w:w="1116" w:type="dxa"/>
            <w:shd w:val="clear" w:color="auto" w:fill="auto"/>
            <w:noWrap/>
            <w:vAlign w:val="bottom"/>
            <w:hideMark/>
          </w:tcPr>
          <w:p w14:paraId="79E310D9"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0.54</w:t>
            </w:r>
          </w:p>
        </w:tc>
        <w:tc>
          <w:tcPr>
            <w:tcW w:w="420" w:type="dxa"/>
            <w:shd w:val="clear" w:color="auto" w:fill="auto"/>
            <w:noWrap/>
            <w:vAlign w:val="bottom"/>
            <w:hideMark/>
          </w:tcPr>
          <w:p w14:paraId="170A605A" w14:textId="77777777" w:rsidR="00532B65" w:rsidRPr="00B92144" w:rsidRDefault="00532B65" w:rsidP="00532B65">
            <w:pPr>
              <w:spacing w:after="0" w:line="240" w:lineRule="auto"/>
              <w:jc w:val="right"/>
              <w:rPr>
                <w:rFonts w:asciiTheme="majorBidi" w:eastAsia="Times New Roman" w:hAnsiTheme="majorBidi" w:cstheme="majorBidi"/>
                <w:color w:val="000000"/>
              </w:rPr>
            </w:pPr>
          </w:p>
        </w:tc>
        <w:tc>
          <w:tcPr>
            <w:tcW w:w="960" w:type="dxa"/>
            <w:shd w:val="clear" w:color="auto" w:fill="auto"/>
            <w:noWrap/>
            <w:vAlign w:val="bottom"/>
            <w:hideMark/>
          </w:tcPr>
          <w:p w14:paraId="041F1891"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-21.90</w:t>
            </w:r>
          </w:p>
        </w:tc>
        <w:tc>
          <w:tcPr>
            <w:tcW w:w="967" w:type="dxa"/>
            <w:shd w:val="clear" w:color="auto" w:fill="auto"/>
            <w:noWrap/>
            <w:vAlign w:val="bottom"/>
            <w:hideMark/>
          </w:tcPr>
          <w:p w14:paraId="37FE2B2C"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-0.50</w:t>
            </w:r>
          </w:p>
        </w:tc>
        <w:tc>
          <w:tcPr>
            <w:tcW w:w="1229" w:type="dxa"/>
            <w:shd w:val="clear" w:color="auto" w:fill="auto"/>
            <w:noWrap/>
            <w:vAlign w:val="bottom"/>
            <w:hideMark/>
          </w:tcPr>
          <w:p w14:paraId="2CCB0F2D"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0.62</w:t>
            </w:r>
          </w:p>
        </w:tc>
        <w:tc>
          <w:tcPr>
            <w:tcW w:w="222" w:type="dxa"/>
            <w:shd w:val="clear" w:color="auto" w:fill="auto"/>
            <w:noWrap/>
            <w:vAlign w:val="bottom"/>
            <w:hideMark/>
          </w:tcPr>
          <w:p w14:paraId="0512032C" w14:textId="77777777" w:rsidR="00532B65" w:rsidRPr="00B92144" w:rsidRDefault="00532B65" w:rsidP="00532B65">
            <w:pPr>
              <w:spacing w:after="0" w:line="240" w:lineRule="auto"/>
              <w:jc w:val="right"/>
              <w:rPr>
                <w:rFonts w:asciiTheme="majorBidi" w:eastAsia="Times New Roman" w:hAnsiTheme="majorBidi" w:cstheme="majorBidi"/>
                <w:color w:val="000000"/>
              </w:rPr>
            </w:pPr>
          </w:p>
        </w:tc>
        <w:tc>
          <w:tcPr>
            <w:tcW w:w="960" w:type="dxa"/>
            <w:shd w:val="clear" w:color="auto" w:fill="auto"/>
            <w:noWrap/>
            <w:vAlign w:val="bottom"/>
            <w:hideMark/>
          </w:tcPr>
          <w:p w14:paraId="1F106FF3"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-54.10</w:t>
            </w:r>
          </w:p>
        </w:tc>
        <w:tc>
          <w:tcPr>
            <w:tcW w:w="956" w:type="dxa"/>
            <w:shd w:val="clear" w:color="auto" w:fill="auto"/>
            <w:noWrap/>
            <w:vAlign w:val="bottom"/>
            <w:hideMark/>
          </w:tcPr>
          <w:p w14:paraId="54A38342"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-0.56</w:t>
            </w:r>
          </w:p>
        </w:tc>
        <w:tc>
          <w:tcPr>
            <w:tcW w:w="1862" w:type="dxa"/>
            <w:shd w:val="clear" w:color="auto" w:fill="auto"/>
            <w:noWrap/>
            <w:vAlign w:val="bottom"/>
            <w:hideMark/>
          </w:tcPr>
          <w:p w14:paraId="1FEF6DD8"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0.57</w:t>
            </w:r>
          </w:p>
        </w:tc>
      </w:tr>
      <w:tr w:rsidR="00920DB5" w:rsidRPr="00B92144" w14:paraId="1E51E9CD" w14:textId="77777777" w:rsidTr="0071253E">
        <w:trPr>
          <w:trHeight w:val="300"/>
          <w:jc w:val="center"/>
        </w:trPr>
        <w:tc>
          <w:tcPr>
            <w:tcW w:w="2003" w:type="dxa"/>
            <w:shd w:val="clear" w:color="auto" w:fill="auto"/>
            <w:noWrap/>
            <w:vAlign w:val="bottom"/>
            <w:hideMark/>
          </w:tcPr>
          <w:p w14:paraId="57299974" w14:textId="77777777" w:rsidR="00532B65" w:rsidRPr="00B92144" w:rsidRDefault="00532B65" w:rsidP="00532B65">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LIST</w:t>
            </w:r>
          </w:p>
        </w:tc>
        <w:tc>
          <w:tcPr>
            <w:tcW w:w="960" w:type="dxa"/>
            <w:shd w:val="clear" w:color="auto" w:fill="auto"/>
            <w:noWrap/>
            <w:vAlign w:val="bottom"/>
            <w:hideMark/>
          </w:tcPr>
          <w:p w14:paraId="71F0CF67"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57.49</w:t>
            </w:r>
          </w:p>
        </w:tc>
        <w:tc>
          <w:tcPr>
            <w:tcW w:w="958" w:type="dxa"/>
            <w:shd w:val="clear" w:color="auto" w:fill="auto"/>
            <w:noWrap/>
            <w:vAlign w:val="bottom"/>
            <w:hideMark/>
          </w:tcPr>
          <w:p w14:paraId="3E51A192"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2.14</w:t>
            </w:r>
          </w:p>
        </w:tc>
        <w:tc>
          <w:tcPr>
            <w:tcW w:w="1116" w:type="dxa"/>
            <w:shd w:val="clear" w:color="auto" w:fill="auto"/>
            <w:noWrap/>
            <w:vAlign w:val="bottom"/>
            <w:hideMark/>
          </w:tcPr>
          <w:p w14:paraId="5CB04151"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0.033</w:t>
            </w:r>
            <w:r w:rsidR="00920DB5" w:rsidRPr="00B92144">
              <w:rPr>
                <w:rFonts w:asciiTheme="majorBidi" w:eastAsia="Times New Roman" w:hAnsiTheme="majorBidi" w:cstheme="majorBidi"/>
                <w:b/>
                <w:bCs/>
                <w:color w:val="000000"/>
              </w:rPr>
              <w:t>**</w:t>
            </w:r>
          </w:p>
        </w:tc>
        <w:tc>
          <w:tcPr>
            <w:tcW w:w="420" w:type="dxa"/>
            <w:shd w:val="clear" w:color="auto" w:fill="auto"/>
            <w:noWrap/>
            <w:vAlign w:val="bottom"/>
            <w:hideMark/>
          </w:tcPr>
          <w:p w14:paraId="70C6B41D"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11F8A7C3"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4.10</w:t>
            </w:r>
          </w:p>
        </w:tc>
        <w:tc>
          <w:tcPr>
            <w:tcW w:w="967" w:type="dxa"/>
            <w:shd w:val="clear" w:color="auto" w:fill="auto"/>
            <w:noWrap/>
            <w:vAlign w:val="bottom"/>
            <w:hideMark/>
          </w:tcPr>
          <w:p w14:paraId="0B48949F"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1.20</w:t>
            </w:r>
          </w:p>
        </w:tc>
        <w:tc>
          <w:tcPr>
            <w:tcW w:w="1229" w:type="dxa"/>
            <w:shd w:val="clear" w:color="auto" w:fill="auto"/>
            <w:noWrap/>
            <w:vAlign w:val="bottom"/>
            <w:hideMark/>
          </w:tcPr>
          <w:p w14:paraId="7A7A54C0"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0.23</w:t>
            </w:r>
          </w:p>
        </w:tc>
        <w:tc>
          <w:tcPr>
            <w:tcW w:w="222" w:type="dxa"/>
            <w:shd w:val="clear" w:color="auto" w:fill="auto"/>
            <w:noWrap/>
            <w:vAlign w:val="bottom"/>
            <w:hideMark/>
          </w:tcPr>
          <w:p w14:paraId="42124468" w14:textId="77777777" w:rsidR="00532B65" w:rsidRPr="00B92144" w:rsidRDefault="00532B65" w:rsidP="00532B65">
            <w:pPr>
              <w:spacing w:after="0" w:line="240" w:lineRule="auto"/>
              <w:jc w:val="right"/>
              <w:rPr>
                <w:rFonts w:asciiTheme="majorBidi" w:eastAsia="Times New Roman" w:hAnsiTheme="majorBidi" w:cstheme="majorBidi"/>
                <w:color w:val="000000"/>
              </w:rPr>
            </w:pPr>
          </w:p>
        </w:tc>
        <w:tc>
          <w:tcPr>
            <w:tcW w:w="960" w:type="dxa"/>
            <w:shd w:val="clear" w:color="auto" w:fill="auto"/>
            <w:noWrap/>
            <w:vAlign w:val="bottom"/>
            <w:hideMark/>
          </w:tcPr>
          <w:p w14:paraId="51D730F5"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92.60</w:t>
            </w:r>
          </w:p>
        </w:tc>
        <w:tc>
          <w:tcPr>
            <w:tcW w:w="956" w:type="dxa"/>
            <w:shd w:val="clear" w:color="auto" w:fill="auto"/>
            <w:noWrap/>
            <w:vAlign w:val="bottom"/>
            <w:hideMark/>
          </w:tcPr>
          <w:p w14:paraId="477E056A"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2.44</w:t>
            </w:r>
          </w:p>
        </w:tc>
        <w:tc>
          <w:tcPr>
            <w:tcW w:w="1862" w:type="dxa"/>
            <w:shd w:val="clear" w:color="auto" w:fill="auto"/>
            <w:noWrap/>
            <w:vAlign w:val="bottom"/>
            <w:hideMark/>
          </w:tcPr>
          <w:p w14:paraId="48A28840"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0.04</w:t>
            </w:r>
            <w:r w:rsidR="00920DB5" w:rsidRPr="00B92144">
              <w:rPr>
                <w:rFonts w:asciiTheme="majorBidi" w:eastAsia="Times New Roman" w:hAnsiTheme="majorBidi" w:cstheme="majorBidi"/>
                <w:b/>
                <w:bCs/>
                <w:color w:val="000000"/>
              </w:rPr>
              <w:t>**</w:t>
            </w:r>
          </w:p>
        </w:tc>
      </w:tr>
      <w:tr w:rsidR="00920DB5" w:rsidRPr="00B92144" w14:paraId="5088C75F" w14:textId="77777777" w:rsidTr="0071253E">
        <w:trPr>
          <w:trHeight w:val="300"/>
          <w:jc w:val="center"/>
        </w:trPr>
        <w:tc>
          <w:tcPr>
            <w:tcW w:w="2003" w:type="dxa"/>
            <w:shd w:val="clear" w:color="auto" w:fill="auto"/>
            <w:noWrap/>
            <w:vAlign w:val="bottom"/>
            <w:hideMark/>
          </w:tcPr>
          <w:p w14:paraId="47831C30" w14:textId="77777777" w:rsidR="00532B65" w:rsidRPr="00B92144" w:rsidRDefault="00532B65" w:rsidP="00532B65">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BANKSIZE</w:t>
            </w:r>
          </w:p>
        </w:tc>
        <w:tc>
          <w:tcPr>
            <w:tcW w:w="960" w:type="dxa"/>
            <w:shd w:val="clear" w:color="auto" w:fill="auto"/>
            <w:noWrap/>
            <w:vAlign w:val="bottom"/>
            <w:hideMark/>
          </w:tcPr>
          <w:p w14:paraId="0BDD388E"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27.78</w:t>
            </w:r>
          </w:p>
        </w:tc>
        <w:tc>
          <w:tcPr>
            <w:tcW w:w="958" w:type="dxa"/>
            <w:shd w:val="clear" w:color="auto" w:fill="auto"/>
            <w:noWrap/>
            <w:vAlign w:val="bottom"/>
            <w:hideMark/>
          </w:tcPr>
          <w:p w14:paraId="40CF4E44"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7.47</w:t>
            </w:r>
          </w:p>
        </w:tc>
        <w:tc>
          <w:tcPr>
            <w:tcW w:w="1116" w:type="dxa"/>
            <w:shd w:val="clear" w:color="auto" w:fill="auto"/>
            <w:noWrap/>
            <w:vAlign w:val="bottom"/>
            <w:hideMark/>
          </w:tcPr>
          <w:p w14:paraId="6BFA66C2"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w:t>
            </w:r>
            <w:r w:rsidR="00920DB5" w:rsidRPr="00B92144">
              <w:rPr>
                <w:rFonts w:asciiTheme="majorBidi" w:eastAsia="Times New Roman" w:hAnsiTheme="majorBidi" w:cstheme="majorBidi"/>
                <w:b/>
                <w:bCs/>
                <w:color w:val="000000"/>
              </w:rPr>
              <w:t>.00***</w:t>
            </w:r>
          </w:p>
        </w:tc>
        <w:tc>
          <w:tcPr>
            <w:tcW w:w="420" w:type="dxa"/>
            <w:shd w:val="clear" w:color="auto" w:fill="auto"/>
            <w:noWrap/>
            <w:vAlign w:val="bottom"/>
            <w:hideMark/>
          </w:tcPr>
          <w:p w14:paraId="00451B70"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763A4E02"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4.50</w:t>
            </w:r>
          </w:p>
        </w:tc>
        <w:tc>
          <w:tcPr>
            <w:tcW w:w="967" w:type="dxa"/>
            <w:shd w:val="clear" w:color="auto" w:fill="auto"/>
            <w:noWrap/>
            <w:vAlign w:val="bottom"/>
            <w:hideMark/>
          </w:tcPr>
          <w:p w14:paraId="35CF9705"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2.83</w:t>
            </w:r>
          </w:p>
        </w:tc>
        <w:tc>
          <w:tcPr>
            <w:tcW w:w="1229" w:type="dxa"/>
            <w:shd w:val="clear" w:color="auto" w:fill="auto"/>
            <w:noWrap/>
            <w:vAlign w:val="bottom"/>
            <w:hideMark/>
          </w:tcPr>
          <w:p w14:paraId="77E15914"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0.01</w:t>
            </w:r>
            <w:r w:rsidR="00920DB5" w:rsidRPr="00B92144">
              <w:rPr>
                <w:rFonts w:asciiTheme="majorBidi" w:eastAsia="Times New Roman" w:hAnsiTheme="majorBidi" w:cstheme="majorBidi"/>
                <w:b/>
                <w:bCs/>
                <w:color w:val="000000"/>
              </w:rPr>
              <w:t>***</w:t>
            </w:r>
          </w:p>
        </w:tc>
        <w:tc>
          <w:tcPr>
            <w:tcW w:w="222" w:type="dxa"/>
            <w:shd w:val="clear" w:color="auto" w:fill="auto"/>
            <w:noWrap/>
            <w:vAlign w:val="bottom"/>
            <w:hideMark/>
          </w:tcPr>
          <w:p w14:paraId="1B23524C"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3518F52B"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18.35</w:t>
            </w:r>
          </w:p>
        </w:tc>
        <w:tc>
          <w:tcPr>
            <w:tcW w:w="956" w:type="dxa"/>
            <w:shd w:val="clear" w:color="auto" w:fill="auto"/>
            <w:noWrap/>
            <w:vAlign w:val="bottom"/>
            <w:hideMark/>
          </w:tcPr>
          <w:p w14:paraId="19823802"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3.73</w:t>
            </w:r>
          </w:p>
        </w:tc>
        <w:tc>
          <w:tcPr>
            <w:tcW w:w="1862" w:type="dxa"/>
            <w:shd w:val="clear" w:color="auto" w:fill="auto"/>
            <w:noWrap/>
            <w:vAlign w:val="bottom"/>
            <w:hideMark/>
          </w:tcPr>
          <w:p w14:paraId="33AB5FD9"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w:t>
            </w:r>
            <w:r w:rsidR="00920DB5" w:rsidRPr="00B92144">
              <w:rPr>
                <w:rFonts w:asciiTheme="majorBidi" w:eastAsia="Times New Roman" w:hAnsiTheme="majorBidi" w:cstheme="majorBidi"/>
                <w:b/>
                <w:bCs/>
                <w:color w:val="000000"/>
              </w:rPr>
              <w:t>***</w:t>
            </w:r>
          </w:p>
        </w:tc>
      </w:tr>
      <w:tr w:rsidR="00920DB5" w:rsidRPr="00B92144" w14:paraId="0D93C00F" w14:textId="77777777" w:rsidTr="0071253E">
        <w:trPr>
          <w:trHeight w:val="300"/>
          <w:jc w:val="center"/>
        </w:trPr>
        <w:tc>
          <w:tcPr>
            <w:tcW w:w="2003" w:type="dxa"/>
            <w:shd w:val="clear" w:color="auto" w:fill="auto"/>
            <w:noWrap/>
            <w:vAlign w:val="bottom"/>
            <w:hideMark/>
          </w:tcPr>
          <w:p w14:paraId="2A55628D" w14:textId="77777777" w:rsidR="00532B65" w:rsidRPr="00B92144" w:rsidRDefault="00532B65" w:rsidP="00532B65">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BKAGE</w:t>
            </w:r>
          </w:p>
        </w:tc>
        <w:tc>
          <w:tcPr>
            <w:tcW w:w="960" w:type="dxa"/>
            <w:shd w:val="clear" w:color="auto" w:fill="auto"/>
            <w:noWrap/>
            <w:vAlign w:val="bottom"/>
            <w:hideMark/>
          </w:tcPr>
          <w:p w14:paraId="28B2894D"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0.916</w:t>
            </w:r>
          </w:p>
        </w:tc>
        <w:tc>
          <w:tcPr>
            <w:tcW w:w="958" w:type="dxa"/>
            <w:shd w:val="clear" w:color="auto" w:fill="auto"/>
            <w:noWrap/>
            <w:vAlign w:val="bottom"/>
            <w:hideMark/>
          </w:tcPr>
          <w:p w14:paraId="644A0CC9"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1.76</w:t>
            </w:r>
          </w:p>
        </w:tc>
        <w:tc>
          <w:tcPr>
            <w:tcW w:w="1116" w:type="dxa"/>
            <w:shd w:val="clear" w:color="auto" w:fill="auto"/>
            <w:noWrap/>
            <w:vAlign w:val="bottom"/>
            <w:hideMark/>
          </w:tcPr>
          <w:p w14:paraId="07D9759B"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0.08</w:t>
            </w:r>
            <w:r w:rsidR="00920DB5" w:rsidRPr="00B92144">
              <w:rPr>
                <w:rFonts w:asciiTheme="majorBidi" w:eastAsia="Times New Roman" w:hAnsiTheme="majorBidi" w:cstheme="majorBidi"/>
                <w:b/>
                <w:bCs/>
                <w:color w:val="000000"/>
              </w:rPr>
              <w:t>*</w:t>
            </w:r>
          </w:p>
        </w:tc>
        <w:tc>
          <w:tcPr>
            <w:tcW w:w="420" w:type="dxa"/>
            <w:shd w:val="clear" w:color="auto" w:fill="auto"/>
            <w:noWrap/>
            <w:vAlign w:val="bottom"/>
            <w:hideMark/>
          </w:tcPr>
          <w:p w14:paraId="3C817514"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4D755BD4"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0.57</w:t>
            </w:r>
          </w:p>
        </w:tc>
        <w:tc>
          <w:tcPr>
            <w:tcW w:w="967" w:type="dxa"/>
            <w:shd w:val="clear" w:color="auto" w:fill="auto"/>
            <w:noWrap/>
            <w:vAlign w:val="bottom"/>
            <w:hideMark/>
          </w:tcPr>
          <w:p w14:paraId="2A50AC82"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5.03</w:t>
            </w:r>
          </w:p>
        </w:tc>
        <w:tc>
          <w:tcPr>
            <w:tcW w:w="1229" w:type="dxa"/>
            <w:shd w:val="clear" w:color="auto" w:fill="auto"/>
            <w:noWrap/>
            <w:vAlign w:val="bottom"/>
            <w:hideMark/>
          </w:tcPr>
          <w:p w14:paraId="73F6BE8E"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w:t>
            </w:r>
            <w:r w:rsidR="00920DB5" w:rsidRPr="00B92144">
              <w:rPr>
                <w:rFonts w:asciiTheme="majorBidi" w:eastAsia="Times New Roman" w:hAnsiTheme="majorBidi" w:cstheme="majorBidi"/>
                <w:b/>
                <w:bCs/>
                <w:color w:val="000000"/>
              </w:rPr>
              <w:t>***</w:t>
            </w:r>
          </w:p>
        </w:tc>
        <w:tc>
          <w:tcPr>
            <w:tcW w:w="222" w:type="dxa"/>
            <w:shd w:val="clear" w:color="auto" w:fill="auto"/>
            <w:noWrap/>
            <w:vAlign w:val="bottom"/>
            <w:hideMark/>
          </w:tcPr>
          <w:p w14:paraId="5BF94ACA"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05B7154E"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-0.03</w:t>
            </w:r>
          </w:p>
        </w:tc>
        <w:tc>
          <w:tcPr>
            <w:tcW w:w="956" w:type="dxa"/>
            <w:shd w:val="clear" w:color="auto" w:fill="auto"/>
            <w:noWrap/>
            <w:vAlign w:val="bottom"/>
            <w:hideMark/>
          </w:tcPr>
          <w:p w14:paraId="5BB916B8"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-0.05</w:t>
            </w:r>
          </w:p>
        </w:tc>
        <w:tc>
          <w:tcPr>
            <w:tcW w:w="1862" w:type="dxa"/>
            <w:shd w:val="clear" w:color="auto" w:fill="auto"/>
            <w:noWrap/>
            <w:vAlign w:val="bottom"/>
            <w:hideMark/>
          </w:tcPr>
          <w:p w14:paraId="66A97253"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0.96</w:t>
            </w:r>
          </w:p>
        </w:tc>
      </w:tr>
      <w:tr w:rsidR="00920DB5" w:rsidRPr="00B92144" w14:paraId="3EBED87E" w14:textId="77777777" w:rsidTr="0071253E">
        <w:trPr>
          <w:trHeight w:val="300"/>
          <w:jc w:val="center"/>
        </w:trPr>
        <w:tc>
          <w:tcPr>
            <w:tcW w:w="2003" w:type="dxa"/>
            <w:shd w:val="clear" w:color="auto" w:fill="auto"/>
            <w:noWrap/>
            <w:vAlign w:val="bottom"/>
            <w:hideMark/>
          </w:tcPr>
          <w:p w14:paraId="783BB41F" w14:textId="77777777" w:rsidR="00532B65" w:rsidRPr="00B92144" w:rsidRDefault="00532B65" w:rsidP="00532B65">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LEVERAGE</w:t>
            </w:r>
          </w:p>
        </w:tc>
        <w:tc>
          <w:tcPr>
            <w:tcW w:w="960" w:type="dxa"/>
            <w:shd w:val="clear" w:color="auto" w:fill="auto"/>
            <w:noWrap/>
            <w:vAlign w:val="bottom"/>
            <w:hideMark/>
          </w:tcPr>
          <w:p w14:paraId="2579FDB4"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83.99</w:t>
            </w:r>
          </w:p>
        </w:tc>
        <w:tc>
          <w:tcPr>
            <w:tcW w:w="958" w:type="dxa"/>
            <w:shd w:val="clear" w:color="auto" w:fill="auto"/>
            <w:noWrap/>
            <w:vAlign w:val="bottom"/>
            <w:hideMark/>
          </w:tcPr>
          <w:p w14:paraId="5406A05B"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1.34</w:t>
            </w:r>
          </w:p>
        </w:tc>
        <w:tc>
          <w:tcPr>
            <w:tcW w:w="1116" w:type="dxa"/>
            <w:shd w:val="clear" w:color="auto" w:fill="auto"/>
            <w:noWrap/>
            <w:vAlign w:val="bottom"/>
            <w:hideMark/>
          </w:tcPr>
          <w:p w14:paraId="1D42A538"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0.182</w:t>
            </w:r>
          </w:p>
        </w:tc>
        <w:tc>
          <w:tcPr>
            <w:tcW w:w="420" w:type="dxa"/>
            <w:shd w:val="clear" w:color="auto" w:fill="auto"/>
            <w:noWrap/>
            <w:vAlign w:val="bottom"/>
            <w:hideMark/>
          </w:tcPr>
          <w:p w14:paraId="20C906E0" w14:textId="77777777" w:rsidR="00532B65" w:rsidRPr="00B92144" w:rsidRDefault="00532B65" w:rsidP="00532B65">
            <w:pPr>
              <w:spacing w:after="0" w:line="240" w:lineRule="auto"/>
              <w:jc w:val="right"/>
              <w:rPr>
                <w:rFonts w:asciiTheme="majorBidi" w:eastAsia="Times New Roman" w:hAnsiTheme="majorBidi" w:cstheme="majorBidi"/>
                <w:color w:val="000000"/>
              </w:rPr>
            </w:pPr>
          </w:p>
        </w:tc>
        <w:tc>
          <w:tcPr>
            <w:tcW w:w="960" w:type="dxa"/>
            <w:shd w:val="clear" w:color="auto" w:fill="auto"/>
            <w:noWrap/>
            <w:vAlign w:val="bottom"/>
            <w:hideMark/>
          </w:tcPr>
          <w:p w14:paraId="5B197552"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-23.00</w:t>
            </w:r>
          </w:p>
        </w:tc>
        <w:tc>
          <w:tcPr>
            <w:tcW w:w="967" w:type="dxa"/>
            <w:shd w:val="clear" w:color="auto" w:fill="auto"/>
            <w:noWrap/>
            <w:vAlign w:val="bottom"/>
            <w:hideMark/>
          </w:tcPr>
          <w:p w14:paraId="7AB6C299"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-2.75</w:t>
            </w:r>
          </w:p>
        </w:tc>
        <w:tc>
          <w:tcPr>
            <w:tcW w:w="1229" w:type="dxa"/>
            <w:shd w:val="clear" w:color="auto" w:fill="auto"/>
            <w:noWrap/>
            <w:vAlign w:val="bottom"/>
            <w:hideMark/>
          </w:tcPr>
          <w:p w14:paraId="5054526E"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0.01</w:t>
            </w:r>
            <w:r w:rsidR="00920DB5" w:rsidRPr="00B92144">
              <w:rPr>
                <w:rFonts w:asciiTheme="majorBidi" w:eastAsia="Times New Roman" w:hAnsiTheme="majorBidi" w:cstheme="majorBidi"/>
                <w:b/>
                <w:bCs/>
                <w:color w:val="000000"/>
              </w:rPr>
              <w:t>***</w:t>
            </w:r>
          </w:p>
        </w:tc>
        <w:tc>
          <w:tcPr>
            <w:tcW w:w="222" w:type="dxa"/>
            <w:shd w:val="clear" w:color="auto" w:fill="auto"/>
            <w:noWrap/>
            <w:vAlign w:val="bottom"/>
            <w:hideMark/>
          </w:tcPr>
          <w:p w14:paraId="4DEB20B3"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50524B98"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368.86</w:t>
            </w:r>
          </w:p>
        </w:tc>
        <w:tc>
          <w:tcPr>
            <w:tcW w:w="956" w:type="dxa"/>
            <w:shd w:val="clear" w:color="auto" w:fill="auto"/>
            <w:noWrap/>
            <w:vAlign w:val="bottom"/>
            <w:hideMark/>
          </w:tcPr>
          <w:p w14:paraId="002AD486"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3.63</w:t>
            </w:r>
          </w:p>
        </w:tc>
        <w:tc>
          <w:tcPr>
            <w:tcW w:w="1862" w:type="dxa"/>
            <w:shd w:val="clear" w:color="auto" w:fill="auto"/>
            <w:noWrap/>
            <w:vAlign w:val="bottom"/>
            <w:hideMark/>
          </w:tcPr>
          <w:p w14:paraId="0627C50B"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w:t>
            </w:r>
            <w:r w:rsidR="00920DB5" w:rsidRPr="00B92144">
              <w:rPr>
                <w:rFonts w:asciiTheme="majorBidi" w:eastAsia="Times New Roman" w:hAnsiTheme="majorBidi" w:cstheme="majorBidi"/>
                <w:b/>
                <w:bCs/>
                <w:color w:val="000000"/>
              </w:rPr>
              <w:t>***</w:t>
            </w:r>
          </w:p>
        </w:tc>
      </w:tr>
      <w:tr w:rsidR="00920DB5" w:rsidRPr="00B92144" w14:paraId="33C9A517" w14:textId="77777777" w:rsidTr="0071253E">
        <w:trPr>
          <w:trHeight w:val="300"/>
          <w:jc w:val="center"/>
        </w:trPr>
        <w:tc>
          <w:tcPr>
            <w:tcW w:w="2003" w:type="dxa"/>
            <w:shd w:val="clear" w:color="auto" w:fill="auto"/>
            <w:noWrap/>
            <w:vAlign w:val="bottom"/>
            <w:hideMark/>
          </w:tcPr>
          <w:p w14:paraId="3A84230A" w14:textId="77777777" w:rsidR="00532B65" w:rsidRPr="00B92144" w:rsidRDefault="00532B65" w:rsidP="00532B65">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COUTRANSDEX</w:t>
            </w:r>
          </w:p>
        </w:tc>
        <w:tc>
          <w:tcPr>
            <w:tcW w:w="960" w:type="dxa"/>
            <w:shd w:val="clear" w:color="auto" w:fill="auto"/>
            <w:noWrap/>
            <w:vAlign w:val="bottom"/>
            <w:hideMark/>
          </w:tcPr>
          <w:p w14:paraId="7A411258"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14.857</w:t>
            </w:r>
          </w:p>
        </w:tc>
        <w:tc>
          <w:tcPr>
            <w:tcW w:w="958" w:type="dxa"/>
            <w:shd w:val="clear" w:color="auto" w:fill="auto"/>
            <w:noWrap/>
            <w:vAlign w:val="bottom"/>
            <w:hideMark/>
          </w:tcPr>
          <w:p w14:paraId="2D69A066"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3.1</w:t>
            </w:r>
          </w:p>
        </w:tc>
        <w:tc>
          <w:tcPr>
            <w:tcW w:w="1116" w:type="dxa"/>
            <w:shd w:val="clear" w:color="auto" w:fill="auto"/>
            <w:noWrap/>
            <w:vAlign w:val="bottom"/>
            <w:hideMark/>
          </w:tcPr>
          <w:p w14:paraId="483B2838"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0.002</w:t>
            </w:r>
            <w:r w:rsidR="00920DB5" w:rsidRPr="00B92144">
              <w:rPr>
                <w:rFonts w:asciiTheme="majorBidi" w:eastAsia="Times New Roman" w:hAnsiTheme="majorBidi" w:cstheme="majorBidi"/>
                <w:b/>
                <w:bCs/>
                <w:color w:val="000000"/>
              </w:rPr>
              <w:t>***</w:t>
            </w:r>
          </w:p>
        </w:tc>
        <w:tc>
          <w:tcPr>
            <w:tcW w:w="420" w:type="dxa"/>
            <w:shd w:val="clear" w:color="auto" w:fill="auto"/>
            <w:noWrap/>
            <w:vAlign w:val="bottom"/>
            <w:hideMark/>
          </w:tcPr>
          <w:p w14:paraId="2082CAE8"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54AEE299"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4.15</w:t>
            </w:r>
          </w:p>
        </w:tc>
        <w:tc>
          <w:tcPr>
            <w:tcW w:w="967" w:type="dxa"/>
            <w:shd w:val="clear" w:color="auto" w:fill="auto"/>
            <w:noWrap/>
            <w:vAlign w:val="bottom"/>
            <w:hideMark/>
          </w:tcPr>
          <w:p w14:paraId="5437E9E3"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5.58</w:t>
            </w:r>
          </w:p>
        </w:tc>
        <w:tc>
          <w:tcPr>
            <w:tcW w:w="1229" w:type="dxa"/>
            <w:shd w:val="clear" w:color="auto" w:fill="auto"/>
            <w:noWrap/>
            <w:vAlign w:val="bottom"/>
            <w:hideMark/>
          </w:tcPr>
          <w:p w14:paraId="00148F4C"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w:t>
            </w:r>
            <w:r w:rsidR="00920DB5" w:rsidRPr="00B92144">
              <w:rPr>
                <w:rFonts w:asciiTheme="majorBidi" w:eastAsia="Times New Roman" w:hAnsiTheme="majorBidi" w:cstheme="majorBidi"/>
                <w:b/>
                <w:bCs/>
                <w:color w:val="000000"/>
              </w:rPr>
              <w:t>***</w:t>
            </w:r>
          </w:p>
        </w:tc>
        <w:tc>
          <w:tcPr>
            <w:tcW w:w="222" w:type="dxa"/>
            <w:shd w:val="clear" w:color="auto" w:fill="auto"/>
            <w:noWrap/>
            <w:vAlign w:val="bottom"/>
            <w:hideMark/>
          </w:tcPr>
          <w:p w14:paraId="2FCA0451"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7414699F"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-4.66</w:t>
            </w:r>
          </w:p>
        </w:tc>
        <w:tc>
          <w:tcPr>
            <w:tcW w:w="956" w:type="dxa"/>
            <w:shd w:val="clear" w:color="auto" w:fill="auto"/>
            <w:noWrap/>
            <w:vAlign w:val="bottom"/>
            <w:hideMark/>
          </w:tcPr>
          <w:p w14:paraId="4E24EA34"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0.82</w:t>
            </w:r>
          </w:p>
        </w:tc>
        <w:tc>
          <w:tcPr>
            <w:tcW w:w="1862" w:type="dxa"/>
            <w:shd w:val="clear" w:color="auto" w:fill="auto"/>
            <w:noWrap/>
            <w:vAlign w:val="bottom"/>
            <w:hideMark/>
          </w:tcPr>
          <w:p w14:paraId="7939A707"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0.41</w:t>
            </w:r>
          </w:p>
        </w:tc>
      </w:tr>
      <w:tr w:rsidR="00920DB5" w:rsidRPr="00B92144" w14:paraId="443D8660" w14:textId="77777777" w:rsidTr="0071253E">
        <w:trPr>
          <w:trHeight w:val="300"/>
          <w:jc w:val="center"/>
        </w:trPr>
        <w:tc>
          <w:tcPr>
            <w:tcW w:w="2003" w:type="dxa"/>
            <w:shd w:val="clear" w:color="auto" w:fill="auto"/>
            <w:noWrap/>
            <w:vAlign w:val="bottom"/>
            <w:hideMark/>
          </w:tcPr>
          <w:p w14:paraId="59CF2C69" w14:textId="77777777" w:rsidR="00532B65" w:rsidRPr="00B92144" w:rsidRDefault="00532B65" w:rsidP="00532B65">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BLOCK</w:t>
            </w:r>
          </w:p>
        </w:tc>
        <w:tc>
          <w:tcPr>
            <w:tcW w:w="960" w:type="dxa"/>
            <w:shd w:val="clear" w:color="auto" w:fill="auto"/>
            <w:noWrap/>
            <w:vAlign w:val="bottom"/>
            <w:hideMark/>
          </w:tcPr>
          <w:p w14:paraId="7BE795CD"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-5.25</w:t>
            </w:r>
          </w:p>
        </w:tc>
        <w:tc>
          <w:tcPr>
            <w:tcW w:w="958" w:type="dxa"/>
            <w:shd w:val="clear" w:color="auto" w:fill="auto"/>
            <w:noWrap/>
            <w:vAlign w:val="bottom"/>
            <w:hideMark/>
          </w:tcPr>
          <w:p w14:paraId="7E6ADB9F"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-0.85</w:t>
            </w:r>
          </w:p>
        </w:tc>
        <w:tc>
          <w:tcPr>
            <w:tcW w:w="1116" w:type="dxa"/>
            <w:shd w:val="clear" w:color="auto" w:fill="auto"/>
            <w:noWrap/>
            <w:vAlign w:val="bottom"/>
            <w:hideMark/>
          </w:tcPr>
          <w:p w14:paraId="6478503B"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0.396</w:t>
            </w:r>
          </w:p>
        </w:tc>
        <w:tc>
          <w:tcPr>
            <w:tcW w:w="420" w:type="dxa"/>
            <w:shd w:val="clear" w:color="auto" w:fill="auto"/>
            <w:noWrap/>
            <w:vAlign w:val="bottom"/>
            <w:hideMark/>
          </w:tcPr>
          <w:p w14:paraId="76AACFCE" w14:textId="77777777" w:rsidR="00532B65" w:rsidRPr="00B92144" w:rsidRDefault="00532B65" w:rsidP="00532B65">
            <w:pPr>
              <w:spacing w:after="0" w:line="240" w:lineRule="auto"/>
              <w:jc w:val="right"/>
              <w:rPr>
                <w:rFonts w:asciiTheme="majorBidi" w:eastAsia="Times New Roman" w:hAnsiTheme="majorBidi" w:cstheme="majorBidi"/>
                <w:color w:val="000000"/>
              </w:rPr>
            </w:pPr>
          </w:p>
        </w:tc>
        <w:tc>
          <w:tcPr>
            <w:tcW w:w="960" w:type="dxa"/>
            <w:shd w:val="clear" w:color="auto" w:fill="auto"/>
            <w:noWrap/>
            <w:vAlign w:val="bottom"/>
            <w:hideMark/>
          </w:tcPr>
          <w:p w14:paraId="11F31304"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-3.77</w:t>
            </w:r>
          </w:p>
        </w:tc>
        <w:tc>
          <w:tcPr>
            <w:tcW w:w="967" w:type="dxa"/>
            <w:shd w:val="clear" w:color="auto" w:fill="auto"/>
            <w:noWrap/>
            <w:vAlign w:val="bottom"/>
            <w:hideMark/>
          </w:tcPr>
          <w:p w14:paraId="352D39A0"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0.39</w:t>
            </w:r>
          </w:p>
        </w:tc>
        <w:tc>
          <w:tcPr>
            <w:tcW w:w="1229" w:type="dxa"/>
            <w:shd w:val="clear" w:color="auto" w:fill="auto"/>
            <w:noWrap/>
            <w:vAlign w:val="bottom"/>
            <w:hideMark/>
          </w:tcPr>
          <w:p w14:paraId="2308794E"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0.70</w:t>
            </w:r>
          </w:p>
        </w:tc>
        <w:tc>
          <w:tcPr>
            <w:tcW w:w="222" w:type="dxa"/>
            <w:shd w:val="clear" w:color="auto" w:fill="auto"/>
            <w:noWrap/>
            <w:vAlign w:val="bottom"/>
            <w:hideMark/>
          </w:tcPr>
          <w:p w14:paraId="1722786F" w14:textId="77777777" w:rsidR="00532B65" w:rsidRPr="00B92144" w:rsidRDefault="00532B65" w:rsidP="00532B65">
            <w:pPr>
              <w:spacing w:after="0" w:line="240" w:lineRule="auto"/>
              <w:jc w:val="right"/>
              <w:rPr>
                <w:rFonts w:asciiTheme="majorBidi" w:eastAsia="Times New Roman" w:hAnsiTheme="majorBidi" w:cstheme="majorBidi"/>
                <w:color w:val="000000"/>
              </w:rPr>
            </w:pPr>
          </w:p>
        </w:tc>
        <w:tc>
          <w:tcPr>
            <w:tcW w:w="960" w:type="dxa"/>
            <w:shd w:val="clear" w:color="auto" w:fill="auto"/>
            <w:noWrap/>
            <w:vAlign w:val="bottom"/>
            <w:hideMark/>
          </w:tcPr>
          <w:p w14:paraId="2072FEA9"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-13.92</w:t>
            </w:r>
          </w:p>
        </w:tc>
        <w:tc>
          <w:tcPr>
            <w:tcW w:w="956" w:type="dxa"/>
            <w:shd w:val="clear" w:color="auto" w:fill="auto"/>
            <w:noWrap/>
            <w:vAlign w:val="bottom"/>
            <w:hideMark/>
          </w:tcPr>
          <w:p w14:paraId="76A0660B"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-1.87</w:t>
            </w:r>
          </w:p>
        </w:tc>
        <w:tc>
          <w:tcPr>
            <w:tcW w:w="1862" w:type="dxa"/>
            <w:shd w:val="clear" w:color="auto" w:fill="auto"/>
            <w:noWrap/>
            <w:vAlign w:val="bottom"/>
            <w:hideMark/>
          </w:tcPr>
          <w:p w14:paraId="0277AD3C"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0.06</w:t>
            </w:r>
            <w:r w:rsidR="00920DB5" w:rsidRPr="00B92144">
              <w:rPr>
                <w:rFonts w:asciiTheme="majorBidi" w:eastAsia="Times New Roman" w:hAnsiTheme="majorBidi" w:cstheme="majorBidi"/>
                <w:b/>
                <w:bCs/>
                <w:color w:val="000000"/>
              </w:rPr>
              <w:t>*</w:t>
            </w:r>
          </w:p>
        </w:tc>
      </w:tr>
      <w:tr w:rsidR="00920DB5" w:rsidRPr="00B92144" w14:paraId="04A60C91" w14:textId="77777777" w:rsidTr="0071253E">
        <w:trPr>
          <w:trHeight w:val="300"/>
          <w:jc w:val="center"/>
        </w:trPr>
        <w:tc>
          <w:tcPr>
            <w:tcW w:w="2003" w:type="dxa"/>
            <w:shd w:val="clear" w:color="auto" w:fill="auto"/>
            <w:noWrap/>
            <w:vAlign w:val="bottom"/>
            <w:hideMark/>
          </w:tcPr>
          <w:p w14:paraId="0758F7D5" w14:textId="77777777" w:rsidR="00532B65" w:rsidRPr="00B92144" w:rsidRDefault="00532B65" w:rsidP="00532B65">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FOREIGN</w:t>
            </w:r>
          </w:p>
        </w:tc>
        <w:tc>
          <w:tcPr>
            <w:tcW w:w="960" w:type="dxa"/>
            <w:shd w:val="clear" w:color="auto" w:fill="auto"/>
            <w:noWrap/>
            <w:vAlign w:val="bottom"/>
            <w:hideMark/>
          </w:tcPr>
          <w:p w14:paraId="7B286085"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8.269</w:t>
            </w:r>
          </w:p>
        </w:tc>
        <w:tc>
          <w:tcPr>
            <w:tcW w:w="958" w:type="dxa"/>
            <w:shd w:val="clear" w:color="auto" w:fill="auto"/>
            <w:noWrap/>
            <w:vAlign w:val="bottom"/>
            <w:hideMark/>
          </w:tcPr>
          <w:p w14:paraId="570BCCB8"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0.2</w:t>
            </w:r>
            <w:r w:rsidR="00920DB5" w:rsidRPr="00B92144">
              <w:rPr>
                <w:rFonts w:asciiTheme="majorBidi" w:eastAsia="Times New Roman" w:hAnsiTheme="majorBidi" w:cstheme="majorBidi"/>
                <w:color w:val="000000"/>
              </w:rPr>
              <w:t>0</w:t>
            </w:r>
          </w:p>
        </w:tc>
        <w:tc>
          <w:tcPr>
            <w:tcW w:w="1116" w:type="dxa"/>
            <w:shd w:val="clear" w:color="auto" w:fill="auto"/>
            <w:noWrap/>
            <w:vAlign w:val="bottom"/>
            <w:hideMark/>
          </w:tcPr>
          <w:p w14:paraId="7AB9992A"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0.84</w:t>
            </w:r>
          </w:p>
        </w:tc>
        <w:tc>
          <w:tcPr>
            <w:tcW w:w="420" w:type="dxa"/>
            <w:shd w:val="clear" w:color="auto" w:fill="auto"/>
            <w:noWrap/>
            <w:vAlign w:val="bottom"/>
            <w:hideMark/>
          </w:tcPr>
          <w:p w14:paraId="3D35D6CB" w14:textId="77777777" w:rsidR="00532B65" w:rsidRPr="00B92144" w:rsidRDefault="00532B65" w:rsidP="00532B65">
            <w:pPr>
              <w:spacing w:after="0" w:line="240" w:lineRule="auto"/>
              <w:jc w:val="right"/>
              <w:rPr>
                <w:rFonts w:asciiTheme="majorBidi" w:eastAsia="Times New Roman" w:hAnsiTheme="majorBidi" w:cstheme="majorBidi"/>
                <w:color w:val="000000"/>
              </w:rPr>
            </w:pPr>
          </w:p>
        </w:tc>
        <w:tc>
          <w:tcPr>
            <w:tcW w:w="960" w:type="dxa"/>
            <w:shd w:val="clear" w:color="auto" w:fill="auto"/>
            <w:noWrap/>
            <w:vAlign w:val="bottom"/>
            <w:hideMark/>
          </w:tcPr>
          <w:p w14:paraId="557E115F"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-10.90</w:t>
            </w:r>
          </w:p>
        </w:tc>
        <w:tc>
          <w:tcPr>
            <w:tcW w:w="967" w:type="dxa"/>
            <w:shd w:val="clear" w:color="auto" w:fill="auto"/>
            <w:noWrap/>
            <w:vAlign w:val="bottom"/>
            <w:hideMark/>
          </w:tcPr>
          <w:p w14:paraId="606D4B5E"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-1.94</w:t>
            </w:r>
          </w:p>
        </w:tc>
        <w:tc>
          <w:tcPr>
            <w:tcW w:w="1229" w:type="dxa"/>
            <w:shd w:val="clear" w:color="auto" w:fill="auto"/>
            <w:noWrap/>
            <w:vAlign w:val="bottom"/>
            <w:hideMark/>
          </w:tcPr>
          <w:p w14:paraId="5BF13787"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0.05</w:t>
            </w:r>
            <w:r w:rsidR="00920DB5" w:rsidRPr="00B92144">
              <w:rPr>
                <w:rFonts w:asciiTheme="majorBidi" w:eastAsia="Times New Roman" w:hAnsiTheme="majorBidi" w:cstheme="majorBidi"/>
                <w:b/>
                <w:bCs/>
                <w:color w:val="000000"/>
              </w:rPr>
              <w:t>*</w:t>
            </w:r>
          </w:p>
        </w:tc>
        <w:tc>
          <w:tcPr>
            <w:tcW w:w="222" w:type="dxa"/>
            <w:shd w:val="clear" w:color="auto" w:fill="auto"/>
            <w:noWrap/>
            <w:vAlign w:val="bottom"/>
            <w:hideMark/>
          </w:tcPr>
          <w:p w14:paraId="4FEC22D7"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3101620E"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66.47</w:t>
            </w:r>
          </w:p>
        </w:tc>
        <w:tc>
          <w:tcPr>
            <w:tcW w:w="956" w:type="dxa"/>
            <w:shd w:val="clear" w:color="auto" w:fill="auto"/>
            <w:noWrap/>
            <w:vAlign w:val="bottom"/>
            <w:hideMark/>
          </w:tcPr>
          <w:p w14:paraId="1D1B85A9"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1.10</w:t>
            </w:r>
          </w:p>
        </w:tc>
        <w:tc>
          <w:tcPr>
            <w:tcW w:w="1862" w:type="dxa"/>
            <w:shd w:val="clear" w:color="auto" w:fill="auto"/>
            <w:noWrap/>
            <w:vAlign w:val="bottom"/>
            <w:hideMark/>
          </w:tcPr>
          <w:p w14:paraId="43E35E50"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0.27</w:t>
            </w:r>
          </w:p>
        </w:tc>
      </w:tr>
      <w:tr w:rsidR="00920DB5" w:rsidRPr="00B92144" w14:paraId="7EDB60B6" w14:textId="77777777" w:rsidTr="0071253E">
        <w:trPr>
          <w:trHeight w:val="300"/>
          <w:jc w:val="center"/>
        </w:trPr>
        <w:tc>
          <w:tcPr>
            <w:tcW w:w="2003" w:type="dxa"/>
            <w:shd w:val="clear" w:color="auto" w:fill="auto"/>
            <w:noWrap/>
            <w:vAlign w:val="bottom"/>
            <w:hideMark/>
          </w:tcPr>
          <w:p w14:paraId="713CC08F" w14:textId="77777777" w:rsidR="00532B65" w:rsidRPr="00B92144" w:rsidRDefault="00532B65" w:rsidP="00532B65">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BDSIZE</w:t>
            </w:r>
          </w:p>
        </w:tc>
        <w:tc>
          <w:tcPr>
            <w:tcW w:w="960" w:type="dxa"/>
            <w:shd w:val="clear" w:color="auto" w:fill="auto"/>
            <w:noWrap/>
            <w:vAlign w:val="bottom"/>
            <w:hideMark/>
          </w:tcPr>
          <w:p w14:paraId="42B41C65"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-33.023</w:t>
            </w:r>
          </w:p>
        </w:tc>
        <w:tc>
          <w:tcPr>
            <w:tcW w:w="958" w:type="dxa"/>
            <w:shd w:val="clear" w:color="auto" w:fill="auto"/>
            <w:noWrap/>
            <w:vAlign w:val="bottom"/>
            <w:hideMark/>
          </w:tcPr>
          <w:p w14:paraId="12B21EA5"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-6</w:t>
            </w:r>
            <w:r w:rsidR="00920DB5" w:rsidRPr="00B92144">
              <w:rPr>
                <w:rFonts w:asciiTheme="majorBidi" w:eastAsia="Times New Roman" w:hAnsiTheme="majorBidi" w:cstheme="majorBidi"/>
                <w:b/>
                <w:bCs/>
                <w:color w:val="000000"/>
              </w:rPr>
              <w:t>.00</w:t>
            </w:r>
          </w:p>
        </w:tc>
        <w:tc>
          <w:tcPr>
            <w:tcW w:w="1116" w:type="dxa"/>
            <w:shd w:val="clear" w:color="auto" w:fill="auto"/>
            <w:noWrap/>
            <w:vAlign w:val="bottom"/>
            <w:hideMark/>
          </w:tcPr>
          <w:p w14:paraId="564E4C26"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w:t>
            </w:r>
            <w:r w:rsidR="00920DB5" w:rsidRPr="00B92144">
              <w:rPr>
                <w:rFonts w:asciiTheme="majorBidi" w:eastAsia="Times New Roman" w:hAnsiTheme="majorBidi" w:cstheme="majorBidi"/>
                <w:b/>
                <w:bCs/>
                <w:color w:val="000000"/>
              </w:rPr>
              <w:t>.00***</w:t>
            </w:r>
          </w:p>
        </w:tc>
        <w:tc>
          <w:tcPr>
            <w:tcW w:w="420" w:type="dxa"/>
            <w:shd w:val="clear" w:color="auto" w:fill="auto"/>
            <w:noWrap/>
            <w:vAlign w:val="bottom"/>
            <w:hideMark/>
          </w:tcPr>
          <w:p w14:paraId="14CC2E17"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7810EB7D"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-3.05</w:t>
            </w:r>
          </w:p>
        </w:tc>
        <w:tc>
          <w:tcPr>
            <w:tcW w:w="967" w:type="dxa"/>
            <w:shd w:val="clear" w:color="auto" w:fill="auto"/>
            <w:noWrap/>
            <w:vAlign w:val="bottom"/>
            <w:hideMark/>
          </w:tcPr>
          <w:p w14:paraId="3C271106"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-0.32</w:t>
            </w:r>
          </w:p>
        </w:tc>
        <w:tc>
          <w:tcPr>
            <w:tcW w:w="1229" w:type="dxa"/>
            <w:shd w:val="clear" w:color="auto" w:fill="auto"/>
            <w:noWrap/>
            <w:vAlign w:val="bottom"/>
            <w:hideMark/>
          </w:tcPr>
          <w:p w14:paraId="41C4DB56"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0.75</w:t>
            </w:r>
          </w:p>
        </w:tc>
        <w:tc>
          <w:tcPr>
            <w:tcW w:w="222" w:type="dxa"/>
            <w:shd w:val="clear" w:color="auto" w:fill="auto"/>
            <w:noWrap/>
            <w:vAlign w:val="bottom"/>
            <w:hideMark/>
          </w:tcPr>
          <w:p w14:paraId="381F4903" w14:textId="77777777" w:rsidR="00532B65" w:rsidRPr="00B92144" w:rsidRDefault="00532B65" w:rsidP="00532B65">
            <w:pPr>
              <w:spacing w:after="0" w:line="240" w:lineRule="auto"/>
              <w:jc w:val="right"/>
              <w:rPr>
                <w:rFonts w:asciiTheme="majorBidi" w:eastAsia="Times New Roman" w:hAnsiTheme="majorBidi" w:cstheme="majorBidi"/>
                <w:color w:val="000000"/>
              </w:rPr>
            </w:pPr>
          </w:p>
        </w:tc>
        <w:tc>
          <w:tcPr>
            <w:tcW w:w="960" w:type="dxa"/>
            <w:shd w:val="clear" w:color="auto" w:fill="auto"/>
            <w:noWrap/>
            <w:vAlign w:val="bottom"/>
            <w:hideMark/>
          </w:tcPr>
          <w:p w14:paraId="2340B89B"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-18.41</w:t>
            </w:r>
          </w:p>
        </w:tc>
        <w:tc>
          <w:tcPr>
            <w:tcW w:w="956" w:type="dxa"/>
            <w:shd w:val="clear" w:color="auto" w:fill="auto"/>
            <w:noWrap/>
            <w:vAlign w:val="bottom"/>
            <w:hideMark/>
          </w:tcPr>
          <w:p w14:paraId="04F6D4D9"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-2.57</w:t>
            </w:r>
          </w:p>
        </w:tc>
        <w:tc>
          <w:tcPr>
            <w:tcW w:w="1862" w:type="dxa"/>
            <w:shd w:val="clear" w:color="auto" w:fill="auto"/>
            <w:noWrap/>
            <w:vAlign w:val="bottom"/>
            <w:hideMark/>
          </w:tcPr>
          <w:p w14:paraId="0C5047B3"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0.01</w:t>
            </w:r>
            <w:r w:rsidR="00920DB5" w:rsidRPr="00B92144">
              <w:rPr>
                <w:rFonts w:asciiTheme="majorBidi" w:eastAsia="Times New Roman" w:hAnsiTheme="majorBidi" w:cstheme="majorBidi"/>
                <w:b/>
                <w:bCs/>
                <w:color w:val="000000"/>
              </w:rPr>
              <w:t>***</w:t>
            </w:r>
          </w:p>
        </w:tc>
      </w:tr>
      <w:tr w:rsidR="00920DB5" w:rsidRPr="00B92144" w14:paraId="0C584F24" w14:textId="77777777" w:rsidTr="0071253E">
        <w:trPr>
          <w:trHeight w:val="300"/>
          <w:jc w:val="center"/>
        </w:trPr>
        <w:tc>
          <w:tcPr>
            <w:tcW w:w="2003" w:type="dxa"/>
            <w:shd w:val="clear" w:color="auto" w:fill="auto"/>
            <w:noWrap/>
            <w:vAlign w:val="bottom"/>
            <w:hideMark/>
          </w:tcPr>
          <w:p w14:paraId="411A1948" w14:textId="77777777" w:rsidR="00532B65" w:rsidRPr="00B92144" w:rsidRDefault="00532B65" w:rsidP="00532B65">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BDIND</w:t>
            </w:r>
          </w:p>
        </w:tc>
        <w:tc>
          <w:tcPr>
            <w:tcW w:w="960" w:type="dxa"/>
            <w:shd w:val="clear" w:color="auto" w:fill="auto"/>
            <w:noWrap/>
            <w:vAlign w:val="bottom"/>
            <w:hideMark/>
          </w:tcPr>
          <w:p w14:paraId="2148C00A"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80.067</w:t>
            </w:r>
          </w:p>
        </w:tc>
        <w:tc>
          <w:tcPr>
            <w:tcW w:w="958" w:type="dxa"/>
            <w:shd w:val="clear" w:color="auto" w:fill="auto"/>
            <w:noWrap/>
            <w:vAlign w:val="bottom"/>
            <w:hideMark/>
          </w:tcPr>
          <w:p w14:paraId="7EFC1426"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1.74</w:t>
            </w:r>
          </w:p>
        </w:tc>
        <w:tc>
          <w:tcPr>
            <w:tcW w:w="1116" w:type="dxa"/>
            <w:shd w:val="clear" w:color="auto" w:fill="auto"/>
            <w:noWrap/>
            <w:vAlign w:val="bottom"/>
            <w:hideMark/>
          </w:tcPr>
          <w:p w14:paraId="279DF1D0"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0.084</w:t>
            </w:r>
            <w:r w:rsidR="00920DB5" w:rsidRPr="00B92144">
              <w:rPr>
                <w:rFonts w:asciiTheme="majorBidi" w:eastAsia="Times New Roman" w:hAnsiTheme="majorBidi" w:cstheme="majorBidi"/>
                <w:b/>
                <w:bCs/>
                <w:color w:val="000000"/>
              </w:rPr>
              <w:t>*</w:t>
            </w:r>
          </w:p>
        </w:tc>
        <w:tc>
          <w:tcPr>
            <w:tcW w:w="420" w:type="dxa"/>
            <w:shd w:val="clear" w:color="auto" w:fill="auto"/>
            <w:noWrap/>
            <w:vAlign w:val="bottom"/>
            <w:hideMark/>
          </w:tcPr>
          <w:p w14:paraId="715283B7"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0593E471"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26.02</w:t>
            </w:r>
          </w:p>
        </w:tc>
        <w:tc>
          <w:tcPr>
            <w:tcW w:w="967" w:type="dxa"/>
            <w:shd w:val="clear" w:color="auto" w:fill="auto"/>
            <w:noWrap/>
            <w:vAlign w:val="bottom"/>
            <w:hideMark/>
          </w:tcPr>
          <w:p w14:paraId="15AF7854"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3.43</w:t>
            </w:r>
          </w:p>
        </w:tc>
        <w:tc>
          <w:tcPr>
            <w:tcW w:w="1229" w:type="dxa"/>
            <w:shd w:val="clear" w:color="auto" w:fill="auto"/>
            <w:noWrap/>
            <w:vAlign w:val="bottom"/>
            <w:hideMark/>
          </w:tcPr>
          <w:p w14:paraId="07A7E79D"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w:t>
            </w:r>
            <w:r w:rsidR="00920DB5" w:rsidRPr="00B92144">
              <w:rPr>
                <w:rFonts w:asciiTheme="majorBidi" w:eastAsia="Times New Roman" w:hAnsiTheme="majorBidi" w:cstheme="majorBidi"/>
                <w:b/>
                <w:bCs/>
                <w:color w:val="000000"/>
              </w:rPr>
              <w:t>***</w:t>
            </w:r>
          </w:p>
        </w:tc>
        <w:tc>
          <w:tcPr>
            <w:tcW w:w="222" w:type="dxa"/>
            <w:shd w:val="clear" w:color="auto" w:fill="auto"/>
            <w:noWrap/>
            <w:vAlign w:val="bottom"/>
            <w:hideMark/>
          </w:tcPr>
          <w:p w14:paraId="4F6D353F"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2BA0891B"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44.50</w:t>
            </w:r>
          </w:p>
        </w:tc>
        <w:tc>
          <w:tcPr>
            <w:tcW w:w="956" w:type="dxa"/>
            <w:shd w:val="clear" w:color="auto" w:fill="auto"/>
            <w:noWrap/>
            <w:vAlign w:val="bottom"/>
            <w:hideMark/>
          </w:tcPr>
          <w:p w14:paraId="48B894C5"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0.59</w:t>
            </w:r>
          </w:p>
        </w:tc>
        <w:tc>
          <w:tcPr>
            <w:tcW w:w="1862" w:type="dxa"/>
            <w:shd w:val="clear" w:color="auto" w:fill="auto"/>
            <w:noWrap/>
            <w:vAlign w:val="bottom"/>
            <w:hideMark/>
          </w:tcPr>
          <w:p w14:paraId="6C3019BD"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0.56</w:t>
            </w:r>
          </w:p>
        </w:tc>
      </w:tr>
      <w:tr w:rsidR="00920DB5" w:rsidRPr="00B92144" w14:paraId="6C3ECB42" w14:textId="77777777" w:rsidTr="0071253E">
        <w:trPr>
          <w:trHeight w:val="300"/>
          <w:jc w:val="center"/>
        </w:trPr>
        <w:tc>
          <w:tcPr>
            <w:tcW w:w="2003" w:type="dxa"/>
            <w:shd w:val="clear" w:color="auto" w:fill="auto"/>
            <w:noWrap/>
            <w:vAlign w:val="bottom"/>
            <w:hideMark/>
          </w:tcPr>
          <w:p w14:paraId="32E0C5B6" w14:textId="77777777" w:rsidR="00532B65" w:rsidRPr="00B92144" w:rsidRDefault="00532B65" w:rsidP="00532B65">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BDFOREIGN</w:t>
            </w:r>
          </w:p>
        </w:tc>
        <w:tc>
          <w:tcPr>
            <w:tcW w:w="960" w:type="dxa"/>
            <w:shd w:val="clear" w:color="auto" w:fill="auto"/>
            <w:noWrap/>
            <w:vAlign w:val="bottom"/>
            <w:hideMark/>
          </w:tcPr>
          <w:p w14:paraId="740DA258"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110.45</w:t>
            </w:r>
          </w:p>
        </w:tc>
        <w:tc>
          <w:tcPr>
            <w:tcW w:w="958" w:type="dxa"/>
            <w:shd w:val="clear" w:color="auto" w:fill="auto"/>
            <w:noWrap/>
            <w:vAlign w:val="bottom"/>
            <w:hideMark/>
          </w:tcPr>
          <w:p w14:paraId="4A19F1E5"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2.27</w:t>
            </w:r>
          </w:p>
        </w:tc>
        <w:tc>
          <w:tcPr>
            <w:tcW w:w="1116" w:type="dxa"/>
            <w:shd w:val="clear" w:color="auto" w:fill="auto"/>
            <w:noWrap/>
            <w:vAlign w:val="bottom"/>
            <w:hideMark/>
          </w:tcPr>
          <w:p w14:paraId="6061B5A2"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0.024</w:t>
            </w:r>
            <w:r w:rsidR="00920DB5" w:rsidRPr="00B92144">
              <w:rPr>
                <w:rFonts w:asciiTheme="majorBidi" w:eastAsia="Times New Roman" w:hAnsiTheme="majorBidi" w:cstheme="majorBidi"/>
                <w:b/>
                <w:bCs/>
                <w:color w:val="000000"/>
              </w:rPr>
              <w:t>**</w:t>
            </w:r>
          </w:p>
        </w:tc>
        <w:tc>
          <w:tcPr>
            <w:tcW w:w="420" w:type="dxa"/>
            <w:shd w:val="clear" w:color="auto" w:fill="auto"/>
            <w:noWrap/>
            <w:vAlign w:val="bottom"/>
            <w:hideMark/>
          </w:tcPr>
          <w:p w14:paraId="1F81E0B8"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5496B6A7"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35.50</w:t>
            </w:r>
          </w:p>
        </w:tc>
        <w:tc>
          <w:tcPr>
            <w:tcW w:w="967" w:type="dxa"/>
            <w:shd w:val="clear" w:color="auto" w:fill="auto"/>
            <w:noWrap/>
            <w:vAlign w:val="bottom"/>
            <w:hideMark/>
          </w:tcPr>
          <w:p w14:paraId="34EA0D45"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4.42</w:t>
            </w:r>
          </w:p>
        </w:tc>
        <w:tc>
          <w:tcPr>
            <w:tcW w:w="1229" w:type="dxa"/>
            <w:shd w:val="clear" w:color="auto" w:fill="auto"/>
            <w:noWrap/>
            <w:vAlign w:val="bottom"/>
            <w:hideMark/>
          </w:tcPr>
          <w:p w14:paraId="120BD96D"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w:t>
            </w:r>
            <w:r w:rsidR="00920DB5" w:rsidRPr="00B92144">
              <w:rPr>
                <w:rFonts w:asciiTheme="majorBidi" w:eastAsia="Times New Roman" w:hAnsiTheme="majorBidi" w:cstheme="majorBidi"/>
                <w:b/>
                <w:bCs/>
                <w:color w:val="000000"/>
              </w:rPr>
              <w:t>***</w:t>
            </w:r>
          </w:p>
        </w:tc>
        <w:tc>
          <w:tcPr>
            <w:tcW w:w="222" w:type="dxa"/>
            <w:shd w:val="clear" w:color="auto" w:fill="auto"/>
            <w:noWrap/>
            <w:vAlign w:val="bottom"/>
            <w:hideMark/>
          </w:tcPr>
          <w:p w14:paraId="6BA0D767"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14747C16"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-48.68</w:t>
            </w:r>
          </w:p>
        </w:tc>
        <w:tc>
          <w:tcPr>
            <w:tcW w:w="956" w:type="dxa"/>
            <w:shd w:val="clear" w:color="auto" w:fill="auto"/>
            <w:noWrap/>
            <w:vAlign w:val="bottom"/>
            <w:hideMark/>
          </w:tcPr>
          <w:p w14:paraId="53C92099"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-0.66</w:t>
            </w:r>
          </w:p>
        </w:tc>
        <w:tc>
          <w:tcPr>
            <w:tcW w:w="1862" w:type="dxa"/>
            <w:shd w:val="clear" w:color="auto" w:fill="auto"/>
            <w:noWrap/>
            <w:vAlign w:val="bottom"/>
            <w:hideMark/>
          </w:tcPr>
          <w:p w14:paraId="65F467CB"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0.51</w:t>
            </w:r>
          </w:p>
        </w:tc>
      </w:tr>
      <w:tr w:rsidR="00920DB5" w:rsidRPr="00B92144" w14:paraId="2AA4E818" w14:textId="77777777" w:rsidTr="0071253E">
        <w:trPr>
          <w:trHeight w:val="300"/>
          <w:jc w:val="center"/>
        </w:trPr>
        <w:tc>
          <w:tcPr>
            <w:tcW w:w="2003" w:type="dxa"/>
            <w:shd w:val="clear" w:color="auto" w:fill="auto"/>
            <w:noWrap/>
            <w:vAlign w:val="bottom"/>
            <w:hideMark/>
          </w:tcPr>
          <w:p w14:paraId="40088E20" w14:textId="77777777" w:rsidR="00532B65" w:rsidRPr="00B92144" w:rsidRDefault="00532B65" w:rsidP="006F36BF">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 xml:space="preserve">GDP </w:t>
            </w:r>
          </w:p>
        </w:tc>
        <w:tc>
          <w:tcPr>
            <w:tcW w:w="960" w:type="dxa"/>
            <w:shd w:val="clear" w:color="auto" w:fill="auto"/>
            <w:noWrap/>
            <w:vAlign w:val="bottom"/>
            <w:hideMark/>
          </w:tcPr>
          <w:p w14:paraId="234131E0"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-597.09</w:t>
            </w:r>
          </w:p>
        </w:tc>
        <w:tc>
          <w:tcPr>
            <w:tcW w:w="958" w:type="dxa"/>
            <w:shd w:val="clear" w:color="auto" w:fill="auto"/>
            <w:noWrap/>
            <w:vAlign w:val="bottom"/>
            <w:hideMark/>
          </w:tcPr>
          <w:p w14:paraId="17232675"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-2.56</w:t>
            </w:r>
          </w:p>
        </w:tc>
        <w:tc>
          <w:tcPr>
            <w:tcW w:w="1116" w:type="dxa"/>
            <w:shd w:val="clear" w:color="auto" w:fill="auto"/>
            <w:noWrap/>
            <w:vAlign w:val="bottom"/>
            <w:hideMark/>
          </w:tcPr>
          <w:p w14:paraId="3A87264E"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0.011</w:t>
            </w:r>
            <w:r w:rsidR="00920DB5" w:rsidRPr="00B92144">
              <w:rPr>
                <w:rFonts w:asciiTheme="majorBidi" w:eastAsia="Times New Roman" w:hAnsiTheme="majorBidi" w:cstheme="majorBidi"/>
                <w:b/>
                <w:bCs/>
                <w:color w:val="000000"/>
              </w:rPr>
              <w:t>**</w:t>
            </w:r>
          </w:p>
        </w:tc>
        <w:tc>
          <w:tcPr>
            <w:tcW w:w="420" w:type="dxa"/>
            <w:shd w:val="clear" w:color="auto" w:fill="auto"/>
            <w:noWrap/>
            <w:vAlign w:val="bottom"/>
            <w:hideMark/>
          </w:tcPr>
          <w:p w14:paraId="6DD542F8"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29770C9F"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-19.10</w:t>
            </w:r>
          </w:p>
        </w:tc>
        <w:tc>
          <w:tcPr>
            <w:tcW w:w="967" w:type="dxa"/>
            <w:shd w:val="clear" w:color="auto" w:fill="auto"/>
            <w:noWrap/>
            <w:vAlign w:val="bottom"/>
            <w:hideMark/>
          </w:tcPr>
          <w:p w14:paraId="572BF239"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1.32</w:t>
            </w:r>
          </w:p>
        </w:tc>
        <w:tc>
          <w:tcPr>
            <w:tcW w:w="1229" w:type="dxa"/>
            <w:shd w:val="clear" w:color="auto" w:fill="auto"/>
            <w:noWrap/>
            <w:vAlign w:val="bottom"/>
            <w:hideMark/>
          </w:tcPr>
          <w:p w14:paraId="4BF852F7"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0.19</w:t>
            </w:r>
          </w:p>
        </w:tc>
        <w:tc>
          <w:tcPr>
            <w:tcW w:w="222" w:type="dxa"/>
            <w:shd w:val="clear" w:color="auto" w:fill="auto"/>
            <w:noWrap/>
            <w:vAlign w:val="bottom"/>
            <w:hideMark/>
          </w:tcPr>
          <w:p w14:paraId="1093BAE7" w14:textId="77777777" w:rsidR="00532B65" w:rsidRPr="00B92144" w:rsidRDefault="00532B65" w:rsidP="00532B65">
            <w:pPr>
              <w:spacing w:after="0" w:line="240" w:lineRule="auto"/>
              <w:jc w:val="right"/>
              <w:rPr>
                <w:rFonts w:asciiTheme="majorBidi" w:eastAsia="Times New Roman" w:hAnsiTheme="majorBidi" w:cstheme="majorBidi"/>
                <w:color w:val="000000"/>
              </w:rPr>
            </w:pPr>
          </w:p>
        </w:tc>
        <w:tc>
          <w:tcPr>
            <w:tcW w:w="960" w:type="dxa"/>
            <w:shd w:val="clear" w:color="auto" w:fill="auto"/>
            <w:noWrap/>
            <w:vAlign w:val="bottom"/>
            <w:hideMark/>
          </w:tcPr>
          <w:p w14:paraId="0E75FC59"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-818.00</w:t>
            </w:r>
          </w:p>
        </w:tc>
        <w:tc>
          <w:tcPr>
            <w:tcW w:w="956" w:type="dxa"/>
            <w:shd w:val="clear" w:color="auto" w:fill="auto"/>
            <w:noWrap/>
            <w:vAlign w:val="bottom"/>
            <w:hideMark/>
          </w:tcPr>
          <w:p w14:paraId="5F5EA04C"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-3.29</w:t>
            </w:r>
          </w:p>
        </w:tc>
        <w:tc>
          <w:tcPr>
            <w:tcW w:w="1862" w:type="dxa"/>
            <w:shd w:val="clear" w:color="auto" w:fill="auto"/>
            <w:noWrap/>
            <w:vAlign w:val="bottom"/>
            <w:hideMark/>
          </w:tcPr>
          <w:p w14:paraId="4C3865C4"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w:t>
            </w:r>
            <w:r w:rsidR="00920DB5" w:rsidRPr="00B92144">
              <w:rPr>
                <w:rFonts w:asciiTheme="majorBidi" w:eastAsia="Times New Roman" w:hAnsiTheme="majorBidi" w:cstheme="majorBidi"/>
                <w:b/>
                <w:bCs/>
                <w:color w:val="000000"/>
              </w:rPr>
              <w:t>***</w:t>
            </w:r>
          </w:p>
        </w:tc>
      </w:tr>
      <w:tr w:rsidR="00920DB5" w:rsidRPr="00B92144" w14:paraId="56718193" w14:textId="77777777" w:rsidTr="0071253E">
        <w:trPr>
          <w:trHeight w:val="300"/>
          <w:jc w:val="center"/>
        </w:trPr>
        <w:tc>
          <w:tcPr>
            <w:tcW w:w="2003" w:type="dxa"/>
            <w:shd w:val="clear" w:color="auto" w:fill="auto"/>
            <w:noWrap/>
            <w:vAlign w:val="bottom"/>
            <w:hideMark/>
          </w:tcPr>
          <w:p w14:paraId="1368BD09" w14:textId="77777777" w:rsidR="00532B65" w:rsidRPr="00B92144" w:rsidRDefault="00920DB5" w:rsidP="00532B65">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 xml:space="preserve">TIER </w:t>
            </w:r>
            <w:r w:rsidR="00532B65" w:rsidRPr="00B92144">
              <w:rPr>
                <w:rFonts w:asciiTheme="majorBidi" w:eastAsia="Times New Roman" w:hAnsiTheme="majorBidi" w:cstheme="majorBidi"/>
                <w:color w:val="000000"/>
              </w:rPr>
              <w:t>1</w:t>
            </w:r>
          </w:p>
        </w:tc>
        <w:tc>
          <w:tcPr>
            <w:tcW w:w="960" w:type="dxa"/>
            <w:shd w:val="clear" w:color="auto" w:fill="auto"/>
            <w:noWrap/>
            <w:vAlign w:val="bottom"/>
            <w:hideMark/>
          </w:tcPr>
          <w:p w14:paraId="3428AD5B"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-29.301</w:t>
            </w:r>
          </w:p>
        </w:tc>
        <w:tc>
          <w:tcPr>
            <w:tcW w:w="958" w:type="dxa"/>
            <w:shd w:val="clear" w:color="auto" w:fill="auto"/>
            <w:noWrap/>
            <w:vAlign w:val="bottom"/>
            <w:hideMark/>
          </w:tcPr>
          <w:p w14:paraId="178F408C"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-2.95</w:t>
            </w:r>
          </w:p>
        </w:tc>
        <w:tc>
          <w:tcPr>
            <w:tcW w:w="1116" w:type="dxa"/>
            <w:shd w:val="clear" w:color="auto" w:fill="auto"/>
            <w:noWrap/>
            <w:vAlign w:val="bottom"/>
            <w:hideMark/>
          </w:tcPr>
          <w:p w14:paraId="6DABEF15"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0.003</w:t>
            </w:r>
            <w:r w:rsidR="00920DB5" w:rsidRPr="00B92144">
              <w:rPr>
                <w:rFonts w:asciiTheme="majorBidi" w:eastAsia="Times New Roman" w:hAnsiTheme="majorBidi" w:cstheme="majorBidi"/>
                <w:b/>
                <w:bCs/>
                <w:color w:val="000000"/>
              </w:rPr>
              <w:t>***</w:t>
            </w:r>
          </w:p>
        </w:tc>
        <w:tc>
          <w:tcPr>
            <w:tcW w:w="420" w:type="dxa"/>
            <w:shd w:val="clear" w:color="auto" w:fill="auto"/>
            <w:noWrap/>
            <w:vAlign w:val="bottom"/>
            <w:hideMark/>
          </w:tcPr>
          <w:p w14:paraId="77FFE99E"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2FB24F4E"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-55.40</w:t>
            </w:r>
          </w:p>
        </w:tc>
        <w:tc>
          <w:tcPr>
            <w:tcW w:w="967" w:type="dxa"/>
            <w:shd w:val="clear" w:color="auto" w:fill="auto"/>
            <w:noWrap/>
            <w:vAlign w:val="bottom"/>
            <w:hideMark/>
          </w:tcPr>
          <w:p w14:paraId="66993561"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3.38</w:t>
            </w:r>
          </w:p>
        </w:tc>
        <w:tc>
          <w:tcPr>
            <w:tcW w:w="1229" w:type="dxa"/>
            <w:shd w:val="clear" w:color="auto" w:fill="auto"/>
            <w:noWrap/>
            <w:vAlign w:val="bottom"/>
            <w:hideMark/>
          </w:tcPr>
          <w:p w14:paraId="1EA1C679"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w:t>
            </w:r>
            <w:r w:rsidR="00920DB5" w:rsidRPr="00B92144">
              <w:rPr>
                <w:rFonts w:asciiTheme="majorBidi" w:eastAsia="Times New Roman" w:hAnsiTheme="majorBidi" w:cstheme="majorBidi"/>
                <w:b/>
                <w:bCs/>
                <w:color w:val="000000"/>
              </w:rPr>
              <w:t>***</w:t>
            </w:r>
          </w:p>
        </w:tc>
        <w:tc>
          <w:tcPr>
            <w:tcW w:w="222" w:type="dxa"/>
            <w:shd w:val="clear" w:color="auto" w:fill="auto"/>
            <w:noWrap/>
            <w:vAlign w:val="bottom"/>
            <w:hideMark/>
          </w:tcPr>
          <w:p w14:paraId="3F47C994"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400D0064"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-19.97</w:t>
            </w:r>
          </w:p>
        </w:tc>
        <w:tc>
          <w:tcPr>
            <w:tcW w:w="956" w:type="dxa"/>
            <w:shd w:val="clear" w:color="auto" w:fill="auto"/>
            <w:noWrap/>
            <w:vAlign w:val="bottom"/>
            <w:hideMark/>
          </w:tcPr>
          <w:p w14:paraId="4DD4DD0F"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-1.99</w:t>
            </w:r>
          </w:p>
        </w:tc>
        <w:tc>
          <w:tcPr>
            <w:tcW w:w="1862" w:type="dxa"/>
            <w:shd w:val="clear" w:color="auto" w:fill="auto"/>
            <w:noWrap/>
            <w:vAlign w:val="bottom"/>
            <w:hideMark/>
          </w:tcPr>
          <w:p w14:paraId="7A317564"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0.05</w:t>
            </w:r>
            <w:r w:rsidR="00920DB5" w:rsidRPr="00B92144">
              <w:rPr>
                <w:rFonts w:asciiTheme="majorBidi" w:eastAsia="Times New Roman" w:hAnsiTheme="majorBidi" w:cstheme="majorBidi"/>
                <w:b/>
                <w:bCs/>
                <w:color w:val="000000"/>
              </w:rPr>
              <w:t>**</w:t>
            </w:r>
          </w:p>
        </w:tc>
      </w:tr>
      <w:tr w:rsidR="00EE3F9A" w:rsidRPr="00B92144" w14:paraId="045AF5B5" w14:textId="77777777" w:rsidTr="0071253E">
        <w:trPr>
          <w:trHeight w:val="300"/>
          <w:jc w:val="center"/>
        </w:trPr>
        <w:tc>
          <w:tcPr>
            <w:tcW w:w="2003" w:type="dxa"/>
            <w:shd w:val="clear" w:color="auto" w:fill="auto"/>
            <w:noWrap/>
            <w:vAlign w:val="bottom"/>
          </w:tcPr>
          <w:p w14:paraId="083B738D" w14:textId="090F39BD" w:rsidR="00EE3F9A" w:rsidRPr="00B92144" w:rsidRDefault="00EE3F9A" w:rsidP="00532B65">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LAW</w:t>
            </w:r>
          </w:p>
        </w:tc>
        <w:tc>
          <w:tcPr>
            <w:tcW w:w="960" w:type="dxa"/>
            <w:shd w:val="clear" w:color="auto" w:fill="auto"/>
            <w:noWrap/>
            <w:vAlign w:val="bottom"/>
          </w:tcPr>
          <w:p w14:paraId="6BCC8E82" w14:textId="77777777" w:rsidR="00EE3F9A" w:rsidRPr="00B92144" w:rsidRDefault="00EE3F9A" w:rsidP="00532B65">
            <w:pPr>
              <w:spacing w:after="0" w:line="240" w:lineRule="auto"/>
              <w:jc w:val="right"/>
              <w:rPr>
                <w:rFonts w:asciiTheme="majorBidi" w:eastAsia="Times New Roman" w:hAnsiTheme="majorBidi" w:cstheme="majorBidi"/>
                <w:b/>
                <w:bCs/>
                <w:color w:val="000000"/>
              </w:rPr>
            </w:pPr>
          </w:p>
        </w:tc>
        <w:tc>
          <w:tcPr>
            <w:tcW w:w="958" w:type="dxa"/>
            <w:shd w:val="clear" w:color="auto" w:fill="auto"/>
            <w:noWrap/>
            <w:vAlign w:val="bottom"/>
          </w:tcPr>
          <w:p w14:paraId="21840A76" w14:textId="77777777" w:rsidR="00EE3F9A" w:rsidRPr="00B92144" w:rsidRDefault="00EE3F9A" w:rsidP="00532B65">
            <w:pPr>
              <w:spacing w:after="0" w:line="240" w:lineRule="auto"/>
              <w:jc w:val="right"/>
              <w:rPr>
                <w:rFonts w:asciiTheme="majorBidi" w:eastAsia="Times New Roman" w:hAnsiTheme="majorBidi" w:cstheme="majorBidi"/>
                <w:b/>
                <w:bCs/>
                <w:color w:val="000000"/>
              </w:rPr>
            </w:pPr>
          </w:p>
        </w:tc>
        <w:tc>
          <w:tcPr>
            <w:tcW w:w="1116" w:type="dxa"/>
            <w:shd w:val="clear" w:color="auto" w:fill="auto"/>
            <w:noWrap/>
            <w:vAlign w:val="bottom"/>
          </w:tcPr>
          <w:p w14:paraId="619226CF" w14:textId="77777777" w:rsidR="00EE3F9A" w:rsidRPr="00B92144" w:rsidRDefault="00EE3F9A" w:rsidP="00532B65">
            <w:pPr>
              <w:spacing w:after="0" w:line="240" w:lineRule="auto"/>
              <w:jc w:val="right"/>
              <w:rPr>
                <w:rFonts w:asciiTheme="majorBidi" w:eastAsia="Times New Roman" w:hAnsiTheme="majorBidi" w:cstheme="majorBidi"/>
                <w:b/>
                <w:bCs/>
                <w:color w:val="000000"/>
              </w:rPr>
            </w:pPr>
          </w:p>
        </w:tc>
        <w:tc>
          <w:tcPr>
            <w:tcW w:w="420" w:type="dxa"/>
            <w:shd w:val="clear" w:color="auto" w:fill="auto"/>
            <w:noWrap/>
            <w:vAlign w:val="bottom"/>
          </w:tcPr>
          <w:p w14:paraId="3EE7BA27" w14:textId="77777777" w:rsidR="00EE3F9A" w:rsidRPr="00B92144" w:rsidRDefault="00EE3F9A"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tcPr>
          <w:p w14:paraId="5ADD33AC" w14:textId="77777777" w:rsidR="00EE3F9A" w:rsidRPr="00B92144" w:rsidRDefault="00EE3F9A" w:rsidP="00532B65">
            <w:pPr>
              <w:spacing w:after="0" w:line="240" w:lineRule="auto"/>
              <w:rPr>
                <w:rFonts w:asciiTheme="majorBidi" w:eastAsia="Times New Roman" w:hAnsiTheme="majorBidi" w:cstheme="majorBidi"/>
              </w:rPr>
            </w:pPr>
          </w:p>
        </w:tc>
        <w:tc>
          <w:tcPr>
            <w:tcW w:w="967" w:type="dxa"/>
            <w:shd w:val="clear" w:color="auto" w:fill="auto"/>
            <w:noWrap/>
            <w:vAlign w:val="bottom"/>
          </w:tcPr>
          <w:p w14:paraId="73142E97" w14:textId="77777777" w:rsidR="00EE3F9A" w:rsidRPr="00B92144" w:rsidRDefault="00EE3F9A" w:rsidP="00532B65">
            <w:pPr>
              <w:spacing w:after="0" w:line="240" w:lineRule="auto"/>
              <w:rPr>
                <w:rFonts w:asciiTheme="majorBidi" w:eastAsia="Times New Roman" w:hAnsiTheme="majorBidi" w:cstheme="majorBidi"/>
              </w:rPr>
            </w:pPr>
          </w:p>
        </w:tc>
        <w:tc>
          <w:tcPr>
            <w:tcW w:w="1229" w:type="dxa"/>
            <w:shd w:val="clear" w:color="auto" w:fill="auto"/>
            <w:noWrap/>
            <w:vAlign w:val="bottom"/>
          </w:tcPr>
          <w:p w14:paraId="684C4047" w14:textId="77777777" w:rsidR="00EE3F9A" w:rsidRPr="00B92144" w:rsidRDefault="00EE3F9A" w:rsidP="00532B65">
            <w:pPr>
              <w:spacing w:after="0" w:line="240" w:lineRule="auto"/>
              <w:rPr>
                <w:rFonts w:asciiTheme="majorBidi" w:eastAsia="Times New Roman" w:hAnsiTheme="majorBidi" w:cstheme="majorBidi"/>
              </w:rPr>
            </w:pPr>
          </w:p>
        </w:tc>
        <w:tc>
          <w:tcPr>
            <w:tcW w:w="222" w:type="dxa"/>
            <w:shd w:val="clear" w:color="auto" w:fill="auto"/>
            <w:noWrap/>
            <w:vAlign w:val="bottom"/>
          </w:tcPr>
          <w:p w14:paraId="504AD383" w14:textId="77777777" w:rsidR="00EE3F9A" w:rsidRPr="00B92144" w:rsidRDefault="00EE3F9A" w:rsidP="00532B65">
            <w:pPr>
              <w:spacing w:after="0" w:line="240" w:lineRule="auto"/>
              <w:rPr>
                <w:rFonts w:asciiTheme="majorBidi" w:eastAsia="Times New Roman" w:hAnsiTheme="majorBidi" w:cstheme="majorBidi"/>
              </w:rPr>
            </w:pPr>
          </w:p>
        </w:tc>
        <w:tc>
          <w:tcPr>
            <w:tcW w:w="960" w:type="dxa"/>
            <w:shd w:val="clear" w:color="auto" w:fill="auto"/>
            <w:noWrap/>
            <w:vAlign w:val="bottom"/>
          </w:tcPr>
          <w:p w14:paraId="61A11BC2" w14:textId="77777777" w:rsidR="00EE3F9A" w:rsidRPr="00B92144" w:rsidRDefault="00EE3F9A" w:rsidP="00532B65">
            <w:pPr>
              <w:spacing w:after="0" w:line="240" w:lineRule="auto"/>
              <w:rPr>
                <w:rFonts w:asciiTheme="majorBidi" w:eastAsia="Times New Roman" w:hAnsiTheme="majorBidi" w:cstheme="majorBidi"/>
              </w:rPr>
            </w:pPr>
          </w:p>
        </w:tc>
        <w:tc>
          <w:tcPr>
            <w:tcW w:w="956" w:type="dxa"/>
            <w:shd w:val="clear" w:color="auto" w:fill="auto"/>
            <w:noWrap/>
            <w:vAlign w:val="bottom"/>
          </w:tcPr>
          <w:p w14:paraId="7CB2D324" w14:textId="77777777" w:rsidR="00EE3F9A" w:rsidRPr="00B92144" w:rsidRDefault="00EE3F9A" w:rsidP="00532B65">
            <w:pPr>
              <w:spacing w:after="0" w:line="240" w:lineRule="auto"/>
              <w:rPr>
                <w:rFonts w:asciiTheme="majorBidi" w:eastAsia="Times New Roman" w:hAnsiTheme="majorBidi" w:cstheme="majorBidi"/>
              </w:rPr>
            </w:pPr>
          </w:p>
        </w:tc>
        <w:tc>
          <w:tcPr>
            <w:tcW w:w="1862" w:type="dxa"/>
            <w:shd w:val="clear" w:color="auto" w:fill="auto"/>
            <w:noWrap/>
            <w:vAlign w:val="bottom"/>
          </w:tcPr>
          <w:p w14:paraId="735AFAF8" w14:textId="77777777" w:rsidR="00EE3F9A" w:rsidRPr="00B92144" w:rsidRDefault="00EE3F9A" w:rsidP="00532B65">
            <w:pPr>
              <w:spacing w:after="0" w:line="240" w:lineRule="auto"/>
              <w:rPr>
                <w:rFonts w:asciiTheme="majorBidi" w:eastAsia="Times New Roman" w:hAnsiTheme="majorBidi" w:cstheme="majorBidi"/>
              </w:rPr>
            </w:pPr>
          </w:p>
        </w:tc>
      </w:tr>
      <w:tr w:rsidR="00920DB5" w:rsidRPr="00B92144" w14:paraId="3843184B" w14:textId="77777777" w:rsidTr="0071253E">
        <w:trPr>
          <w:trHeight w:val="300"/>
          <w:jc w:val="center"/>
        </w:trPr>
        <w:tc>
          <w:tcPr>
            <w:tcW w:w="2003" w:type="dxa"/>
            <w:shd w:val="clear" w:color="auto" w:fill="auto"/>
            <w:noWrap/>
            <w:vAlign w:val="bottom"/>
            <w:hideMark/>
          </w:tcPr>
          <w:p w14:paraId="5B84D52B" w14:textId="77777777" w:rsidR="00532B65" w:rsidRPr="00B92144" w:rsidRDefault="00532B65" w:rsidP="00532B65">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ISLAMIC</w:t>
            </w:r>
          </w:p>
        </w:tc>
        <w:tc>
          <w:tcPr>
            <w:tcW w:w="960" w:type="dxa"/>
            <w:shd w:val="clear" w:color="auto" w:fill="auto"/>
            <w:noWrap/>
            <w:vAlign w:val="bottom"/>
            <w:hideMark/>
          </w:tcPr>
          <w:p w14:paraId="11F2BAA0"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-45.403</w:t>
            </w:r>
          </w:p>
        </w:tc>
        <w:tc>
          <w:tcPr>
            <w:tcW w:w="958" w:type="dxa"/>
            <w:shd w:val="clear" w:color="auto" w:fill="auto"/>
            <w:noWrap/>
            <w:vAlign w:val="bottom"/>
            <w:hideMark/>
          </w:tcPr>
          <w:p w14:paraId="27EE4419"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-1.89</w:t>
            </w:r>
          </w:p>
        </w:tc>
        <w:tc>
          <w:tcPr>
            <w:tcW w:w="1116" w:type="dxa"/>
            <w:shd w:val="clear" w:color="auto" w:fill="auto"/>
            <w:noWrap/>
            <w:vAlign w:val="bottom"/>
            <w:hideMark/>
          </w:tcPr>
          <w:p w14:paraId="7AB740DB"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0.059</w:t>
            </w:r>
            <w:r w:rsidR="00920DB5" w:rsidRPr="00B92144">
              <w:rPr>
                <w:rFonts w:asciiTheme="majorBidi" w:eastAsia="Times New Roman" w:hAnsiTheme="majorBidi" w:cstheme="majorBidi"/>
                <w:b/>
                <w:bCs/>
                <w:color w:val="000000"/>
              </w:rPr>
              <w:t>*</w:t>
            </w:r>
          </w:p>
        </w:tc>
        <w:tc>
          <w:tcPr>
            <w:tcW w:w="420" w:type="dxa"/>
            <w:shd w:val="clear" w:color="auto" w:fill="auto"/>
            <w:noWrap/>
            <w:vAlign w:val="bottom"/>
            <w:hideMark/>
          </w:tcPr>
          <w:p w14:paraId="6340003A"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960" w:type="dxa"/>
            <w:shd w:val="clear" w:color="auto" w:fill="auto"/>
            <w:noWrap/>
            <w:vAlign w:val="bottom"/>
            <w:hideMark/>
          </w:tcPr>
          <w:p w14:paraId="295595DA" w14:textId="77777777" w:rsidR="00532B65" w:rsidRPr="00B92144" w:rsidRDefault="00532B65" w:rsidP="00532B65">
            <w:pPr>
              <w:spacing w:after="0" w:line="240" w:lineRule="auto"/>
              <w:rPr>
                <w:rFonts w:asciiTheme="majorBidi" w:eastAsia="Times New Roman" w:hAnsiTheme="majorBidi" w:cstheme="majorBidi"/>
              </w:rPr>
            </w:pPr>
          </w:p>
        </w:tc>
        <w:tc>
          <w:tcPr>
            <w:tcW w:w="967" w:type="dxa"/>
            <w:shd w:val="clear" w:color="auto" w:fill="auto"/>
            <w:noWrap/>
            <w:vAlign w:val="bottom"/>
            <w:hideMark/>
          </w:tcPr>
          <w:p w14:paraId="53628B6F" w14:textId="77777777" w:rsidR="00532B65" w:rsidRPr="00B92144" w:rsidRDefault="00532B65" w:rsidP="00532B65">
            <w:pPr>
              <w:spacing w:after="0" w:line="240" w:lineRule="auto"/>
              <w:rPr>
                <w:rFonts w:asciiTheme="majorBidi" w:eastAsia="Times New Roman" w:hAnsiTheme="majorBidi" w:cstheme="majorBidi"/>
              </w:rPr>
            </w:pPr>
          </w:p>
        </w:tc>
        <w:tc>
          <w:tcPr>
            <w:tcW w:w="1229" w:type="dxa"/>
            <w:shd w:val="clear" w:color="auto" w:fill="auto"/>
            <w:noWrap/>
            <w:vAlign w:val="bottom"/>
            <w:hideMark/>
          </w:tcPr>
          <w:p w14:paraId="068C06DB" w14:textId="77777777" w:rsidR="00532B65" w:rsidRPr="00B92144" w:rsidRDefault="00532B65" w:rsidP="00532B65">
            <w:pPr>
              <w:spacing w:after="0" w:line="240" w:lineRule="auto"/>
              <w:rPr>
                <w:rFonts w:asciiTheme="majorBidi" w:eastAsia="Times New Roman" w:hAnsiTheme="majorBidi" w:cstheme="majorBidi"/>
              </w:rPr>
            </w:pPr>
          </w:p>
        </w:tc>
        <w:tc>
          <w:tcPr>
            <w:tcW w:w="222" w:type="dxa"/>
            <w:shd w:val="clear" w:color="auto" w:fill="auto"/>
            <w:noWrap/>
            <w:vAlign w:val="bottom"/>
            <w:hideMark/>
          </w:tcPr>
          <w:p w14:paraId="44EFB7C1" w14:textId="77777777" w:rsidR="00532B65" w:rsidRPr="00B92144" w:rsidRDefault="00532B65" w:rsidP="00532B65">
            <w:pPr>
              <w:spacing w:after="0" w:line="240" w:lineRule="auto"/>
              <w:rPr>
                <w:rFonts w:asciiTheme="majorBidi" w:eastAsia="Times New Roman" w:hAnsiTheme="majorBidi" w:cstheme="majorBidi"/>
              </w:rPr>
            </w:pPr>
          </w:p>
        </w:tc>
        <w:tc>
          <w:tcPr>
            <w:tcW w:w="960" w:type="dxa"/>
            <w:shd w:val="clear" w:color="auto" w:fill="auto"/>
            <w:noWrap/>
            <w:vAlign w:val="bottom"/>
            <w:hideMark/>
          </w:tcPr>
          <w:p w14:paraId="3B6949CB" w14:textId="77777777" w:rsidR="00532B65" w:rsidRPr="00B92144" w:rsidRDefault="00532B65" w:rsidP="00532B65">
            <w:pPr>
              <w:spacing w:after="0" w:line="240" w:lineRule="auto"/>
              <w:rPr>
                <w:rFonts w:asciiTheme="majorBidi" w:eastAsia="Times New Roman" w:hAnsiTheme="majorBidi" w:cstheme="majorBidi"/>
              </w:rPr>
            </w:pPr>
          </w:p>
        </w:tc>
        <w:tc>
          <w:tcPr>
            <w:tcW w:w="956" w:type="dxa"/>
            <w:shd w:val="clear" w:color="auto" w:fill="auto"/>
            <w:noWrap/>
            <w:vAlign w:val="bottom"/>
            <w:hideMark/>
          </w:tcPr>
          <w:p w14:paraId="5140D30D" w14:textId="77777777" w:rsidR="00532B65" w:rsidRPr="00B92144" w:rsidRDefault="00532B65" w:rsidP="00532B65">
            <w:pPr>
              <w:spacing w:after="0" w:line="240" w:lineRule="auto"/>
              <w:rPr>
                <w:rFonts w:asciiTheme="majorBidi" w:eastAsia="Times New Roman" w:hAnsiTheme="majorBidi" w:cstheme="majorBidi"/>
              </w:rPr>
            </w:pPr>
          </w:p>
        </w:tc>
        <w:tc>
          <w:tcPr>
            <w:tcW w:w="1862" w:type="dxa"/>
            <w:shd w:val="clear" w:color="auto" w:fill="auto"/>
            <w:noWrap/>
            <w:vAlign w:val="bottom"/>
            <w:hideMark/>
          </w:tcPr>
          <w:p w14:paraId="3EED7F8D" w14:textId="77777777" w:rsidR="00532B65" w:rsidRPr="00B92144" w:rsidRDefault="00532B65" w:rsidP="00532B65">
            <w:pPr>
              <w:spacing w:after="0" w:line="240" w:lineRule="auto"/>
              <w:rPr>
                <w:rFonts w:asciiTheme="majorBidi" w:eastAsia="Times New Roman" w:hAnsiTheme="majorBidi" w:cstheme="majorBidi"/>
              </w:rPr>
            </w:pPr>
          </w:p>
        </w:tc>
      </w:tr>
      <w:tr w:rsidR="00920DB5" w:rsidRPr="00B92144" w14:paraId="075646BC" w14:textId="77777777" w:rsidTr="0071253E">
        <w:trPr>
          <w:trHeight w:val="300"/>
          <w:jc w:val="center"/>
        </w:trPr>
        <w:tc>
          <w:tcPr>
            <w:tcW w:w="2003" w:type="dxa"/>
            <w:shd w:val="clear" w:color="auto" w:fill="auto"/>
            <w:noWrap/>
            <w:vAlign w:val="bottom"/>
            <w:hideMark/>
          </w:tcPr>
          <w:p w14:paraId="0107C772" w14:textId="77777777" w:rsidR="00532B65" w:rsidRPr="00B92144" w:rsidRDefault="00532B65" w:rsidP="00532B65">
            <w:pPr>
              <w:spacing w:after="0" w:line="240" w:lineRule="auto"/>
              <w:rPr>
                <w:rFonts w:asciiTheme="majorBidi" w:eastAsia="Times New Roman" w:hAnsiTheme="majorBidi" w:cstheme="majorBidi"/>
              </w:rPr>
            </w:pPr>
          </w:p>
        </w:tc>
        <w:tc>
          <w:tcPr>
            <w:tcW w:w="960" w:type="dxa"/>
            <w:shd w:val="clear" w:color="auto" w:fill="auto"/>
            <w:noWrap/>
            <w:vAlign w:val="bottom"/>
            <w:hideMark/>
          </w:tcPr>
          <w:p w14:paraId="227B1DDB" w14:textId="77777777" w:rsidR="00532B65" w:rsidRPr="00B92144" w:rsidRDefault="00532B65" w:rsidP="00532B65">
            <w:pPr>
              <w:spacing w:after="0" w:line="240" w:lineRule="auto"/>
              <w:rPr>
                <w:rFonts w:asciiTheme="majorBidi" w:eastAsia="Times New Roman" w:hAnsiTheme="majorBidi" w:cstheme="majorBidi"/>
              </w:rPr>
            </w:pPr>
          </w:p>
        </w:tc>
        <w:tc>
          <w:tcPr>
            <w:tcW w:w="958" w:type="dxa"/>
            <w:shd w:val="clear" w:color="auto" w:fill="auto"/>
            <w:noWrap/>
            <w:vAlign w:val="bottom"/>
            <w:hideMark/>
          </w:tcPr>
          <w:p w14:paraId="6835324C" w14:textId="77777777" w:rsidR="00532B65" w:rsidRPr="00B92144" w:rsidRDefault="00532B65" w:rsidP="00532B65">
            <w:pPr>
              <w:spacing w:after="0" w:line="240" w:lineRule="auto"/>
              <w:rPr>
                <w:rFonts w:asciiTheme="majorBidi" w:eastAsia="Times New Roman" w:hAnsiTheme="majorBidi" w:cstheme="majorBidi"/>
              </w:rPr>
            </w:pPr>
          </w:p>
        </w:tc>
        <w:tc>
          <w:tcPr>
            <w:tcW w:w="1116" w:type="dxa"/>
            <w:shd w:val="clear" w:color="auto" w:fill="auto"/>
            <w:noWrap/>
            <w:vAlign w:val="bottom"/>
            <w:hideMark/>
          </w:tcPr>
          <w:p w14:paraId="5BD78DD9" w14:textId="77777777" w:rsidR="00532B65" w:rsidRPr="00B92144" w:rsidRDefault="00532B65" w:rsidP="00532B65">
            <w:pPr>
              <w:spacing w:after="0" w:line="240" w:lineRule="auto"/>
              <w:rPr>
                <w:rFonts w:asciiTheme="majorBidi" w:eastAsia="Times New Roman" w:hAnsiTheme="majorBidi" w:cstheme="majorBidi"/>
              </w:rPr>
            </w:pPr>
          </w:p>
        </w:tc>
        <w:tc>
          <w:tcPr>
            <w:tcW w:w="420" w:type="dxa"/>
            <w:shd w:val="clear" w:color="auto" w:fill="auto"/>
            <w:noWrap/>
            <w:vAlign w:val="bottom"/>
            <w:hideMark/>
          </w:tcPr>
          <w:p w14:paraId="7769A621" w14:textId="77777777" w:rsidR="00532B65" w:rsidRPr="00B92144" w:rsidRDefault="00532B65" w:rsidP="00532B65">
            <w:pPr>
              <w:spacing w:after="0" w:line="240" w:lineRule="auto"/>
              <w:rPr>
                <w:rFonts w:asciiTheme="majorBidi" w:eastAsia="Times New Roman" w:hAnsiTheme="majorBidi" w:cstheme="majorBidi"/>
              </w:rPr>
            </w:pPr>
          </w:p>
        </w:tc>
        <w:tc>
          <w:tcPr>
            <w:tcW w:w="960" w:type="dxa"/>
            <w:shd w:val="clear" w:color="auto" w:fill="auto"/>
            <w:noWrap/>
            <w:vAlign w:val="bottom"/>
            <w:hideMark/>
          </w:tcPr>
          <w:p w14:paraId="2B173A33" w14:textId="77777777" w:rsidR="00532B65" w:rsidRPr="00B92144" w:rsidRDefault="00532B65" w:rsidP="00532B65">
            <w:pPr>
              <w:spacing w:after="0" w:line="240" w:lineRule="auto"/>
              <w:rPr>
                <w:rFonts w:asciiTheme="majorBidi" w:eastAsia="Times New Roman" w:hAnsiTheme="majorBidi" w:cstheme="majorBidi"/>
              </w:rPr>
            </w:pPr>
          </w:p>
        </w:tc>
        <w:tc>
          <w:tcPr>
            <w:tcW w:w="967" w:type="dxa"/>
            <w:shd w:val="clear" w:color="auto" w:fill="auto"/>
            <w:noWrap/>
            <w:vAlign w:val="bottom"/>
            <w:hideMark/>
          </w:tcPr>
          <w:p w14:paraId="352073E5" w14:textId="77777777" w:rsidR="00532B65" w:rsidRPr="00B92144" w:rsidRDefault="00532B65" w:rsidP="00532B65">
            <w:pPr>
              <w:spacing w:after="0" w:line="240" w:lineRule="auto"/>
              <w:rPr>
                <w:rFonts w:asciiTheme="majorBidi" w:eastAsia="Times New Roman" w:hAnsiTheme="majorBidi" w:cstheme="majorBidi"/>
              </w:rPr>
            </w:pPr>
          </w:p>
        </w:tc>
        <w:tc>
          <w:tcPr>
            <w:tcW w:w="1229" w:type="dxa"/>
            <w:shd w:val="clear" w:color="auto" w:fill="auto"/>
            <w:noWrap/>
            <w:vAlign w:val="bottom"/>
            <w:hideMark/>
          </w:tcPr>
          <w:p w14:paraId="390AE8F7" w14:textId="77777777" w:rsidR="00532B65" w:rsidRPr="00B92144" w:rsidRDefault="00532B65" w:rsidP="00532B65">
            <w:pPr>
              <w:spacing w:after="0" w:line="240" w:lineRule="auto"/>
              <w:rPr>
                <w:rFonts w:asciiTheme="majorBidi" w:eastAsia="Times New Roman" w:hAnsiTheme="majorBidi" w:cstheme="majorBidi"/>
              </w:rPr>
            </w:pPr>
          </w:p>
        </w:tc>
        <w:tc>
          <w:tcPr>
            <w:tcW w:w="222" w:type="dxa"/>
            <w:shd w:val="clear" w:color="auto" w:fill="auto"/>
            <w:noWrap/>
            <w:vAlign w:val="bottom"/>
            <w:hideMark/>
          </w:tcPr>
          <w:p w14:paraId="72981E39" w14:textId="77777777" w:rsidR="00532B65" w:rsidRPr="00B92144" w:rsidRDefault="00532B65" w:rsidP="00532B65">
            <w:pPr>
              <w:spacing w:after="0" w:line="240" w:lineRule="auto"/>
              <w:rPr>
                <w:rFonts w:asciiTheme="majorBidi" w:eastAsia="Times New Roman" w:hAnsiTheme="majorBidi" w:cstheme="majorBidi"/>
              </w:rPr>
            </w:pPr>
          </w:p>
        </w:tc>
        <w:tc>
          <w:tcPr>
            <w:tcW w:w="960" w:type="dxa"/>
            <w:shd w:val="clear" w:color="auto" w:fill="auto"/>
            <w:noWrap/>
            <w:vAlign w:val="bottom"/>
            <w:hideMark/>
          </w:tcPr>
          <w:p w14:paraId="50CC7062" w14:textId="77777777" w:rsidR="00532B65" w:rsidRPr="00B92144" w:rsidRDefault="00532B65" w:rsidP="00532B65">
            <w:pPr>
              <w:spacing w:after="0" w:line="240" w:lineRule="auto"/>
              <w:rPr>
                <w:rFonts w:asciiTheme="majorBidi" w:eastAsia="Times New Roman" w:hAnsiTheme="majorBidi" w:cstheme="majorBidi"/>
              </w:rPr>
            </w:pPr>
          </w:p>
        </w:tc>
        <w:tc>
          <w:tcPr>
            <w:tcW w:w="956" w:type="dxa"/>
            <w:shd w:val="clear" w:color="auto" w:fill="auto"/>
            <w:noWrap/>
            <w:vAlign w:val="bottom"/>
            <w:hideMark/>
          </w:tcPr>
          <w:p w14:paraId="4E004D39" w14:textId="77777777" w:rsidR="00532B65" w:rsidRPr="00B92144" w:rsidRDefault="00532B65" w:rsidP="00532B65">
            <w:pPr>
              <w:spacing w:after="0" w:line="240" w:lineRule="auto"/>
              <w:rPr>
                <w:rFonts w:asciiTheme="majorBidi" w:eastAsia="Times New Roman" w:hAnsiTheme="majorBidi" w:cstheme="majorBidi"/>
              </w:rPr>
            </w:pPr>
          </w:p>
        </w:tc>
        <w:tc>
          <w:tcPr>
            <w:tcW w:w="1862" w:type="dxa"/>
            <w:shd w:val="clear" w:color="auto" w:fill="auto"/>
            <w:noWrap/>
            <w:vAlign w:val="bottom"/>
            <w:hideMark/>
          </w:tcPr>
          <w:p w14:paraId="7C9F5394" w14:textId="77777777" w:rsidR="00532B65" w:rsidRPr="00B92144" w:rsidRDefault="00532B65" w:rsidP="00532B65">
            <w:pPr>
              <w:spacing w:after="0" w:line="240" w:lineRule="auto"/>
              <w:rPr>
                <w:rFonts w:asciiTheme="majorBidi" w:eastAsia="Times New Roman" w:hAnsiTheme="majorBidi" w:cstheme="majorBidi"/>
              </w:rPr>
            </w:pPr>
          </w:p>
        </w:tc>
      </w:tr>
      <w:tr w:rsidR="00920DB5" w:rsidRPr="00B92144" w14:paraId="06F5FE06" w14:textId="77777777" w:rsidTr="0071253E">
        <w:trPr>
          <w:trHeight w:val="300"/>
          <w:jc w:val="center"/>
        </w:trPr>
        <w:tc>
          <w:tcPr>
            <w:tcW w:w="2963" w:type="dxa"/>
            <w:gridSpan w:val="2"/>
            <w:shd w:val="clear" w:color="auto" w:fill="auto"/>
            <w:noWrap/>
            <w:vAlign w:val="bottom"/>
            <w:hideMark/>
          </w:tcPr>
          <w:p w14:paraId="13E4586A" w14:textId="77777777" w:rsidR="00532B65" w:rsidRPr="00B92144" w:rsidRDefault="00532B65" w:rsidP="00532B65">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Number of observation</w:t>
            </w:r>
          </w:p>
        </w:tc>
        <w:tc>
          <w:tcPr>
            <w:tcW w:w="958" w:type="dxa"/>
            <w:shd w:val="clear" w:color="auto" w:fill="auto"/>
            <w:noWrap/>
            <w:vAlign w:val="bottom"/>
            <w:hideMark/>
          </w:tcPr>
          <w:p w14:paraId="3A20A43D"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798</w:t>
            </w:r>
          </w:p>
        </w:tc>
        <w:tc>
          <w:tcPr>
            <w:tcW w:w="1116" w:type="dxa"/>
            <w:shd w:val="clear" w:color="auto" w:fill="auto"/>
            <w:noWrap/>
            <w:vAlign w:val="bottom"/>
            <w:hideMark/>
          </w:tcPr>
          <w:p w14:paraId="114987D0" w14:textId="77777777" w:rsidR="00532B65" w:rsidRPr="00B92144" w:rsidRDefault="00532B65" w:rsidP="00532B65">
            <w:pPr>
              <w:spacing w:after="0" w:line="240" w:lineRule="auto"/>
              <w:jc w:val="right"/>
              <w:rPr>
                <w:rFonts w:asciiTheme="majorBidi" w:eastAsia="Times New Roman" w:hAnsiTheme="majorBidi" w:cstheme="majorBidi"/>
                <w:b/>
                <w:bCs/>
                <w:color w:val="000000"/>
              </w:rPr>
            </w:pPr>
          </w:p>
        </w:tc>
        <w:tc>
          <w:tcPr>
            <w:tcW w:w="420" w:type="dxa"/>
            <w:shd w:val="clear" w:color="auto" w:fill="auto"/>
            <w:noWrap/>
            <w:vAlign w:val="bottom"/>
            <w:hideMark/>
          </w:tcPr>
          <w:p w14:paraId="4CEBED42" w14:textId="77777777" w:rsidR="00532B65" w:rsidRPr="00B92144" w:rsidRDefault="00532B65" w:rsidP="00532B65">
            <w:pPr>
              <w:spacing w:after="0" w:line="240" w:lineRule="auto"/>
              <w:rPr>
                <w:rFonts w:asciiTheme="majorBidi" w:eastAsia="Times New Roman" w:hAnsiTheme="majorBidi" w:cstheme="majorBidi"/>
              </w:rPr>
            </w:pPr>
          </w:p>
        </w:tc>
        <w:tc>
          <w:tcPr>
            <w:tcW w:w="960" w:type="dxa"/>
            <w:shd w:val="clear" w:color="auto" w:fill="auto"/>
            <w:noWrap/>
            <w:vAlign w:val="bottom"/>
            <w:hideMark/>
          </w:tcPr>
          <w:p w14:paraId="11F9EDBF" w14:textId="77777777" w:rsidR="00532B65" w:rsidRPr="00B92144" w:rsidRDefault="00532B65" w:rsidP="00532B65">
            <w:pPr>
              <w:spacing w:after="0" w:line="240" w:lineRule="auto"/>
              <w:rPr>
                <w:rFonts w:asciiTheme="majorBidi" w:eastAsia="Times New Roman" w:hAnsiTheme="majorBidi" w:cstheme="majorBidi"/>
              </w:rPr>
            </w:pPr>
          </w:p>
        </w:tc>
        <w:tc>
          <w:tcPr>
            <w:tcW w:w="967" w:type="dxa"/>
            <w:shd w:val="clear" w:color="auto" w:fill="auto"/>
            <w:noWrap/>
            <w:vAlign w:val="bottom"/>
            <w:hideMark/>
          </w:tcPr>
          <w:p w14:paraId="3C227A06" w14:textId="77777777" w:rsidR="00532B65" w:rsidRPr="00B92144" w:rsidRDefault="00532B65" w:rsidP="00532B65">
            <w:pPr>
              <w:spacing w:after="0" w:line="240" w:lineRule="auto"/>
              <w:rPr>
                <w:rFonts w:asciiTheme="majorBidi" w:eastAsia="Times New Roman" w:hAnsiTheme="majorBidi" w:cstheme="majorBidi"/>
              </w:rPr>
            </w:pPr>
          </w:p>
        </w:tc>
        <w:tc>
          <w:tcPr>
            <w:tcW w:w="1229" w:type="dxa"/>
            <w:shd w:val="clear" w:color="auto" w:fill="auto"/>
            <w:noWrap/>
            <w:vAlign w:val="bottom"/>
            <w:hideMark/>
          </w:tcPr>
          <w:p w14:paraId="11B01684" w14:textId="77777777" w:rsidR="00532B65" w:rsidRPr="00B92144" w:rsidRDefault="00532B65" w:rsidP="00532B65">
            <w:pPr>
              <w:spacing w:after="0" w:line="240" w:lineRule="auto"/>
              <w:rPr>
                <w:rFonts w:asciiTheme="majorBidi" w:eastAsia="Times New Roman" w:hAnsiTheme="majorBidi" w:cstheme="majorBidi"/>
              </w:rPr>
            </w:pPr>
          </w:p>
        </w:tc>
        <w:tc>
          <w:tcPr>
            <w:tcW w:w="222" w:type="dxa"/>
            <w:shd w:val="clear" w:color="auto" w:fill="auto"/>
            <w:noWrap/>
            <w:vAlign w:val="bottom"/>
            <w:hideMark/>
          </w:tcPr>
          <w:p w14:paraId="2B5C93BB" w14:textId="77777777" w:rsidR="00532B65" w:rsidRPr="00B92144" w:rsidRDefault="00532B65" w:rsidP="00532B65">
            <w:pPr>
              <w:spacing w:after="0" w:line="240" w:lineRule="auto"/>
              <w:rPr>
                <w:rFonts w:asciiTheme="majorBidi" w:eastAsia="Times New Roman" w:hAnsiTheme="majorBidi" w:cstheme="majorBidi"/>
              </w:rPr>
            </w:pPr>
          </w:p>
        </w:tc>
        <w:tc>
          <w:tcPr>
            <w:tcW w:w="960" w:type="dxa"/>
            <w:shd w:val="clear" w:color="auto" w:fill="auto"/>
            <w:noWrap/>
            <w:vAlign w:val="bottom"/>
            <w:hideMark/>
          </w:tcPr>
          <w:p w14:paraId="199C353E" w14:textId="77777777" w:rsidR="00532B65" w:rsidRPr="00B92144" w:rsidRDefault="00532B65" w:rsidP="00532B65">
            <w:pPr>
              <w:spacing w:after="0" w:line="240" w:lineRule="auto"/>
              <w:rPr>
                <w:rFonts w:asciiTheme="majorBidi" w:eastAsia="Times New Roman" w:hAnsiTheme="majorBidi" w:cstheme="majorBidi"/>
              </w:rPr>
            </w:pPr>
          </w:p>
        </w:tc>
        <w:tc>
          <w:tcPr>
            <w:tcW w:w="956" w:type="dxa"/>
            <w:shd w:val="clear" w:color="auto" w:fill="auto"/>
            <w:noWrap/>
            <w:vAlign w:val="bottom"/>
            <w:hideMark/>
          </w:tcPr>
          <w:p w14:paraId="18B349DE" w14:textId="77777777" w:rsidR="00532B65" w:rsidRPr="00B92144" w:rsidRDefault="00532B65" w:rsidP="00532B65">
            <w:pPr>
              <w:spacing w:after="0" w:line="240" w:lineRule="auto"/>
              <w:rPr>
                <w:rFonts w:asciiTheme="majorBidi" w:eastAsia="Times New Roman" w:hAnsiTheme="majorBidi" w:cstheme="majorBidi"/>
              </w:rPr>
            </w:pPr>
          </w:p>
        </w:tc>
        <w:tc>
          <w:tcPr>
            <w:tcW w:w="1862" w:type="dxa"/>
            <w:shd w:val="clear" w:color="auto" w:fill="auto"/>
            <w:noWrap/>
            <w:vAlign w:val="bottom"/>
            <w:hideMark/>
          </w:tcPr>
          <w:p w14:paraId="312581EC" w14:textId="77777777" w:rsidR="00532B65" w:rsidRPr="00B92144" w:rsidRDefault="00532B65" w:rsidP="00532B65">
            <w:pPr>
              <w:spacing w:after="0" w:line="240" w:lineRule="auto"/>
              <w:rPr>
                <w:rFonts w:asciiTheme="majorBidi" w:eastAsia="Times New Roman" w:hAnsiTheme="majorBidi" w:cstheme="majorBidi"/>
              </w:rPr>
            </w:pPr>
          </w:p>
        </w:tc>
      </w:tr>
      <w:tr w:rsidR="00920DB5" w:rsidRPr="00B92144" w14:paraId="405CE797" w14:textId="77777777" w:rsidTr="0071253E">
        <w:trPr>
          <w:trHeight w:val="300"/>
          <w:jc w:val="center"/>
        </w:trPr>
        <w:tc>
          <w:tcPr>
            <w:tcW w:w="2003" w:type="dxa"/>
            <w:shd w:val="clear" w:color="auto" w:fill="auto"/>
            <w:noWrap/>
            <w:vAlign w:val="bottom"/>
            <w:hideMark/>
          </w:tcPr>
          <w:p w14:paraId="261EE401" w14:textId="77777777" w:rsidR="00532B65" w:rsidRPr="00B92144" w:rsidRDefault="00532B65" w:rsidP="00532B65">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R</w:t>
            </w:r>
            <w:r w:rsidRPr="00B92144">
              <w:rPr>
                <w:rFonts w:asciiTheme="majorBidi" w:eastAsia="Times New Roman" w:hAnsiTheme="majorBidi" w:cstheme="majorBidi"/>
                <w:color w:val="000000"/>
                <w:vertAlign w:val="superscript"/>
              </w:rPr>
              <w:t>2</w:t>
            </w:r>
          </w:p>
        </w:tc>
        <w:tc>
          <w:tcPr>
            <w:tcW w:w="960" w:type="dxa"/>
            <w:shd w:val="clear" w:color="auto" w:fill="auto"/>
            <w:noWrap/>
            <w:vAlign w:val="bottom"/>
            <w:hideMark/>
          </w:tcPr>
          <w:p w14:paraId="0A1DBA35" w14:textId="77777777" w:rsidR="00532B65" w:rsidRPr="00B92144" w:rsidRDefault="00532B65" w:rsidP="00532B65">
            <w:pPr>
              <w:spacing w:after="0" w:line="240" w:lineRule="auto"/>
              <w:rPr>
                <w:rFonts w:asciiTheme="majorBidi" w:eastAsia="Times New Roman" w:hAnsiTheme="majorBidi" w:cstheme="majorBidi"/>
                <w:color w:val="000000"/>
              </w:rPr>
            </w:pPr>
          </w:p>
        </w:tc>
        <w:tc>
          <w:tcPr>
            <w:tcW w:w="958" w:type="dxa"/>
            <w:shd w:val="clear" w:color="auto" w:fill="auto"/>
            <w:noWrap/>
            <w:vAlign w:val="bottom"/>
            <w:hideMark/>
          </w:tcPr>
          <w:p w14:paraId="317D2D71" w14:textId="77777777" w:rsidR="00532B65" w:rsidRPr="00B92144" w:rsidRDefault="00532B6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87.42%</w:t>
            </w:r>
          </w:p>
        </w:tc>
        <w:tc>
          <w:tcPr>
            <w:tcW w:w="1116" w:type="dxa"/>
            <w:shd w:val="clear" w:color="auto" w:fill="auto"/>
            <w:noWrap/>
            <w:vAlign w:val="bottom"/>
            <w:hideMark/>
          </w:tcPr>
          <w:p w14:paraId="2A4505A5" w14:textId="77777777" w:rsidR="00532B65" w:rsidRPr="00B92144" w:rsidRDefault="00532B65" w:rsidP="00532B65">
            <w:pPr>
              <w:spacing w:after="0" w:line="240" w:lineRule="auto"/>
              <w:jc w:val="right"/>
              <w:rPr>
                <w:rFonts w:asciiTheme="majorBidi" w:eastAsia="Times New Roman" w:hAnsiTheme="majorBidi" w:cstheme="majorBidi"/>
                <w:color w:val="000000"/>
              </w:rPr>
            </w:pPr>
          </w:p>
        </w:tc>
        <w:tc>
          <w:tcPr>
            <w:tcW w:w="420" w:type="dxa"/>
            <w:shd w:val="clear" w:color="auto" w:fill="auto"/>
            <w:noWrap/>
            <w:vAlign w:val="bottom"/>
            <w:hideMark/>
          </w:tcPr>
          <w:p w14:paraId="34F64A42" w14:textId="77777777" w:rsidR="00532B65" w:rsidRPr="00B92144" w:rsidRDefault="00532B65" w:rsidP="00532B65">
            <w:pPr>
              <w:spacing w:after="0" w:line="240" w:lineRule="auto"/>
              <w:rPr>
                <w:rFonts w:asciiTheme="majorBidi" w:eastAsia="Times New Roman" w:hAnsiTheme="majorBidi" w:cstheme="majorBidi"/>
              </w:rPr>
            </w:pPr>
          </w:p>
        </w:tc>
        <w:tc>
          <w:tcPr>
            <w:tcW w:w="960" w:type="dxa"/>
            <w:shd w:val="clear" w:color="auto" w:fill="auto"/>
            <w:noWrap/>
            <w:vAlign w:val="bottom"/>
            <w:hideMark/>
          </w:tcPr>
          <w:p w14:paraId="678B8C1B" w14:textId="77777777" w:rsidR="00532B65" w:rsidRPr="00B92144" w:rsidRDefault="00532B65" w:rsidP="00532B65">
            <w:pPr>
              <w:spacing w:after="0" w:line="240" w:lineRule="auto"/>
              <w:jc w:val="right"/>
              <w:rPr>
                <w:rFonts w:asciiTheme="majorBidi" w:eastAsia="Times New Roman" w:hAnsiTheme="majorBidi" w:cstheme="majorBidi"/>
                <w:color w:val="000000"/>
              </w:rPr>
            </w:pPr>
          </w:p>
        </w:tc>
        <w:tc>
          <w:tcPr>
            <w:tcW w:w="967" w:type="dxa"/>
            <w:shd w:val="clear" w:color="auto" w:fill="auto"/>
            <w:noWrap/>
            <w:vAlign w:val="bottom"/>
            <w:hideMark/>
          </w:tcPr>
          <w:p w14:paraId="6F8AE89C" w14:textId="77777777" w:rsidR="00532B65" w:rsidRPr="00B92144" w:rsidRDefault="00920DB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87.28%</w:t>
            </w:r>
          </w:p>
        </w:tc>
        <w:tc>
          <w:tcPr>
            <w:tcW w:w="1229" w:type="dxa"/>
            <w:shd w:val="clear" w:color="auto" w:fill="auto"/>
            <w:noWrap/>
            <w:vAlign w:val="bottom"/>
            <w:hideMark/>
          </w:tcPr>
          <w:p w14:paraId="3F0A8BBA" w14:textId="77777777" w:rsidR="00532B65" w:rsidRPr="00B92144" w:rsidRDefault="00532B65" w:rsidP="00532B65">
            <w:pPr>
              <w:spacing w:after="0" w:line="240" w:lineRule="auto"/>
              <w:rPr>
                <w:rFonts w:asciiTheme="majorBidi" w:eastAsia="Times New Roman" w:hAnsiTheme="majorBidi" w:cstheme="majorBidi"/>
              </w:rPr>
            </w:pPr>
          </w:p>
        </w:tc>
        <w:tc>
          <w:tcPr>
            <w:tcW w:w="222" w:type="dxa"/>
            <w:shd w:val="clear" w:color="auto" w:fill="auto"/>
            <w:noWrap/>
            <w:vAlign w:val="bottom"/>
          </w:tcPr>
          <w:p w14:paraId="129F3D82" w14:textId="77777777" w:rsidR="00532B65" w:rsidRPr="00B92144" w:rsidRDefault="00532B65" w:rsidP="00532B65">
            <w:pPr>
              <w:spacing w:after="0" w:line="240" w:lineRule="auto"/>
              <w:rPr>
                <w:rFonts w:asciiTheme="majorBidi" w:eastAsia="Times New Roman" w:hAnsiTheme="majorBidi" w:cstheme="majorBidi"/>
              </w:rPr>
            </w:pPr>
          </w:p>
        </w:tc>
        <w:tc>
          <w:tcPr>
            <w:tcW w:w="960" w:type="dxa"/>
            <w:shd w:val="clear" w:color="auto" w:fill="auto"/>
            <w:noWrap/>
            <w:vAlign w:val="bottom"/>
          </w:tcPr>
          <w:p w14:paraId="02075D07" w14:textId="77777777" w:rsidR="00532B65" w:rsidRPr="00B92144" w:rsidRDefault="00532B65" w:rsidP="00532B65">
            <w:pPr>
              <w:spacing w:after="0" w:line="240" w:lineRule="auto"/>
              <w:jc w:val="right"/>
              <w:rPr>
                <w:rFonts w:asciiTheme="majorBidi" w:eastAsia="Times New Roman" w:hAnsiTheme="majorBidi" w:cstheme="majorBidi"/>
                <w:color w:val="000000"/>
              </w:rPr>
            </w:pPr>
          </w:p>
        </w:tc>
        <w:tc>
          <w:tcPr>
            <w:tcW w:w="956" w:type="dxa"/>
            <w:shd w:val="clear" w:color="auto" w:fill="auto"/>
            <w:noWrap/>
            <w:vAlign w:val="bottom"/>
            <w:hideMark/>
          </w:tcPr>
          <w:p w14:paraId="6F887CE1" w14:textId="77777777" w:rsidR="00532B65" w:rsidRPr="00B92144" w:rsidRDefault="00920DB5" w:rsidP="00532B65">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91.36%</w:t>
            </w:r>
          </w:p>
        </w:tc>
        <w:tc>
          <w:tcPr>
            <w:tcW w:w="1862" w:type="dxa"/>
            <w:shd w:val="clear" w:color="auto" w:fill="auto"/>
            <w:noWrap/>
            <w:vAlign w:val="bottom"/>
            <w:hideMark/>
          </w:tcPr>
          <w:p w14:paraId="622BAB71" w14:textId="77777777" w:rsidR="00532B65" w:rsidRPr="00B92144" w:rsidRDefault="00532B65" w:rsidP="00532B65">
            <w:pPr>
              <w:spacing w:after="0" w:line="240" w:lineRule="auto"/>
              <w:rPr>
                <w:rFonts w:asciiTheme="majorBidi" w:eastAsia="Times New Roman" w:hAnsiTheme="majorBidi" w:cstheme="majorBidi"/>
              </w:rPr>
            </w:pPr>
          </w:p>
        </w:tc>
      </w:tr>
    </w:tbl>
    <w:p w14:paraId="707D563B" w14:textId="77777777" w:rsidR="0071253E" w:rsidRPr="00B92144" w:rsidRDefault="0071253E" w:rsidP="0071253E">
      <w:pPr>
        <w:spacing w:after="0"/>
        <w:rPr>
          <w:rFonts w:asciiTheme="majorBidi" w:hAnsiTheme="majorBidi" w:cstheme="majorBidi"/>
          <w:sz w:val="18"/>
          <w:szCs w:val="18"/>
        </w:rPr>
      </w:pPr>
      <w:r w:rsidRPr="00B92144">
        <w:rPr>
          <w:rFonts w:asciiTheme="majorBidi" w:hAnsiTheme="majorBidi" w:cstheme="majorBidi"/>
          <w:sz w:val="18"/>
          <w:szCs w:val="18"/>
        </w:rPr>
        <w:t>*, **, and *** indicate significance at 10%, 5%, and 1% level.</w:t>
      </w:r>
    </w:p>
    <w:p w14:paraId="472D6804" w14:textId="77777777" w:rsidR="00532B65" w:rsidRPr="00B92144" w:rsidRDefault="00532B65">
      <w:pPr>
        <w:rPr>
          <w:rFonts w:asciiTheme="majorBidi" w:hAnsiTheme="majorBidi" w:cstheme="majorBidi"/>
          <w:sz w:val="24"/>
          <w:szCs w:val="24"/>
        </w:rPr>
        <w:sectPr w:rsidR="00532B65" w:rsidRPr="00B92144" w:rsidSect="00532B65">
          <w:pgSz w:w="15840" w:h="12240" w:orient="landscape"/>
          <w:pgMar w:top="1440" w:right="1440" w:bottom="1440" w:left="1440" w:header="720" w:footer="720" w:gutter="0"/>
          <w:cols w:space="720"/>
          <w:docGrid w:linePitch="360"/>
        </w:sectPr>
      </w:pPr>
    </w:p>
    <w:p w14:paraId="70E2A23D" w14:textId="4CAAD276" w:rsidR="00532B65" w:rsidRPr="00B92144" w:rsidRDefault="00532B65" w:rsidP="00BC1391">
      <w:pPr>
        <w:jc w:val="center"/>
        <w:rPr>
          <w:rFonts w:asciiTheme="majorBidi" w:hAnsiTheme="majorBidi" w:cstheme="majorBidi"/>
          <w:b/>
          <w:bCs/>
          <w:sz w:val="24"/>
          <w:szCs w:val="24"/>
        </w:rPr>
      </w:pPr>
      <w:r w:rsidRPr="00B92144">
        <w:rPr>
          <w:rFonts w:asciiTheme="majorBidi" w:hAnsiTheme="majorBidi" w:cstheme="majorBidi"/>
          <w:b/>
          <w:bCs/>
          <w:sz w:val="24"/>
          <w:szCs w:val="24"/>
        </w:rPr>
        <w:t xml:space="preserve">Table 7: </w:t>
      </w:r>
      <w:r w:rsidR="004E3BCB" w:rsidRPr="00B92144">
        <w:rPr>
          <w:rFonts w:asciiTheme="majorBidi" w:hAnsiTheme="majorBidi" w:cstheme="majorBidi"/>
          <w:b/>
          <w:bCs/>
          <w:sz w:val="24"/>
          <w:szCs w:val="24"/>
        </w:rPr>
        <w:t>R</w:t>
      </w:r>
      <w:r w:rsidRPr="00B92144">
        <w:rPr>
          <w:rFonts w:asciiTheme="majorBidi" w:hAnsiTheme="majorBidi" w:cstheme="majorBidi"/>
          <w:b/>
          <w:bCs/>
          <w:sz w:val="24"/>
          <w:szCs w:val="24"/>
        </w:rPr>
        <w:t>R</w:t>
      </w:r>
      <w:r w:rsidR="00BC1391" w:rsidRPr="00B92144">
        <w:rPr>
          <w:rFonts w:asciiTheme="majorBidi" w:hAnsiTheme="majorBidi" w:cstheme="majorBidi"/>
          <w:b/>
          <w:bCs/>
          <w:sz w:val="24"/>
          <w:szCs w:val="24"/>
        </w:rPr>
        <w:t>D</w:t>
      </w:r>
      <w:r w:rsidRPr="00B92144">
        <w:rPr>
          <w:rFonts w:asciiTheme="majorBidi" w:hAnsiTheme="majorBidi" w:cstheme="majorBidi"/>
          <w:b/>
          <w:bCs/>
          <w:sz w:val="24"/>
          <w:szCs w:val="24"/>
        </w:rPr>
        <w:t xml:space="preserve"> dimensions and financial performance of Islamic banks.</w:t>
      </w:r>
    </w:p>
    <w:tbl>
      <w:tblPr>
        <w:tblW w:w="0" w:type="auto"/>
        <w:jc w:val="center"/>
        <w:tblCellMar>
          <w:left w:w="0" w:type="dxa"/>
          <w:right w:w="0" w:type="dxa"/>
        </w:tblCellMar>
        <w:tblLook w:val="04A0" w:firstRow="1" w:lastRow="0" w:firstColumn="1" w:lastColumn="0" w:noHBand="0" w:noVBand="1"/>
      </w:tblPr>
      <w:tblGrid>
        <w:gridCol w:w="1963"/>
        <w:gridCol w:w="947"/>
        <w:gridCol w:w="947"/>
        <w:gridCol w:w="847"/>
        <w:gridCol w:w="847"/>
        <w:gridCol w:w="780"/>
        <w:gridCol w:w="847"/>
        <w:gridCol w:w="780"/>
        <w:gridCol w:w="580"/>
      </w:tblGrid>
      <w:tr w:rsidR="001F4D3D" w:rsidRPr="00B92144" w14:paraId="4D5BA5E2" w14:textId="77777777" w:rsidTr="001F4D3D">
        <w:trPr>
          <w:trHeight w:val="300"/>
          <w:jc w:val="center"/>
        </w:trPr>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4176FE5D"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0D090789" w14:textId="77777777" w:rsidR="00532B65" w:rsidRPr="00B92144" w:rsidRDefault="00532B65" w:rsidP="00983FE5">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D1</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2E72CCC4" w14:textId="77777777" w:rsidR="00532B65" w:rsidRPr="00B92144" w:rsidRDefault="00532B65" w:rsidP="00983FE5">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D2</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05264550" w14:textId="77777777" w:rsidR="00532B65" w:rsidRPr="00B92144" w:rsidRDefault="00532B65" w:rsidP="00983FE5">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D3</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283DB3D4" w14:textId="77777777" w:rsidR="00532B65" w:rsidRPr="00B92144" w:rsidRDefault="00532B65" w:rsidP="00983FE5">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D4</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62289478" w14:textId="77777777" w:rsidR="00532B65" w:rsidRPr="00B92144" w:rsidRDefault="00532B65" w:rsidP="00983FE5">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D5</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49D4B23C" w14:textId="77777777" w:rsidR="00532B65" w:rsidRPr="00B92144" w:rsidRDefault="00532B65" w:rsidP="00983FE5">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D6</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7FC67E30" w14:textId="77777777" w:rsidR="00532B65" w:rsidRPr="00B92144" w:rsidRDefault="00532B65" w:rsidP="00983FE5">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D7</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7CE3E1D5" w14:textId="77777777" w:rsidR="00532B65" w:rsidRPr="00B92144" w:rsidRDefault="00532B65" w:rsidP="00983FE5">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D8</w:t>
            </w:r>
          </w:p>
        </w:tc>
      </w:tr>
      <w:tr w:rsidR="00532B65" w:rsidRPr="00B92144" w14:paraId="2BFDBB4B" w14:textId="77777777" w:rsidTr="001F4D3D">
        <w:trPr>
          <w:trHeight w:val="300"/>
          <w:jc w:val="center"/>
        </w:trPr>
        <w:tc>
          <w:tcPr>
            <w:tcW w:w="0" w:type="auto"/>
            <w:tcBorders>
              <w:top w:val="single" w:sz="4" w:space="0" w:color="auto"/>
            </w:tcBorders>
            <w:shd w:val="clear" w:color="auto" w:fill="auto"/>
            <w:noWrap/>
            <w:tcMar>
              <w:top w:w="15" w:type="dxa"/>
              <w:left w:w="15" w:type="dxa"/>
              <w:bottom w:w="0" w:type="dxa"/>
              <w:right w:w="15" w:type="dxa"/>
            </w:tcMar>
            <w:vAlign w:val="bottom"/>
            <w:hideMark/>
          </w:tcPr>
          <w:p w14:paraId="4FF7B288"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ROA</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6C88E6AB"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-7.801</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5B06111A"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-104.66</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12CAEA57"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-22.307</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0D8CC18F"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11.803</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6BEA3608"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-22.72</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1327BBC2"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-9.263</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765AB5D9"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-113.88</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10FF44C4"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21.81</w:t>
            </w:r>
          </w:p>
        </w:tc>
      </w:tr>
      <w:tr w:rsidR="00532B65" w:rsidRPr="00B92144" w14:paraId="5E241945"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4006E68A"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shd w:val="clear" w:color="auto" w:fill="auto"/>
            <w:noWrap/>
            <w:tcMar>
              <w:top w:w="15" w:type="dxa"/>
              <w:left w:w="15" w:type="dxa"/>
              <w:bottom w:w="0" w:type="dxa"/>
              <w:right w:w="15" w:type="dxa"/>
            </w:tcMar>
            <w:vAlign w:val="bottom"/>
            <w:hideMark/>
          </w:tcPr>
          <w:p w14:paraId="63C7221C" w14:textId="77777777" w:rsidR="00532B65" w:rsidRPr="00B92144" w:rsidRDefault="00520009"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-0.13</w:t>
            </w:r>
            <w:r w:rsidR="00C05F51"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69746E2D"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-0.49</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32B3A4AB"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-0.44</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30C0F250"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0.14</w:t>
            </w:r>
            <w:r w:rsidR="00F82D73"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751CB7C2"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-0.54</w:t>
            </w:r>
            <w:r w:rsidR="00F82D73"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69C27F5E"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-0.57</w:t>
            </w:r>
            <w:r w:rsidR="00F82D73"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659D1695"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-1.12</w:t>
            </w:r>
            <w:r w:rsidR="00F82D73"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56783F60"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0.77</w:t>
            </w:r>
            <w:r w:rsidR="00F82D73" w:rsidRPr="00B92144">
              <w:rPr>
                <w:rFonts w:asciiTheme="majorBidi" w:hAnsiTheme="majorBidi" w:cstheme="majorBidi"/>
                <w:color w:val="000000"/>
                <w:sz w:val="20"/>
                <w:szCs w:val="20"/>
              </w:rPr>
              <w:t>)</w:t>
            </w:r>
          </w:p>
        </w:tc>
      </w:tr>
      <w:tr w:rsidR="00532B65" w:rsidRPr="00B92144" w14:paraId="30D961A6"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29EA4C47"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LIST</w:t>
            </w:r>
          </w:p>
        </w:tc>
        <w:tc>
          <w:tcPr>
            <w:tcW w:w="0" w:type="auto"/>
            <w:shd w:val="clear" w:color="auto" w:fill="auto"/>
            <w:noWrap/>
            <w:tcMar>
              <w:top w:w="15" w:type="dxa"/>
              <w:left w:w="15" w:type="dxa"/>
              <w:bottom w:w="0" w:type="dxa"/>
              <w:right w:w="15" w:type="dxa"/>
            </w:tcMar>
            <w:vAlign w:val="bottom"/>
            <w:hideMark/>
          </w:tcPr>
          <w:p w14:paraId="1C7CFBF6"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13.856</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01DAE0BE"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32.48</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44EC7A5E"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-7.441</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F1F3B79"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0.913</w:t>
            </w:r>
          </w:p>
        </w:tc>
        <w:tc>
          <w:tcPr>
            <w:tcW w:w="0" w:type="auto"/>
            <w:shd w:val="clear" w:color="auto" w:fill="auto"/>
            <w:noWrap/>
            <w:tcMar>
              <w:top w:w="15" w:type="dxa"/>
              <w:left w:w="15" w:type="dxa"/>
              <w:bottom w:w="0" w:type="dxa"/>
              <w:right w:w="15" w:type="dxa"/>
            </w:tcMar>
            <w:vAlign w:val="bottom"/>
            <w:hideMark/>
          </w:tcPr>
          <w:p w14:paraId="2C395AD6"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8.32</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2F5EA154"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1.14</w:t>
            </w:r>
          </w:p>
        </w:tc>
        <w:tc>
          <w:tcPr>
            <w:tcW w:w="0" w:type="auto"/>
            <w:shd w:val="clear" w:color="auto" w:fill="auto"/>
            <w:noWrap/>
            <w:tcMar>
              <w:top w:w="15" w:type="dxa"/>
              <w:left w:w="15" w:type="dxa"/>
              <w:bottom w:w="0" w:type="dxa"/>
              <w:right w:w="15" w:type="dxa"/>
            </w:tcMar>
            <w:vAlign w:val="bottom"/>
            <w:hideMark/>
          </w:tcPr>
          <w:p w14:paraId="5C5FE855"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3.84</w:t>
            </w:r>
          </w:p>
        </w:tc>
        <w:tc>
          <w:tcPr>
            <w:tcW w:w="0" w:type="auto"/>
            <w:shd w:val="clear" w:color="auto" w:fill="auto"/>
            <w:noWrap/>
            <w:tcMar>
              <w:top w:w="15" w:type="dxa"/>
              <w:left w:w="15" w:type="dxa"/>
              <w:bottom w:w="0" w:type="dxa"/>
              <w:right w:w="15" w:type="dxa"/>
            </w:tcMar>
            <w:vAlign w:val="bottom"/>
            <w:hideMark/>
          </w:tcPr>
          <w:p w14:paraId="6660F665"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8.14</w:t>
            </w:r>
          </w:p>
        </w:tc>
      </w:tr>
      <w:tr w:rsidR="00532B65" w:rsidRPr="00B92144" w14:paraId="3B868C34"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1E83F8CB"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shd w:val="clear" w:color="auto" w:fill="auto"/>
            <w:noWrap/>
            <w:tcMar>
              <w:top w:w="15" w:type="dxa"/>
              <w:left w:w="15" w:type="dxa"/>
              <w:bottom w:w="0" w:type="dxa"/>
              <w:right w:w="15" w:type="dxa"/>
            </w:tcMar>
            <w:vAlign w:val="bottom"/>
            <w:hideMark/>
          </w:tcPr>
          <w:p w14:paraId="47EC5545" w14:textId="77777777" w:rsidR="00532B65" w:rsidRPr="00B92144" w:rsidRDefault="00520009"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(9</w:t>
            </w:r>
            <w:r w:rsidR="00532B65" w:rsidRPr="00B92144">
              <w:rPr>
                <w:rFonts w:asciiTheme="majorBidi" w:hAnsiTheme="majorBidi" w:cstheme="majorBidi"/>
                <w:b/>
                <w:color w:val="000000"/>
                <w:sz w:val="20"/>
                <w:szCs w:val="20"/>
              </w:rPr>
              <w:t>3.46</w:t>
            </w:r>
            <w:r w:rsidR="00C05F51"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50900385"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2.35</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FE3DBC9"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2.25</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23737906"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0.16</w:t>
            </w:r>
            <w:r w:rsidR="00F82D73"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1FF6AE34"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3.05</w:t>
            </w:r>
            <w:r w:rsidR="00F82D73"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5585BE42"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(1.09</w:t>
            </w:r>
            <w:r w:rsidR="00F82D73"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06E0BAC1"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0.58</w:t>
            </w:r>
            <w:r w:rsidR="00F82D73"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76692A3E"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4.45</w:t>
            </w:r>
            <w:r w:rsidR="00F82D73" w:rsidRPr="00B92144">
              <w:rPr>
                <w:rFonts w:asciiTheme="majorBidi" w:hAnsiTheme="majorBidi" w:cstheme="majorBidi"/>
                <w:color w:val="000000"/>
                <w:sz w:val="20"/>
                <w:szCs w:val="20"/>
              </w:rPr>
              <w:t>)</w:t>
            </w:r>
          </w:p>
        </w:tc>
      </w:tr>
      <w:tr w:rsidR="00532B65" w:rsidRPr="00B92144" w14:paraId="70702214"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33BD6E26"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BANKSIZE</w:t>
            </w:r>
          </w:p>
        </w:tc>
        <w:tc>
          <w:tcPr>
            <w:tcW w:w="0" w:type="auto"/>
            <w:shd w:val="clear" w:color="auto" w:fill="auto"/>
            <w:noWrap/>
            <w:tcMar>
              <w:top w:w="15" w:type="dxa"/>
              <w:left w:w="15" w:type="dxa"/>
              <w:bottom w:w="0" w:type="dxa"/>
              <w:right w:w="15" w:type="dxa"/>
            </w:tcMar>
            <w:vAlign w:val="bottom"/>
            <w:hideMark/>
          </w:tcPr>
          <w:p w14:paraId="053777AF"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2.14</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BF719D0"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10.24</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11A624F8"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1.92</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2DE500DB"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5.85</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455EA554"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0.124</w:t>
            </w:r>
          </w:p>
        </w:tc>
        <w:tc>
          <w:tcPr>
            <w:tcW w:w="0" w:type="auto"/>
            <w:shd w:val="clear" w:color="auto" w:fill="auto"/>
            <w:noWrap/>
            <w:tcMar>
              <w:top w:w="15" w:type="dxa"/>
              <w:left w:w="15" w:type="dxa"/>
              <w:bottom w:w="0" w:type="dxa"/>
              <w:right w:w="15" w:type="dxa"/>
            </w:tcMar>
            <w:vAlign w:val="bottom"/>
            <w:hideMark/>
          </w:tcPr>
          <w:p w14:paraId="5AF96433"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0.554</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2C85ECD1"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5.18</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28DAE42C"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0.45</w:t>
            </w:r>
            <w:r w:rsidR="00983FE5" w:rsidRPr="00B92144">
              <w:rPr>
                <w:rFonts w:asciiTheme="majorBidi" w:hAnsiTheme="majorBidi" w:cstheme="majorBidi"/>
                <w:b/>
                <w:color w:val="000000"/>
                <w:sz w:val="20"/>
                <w:szCs w:val="20"/>
              </w:rPr>
              <w:t>*</w:t>
            </w:r>
          </w:p>
        </w:tc>
      </w:tr>
      <w:tr w:rsidR="00532B65" w:rsidRPr="00B92144" w14:paraId="64EF453F"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18D85F04"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shd w:val="clear" w:color="auto" w:fill="auto"/>
            <w:noWrap/>
            <w:tcMar>
              <w:top w:w="15" w:type="dxa"/>
              <w:left w:w="15" w:type="dxa"/>
              <w:bottom w:w="0" w:type="dxa"/>
              <w:right w:w="15" w:type="dxa"/>
            </w:tcMar>
            <w:vAlign w:val="bottom"/>
            <w:hideMark/>
          </w:tcPr>
          <w:p w14:paraId="3FC1D8C5" w14:textId="77777777" w:rsidR="00532B65" w:rsidRPr="00B92144" w:rsidRDefault="00520009"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3.87</w:t>
            </w:r>
            <w:r w:rsidR="00C05F51"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0AA5DFE0"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5.36</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188A53D8"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4.21</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0DBF332E"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7.59</w:t>
            </w:r>
            <w:r w:rsidR="00F82D73"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7B1B178A"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0.33</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5963134D"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3.8</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48E848B7"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5.69</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123A62DC"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1.79</w:t>
            </w:r>
            <w:r w:rsidRPr="00B92144">
              <w:rPr>
                <w:rFonts w:asciiTheme="majorBidi" w:hAnsiTheme="majorBidi" w:cstheme="majorBidi"/>
                <w:b/>
                <w:color w:val="000000"/>
                <w:sz w:val="20"/>
                <w:szCs w:val="20"/>
              </w:rPr>
              <w:t>)</w:t>
            </w:r>
          </w:p>
        </w:tc>
      </w:tr>
      <w:tr w:rsidR="00532B65" w:rsidRPr="00B92144" w14:paraId="31D2C188"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4A406BFC"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BKAGE</w:t>
            </w:r>
          </w:p>
        </w:tc>
        <w:tc>
          <w:tcPr>
            <w:tcW w:w="0" w:type="auto"/>
            <w:shd w:val="clear" w:color="auto" w:fill="auto"/>
            <w:noWrap/>
            <w:tcMar>
              <w:top w:w="15" w:type="dxa"/>
              <w:left w:w="15" w:type="dxa"/>
              <w:bottom w:w="0" w:type="dxa"/>
              <w:right w:w="15" w:type="dxa"/>
            </w:tcMar>
            <w:vAlign w:val="bottom"/>
            <w:hideMark/>
          </w:tcPr>
          <w:p w14:paraId="247B842E"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0.027</w:t>
            </w:r>
          </w:p>
        </w:tc>
        <w:tc>
          <w:tcPr>
            <w:tcW w:w="0" w:type="auto"/>
            <w:shd w:val="clear" w:color="auto" w:fill="auto"/>
            <w:noWrap/>
            <w:tcMar>
              <w:top w:w="15" w:type="dxa"/>
              <w:left w:w="15" w:type="dxa"/>
              <w:bottom w:w="0" w:type="dxa"/>
              <w:right w:w="15" w:type="dxa"/>
            </w:tcMar>
            <w:vAlign w:val="bottom"/>
            <w:hideMark/>
          </w:tcPr>
          <w:p w14:paraId="318AA630"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0.39</w:t>
            </w:r>
          </w:p>
        </w:tc>
        <w:tc>
          <w:tcPr>
            <w:tcW w:w="0" w:type="auto"/>
            <w:shd w:val="clear" w:color="auto" w:fill="auto"/>
            <w:noWrap/>
            <w:tcMar>
              <w:top w:w="15" w:type="dxa"/>
              <w:left w:w="15" w:type="dxa"/>
              <w:bottom w:w="0" w:type="dxa"/>
              <w:right w:w="15" w:type="dxa"/>
            </w:tcMar>
            <w:vAlign w:val="bottom"/>
            <w:hideMark/>
          </w:tcPr>
          <w:p w14:paraId="2F16523C"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0.15</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065D96A0"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-0.046</w:t>
            </w:r>
          </w:p>
        </w:tc>
        <w:tc>
          <w:tcPr>
            <w:tcW w:w="0" w:type="auto"/>
            <w:shd w:val="clear" w:color="auto" w:fill="auto"/>
            <w:noWrap/>
            <w:tcMar>
              <w:top w:w="15" w:type="dxa"/>
              <w:left w:w="15" w:type="dxa"/>
              <w:bottom w:w="0" w:type="dxa"/>
              <w:right w:w="15" w:type="dxa"/>
            </w:tcMar>
            <w:vAlign w:val="bottom"/>
            <w:hideMark/>
          </w:tcPr>
          <w:p w14:paraId="4F682EE6"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0.039</w:t>
            </w:r>
          </w:p>
        </w:tc>
        <w:tc>
          <w:tcPr>
            <w:tcW w:w="0" w:type="auto"/>
            <w:shd w:val="clear" w:color="auto" w:fill="auto"/>
            <w:noWrap/>
            <w:tcMar>
              <w:top w:w="15" w:type="dxa"/>
              <w:left w:w="15" w:type="dxa"/>
              <w:bottom w:w="0" w:type="dxa"/>
              <w:right w:w="15" w:type="dxa"/>
            </w:tcMar>
            <w:vAlign w:val="bottom"/>
            <w:hideMark/>
          </w:tcPr>
          <w:p w14:paraId="6ADBFEED"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0.056</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14CFADFB"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-0.013</w:t>
            </w:r>
          </w:p>
        </w:tc>
        <w:tc>
          <w:tcPr>
            <w:tcW w:w="0" w:type="auto"/>
            <w:shd w:val="clear" w:color="auto" w:fill="auto"/>
            <w:noWrap/>
            <w:tcMar>
              <w:top w:w="15" w:type="dxa"/>
              <w:left w:w="15" w:type="dxa"/>
              <w:bottom w:w="0" w:type="dxa"/>
              <w:right w:w="15" w:type="dxa"/>
            </w:tcMar>
            <w:vAlign w:val="bottom"/>
            <w:hideMark/>
          </w:tcPr>
          <w:p w14:paraId="7E522E9A"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0.08</w:t>
            </w:r>
            <w:r w:rsidR="00983FE5" w:rsidRPr="00B92144">
              <w:rPr>
                <w:rFonts w:asciiTheme="majorBidi" w:hAnsiTheme="majorBidi" w:cstheme="majorBidi"/>
                <w:b/>
                <w:color w:val="000000"/>
                <w:sz w:val="20"/>
                <w:szCs w:val="20"/>
              </w:rPr>
              <w:t>**</w:t>
            </w:r>
          </w:p>
        </w:tc>
      </w:tr>
      <w:tr w:rsidR="00532B65" w:rsidRPr="00B92144" w14:paraId="0C9E644F"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7D575458"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shd w:val="clear" w:color="auto" w:fill="auto"/>
            <w:noWrap/>
            <w:tcMar>
              <w:top w:w="15" w:type="dxa"/>
              <w:left w:w="15" w:type="dxa"/>
              <w:bottom w:w="0" w:type="dxa"/>
              <w:right w:w="15" w:type="dxa"/>
            </w:tcMar>
            <w:vAlign w:val="bottom"/>
            <w:hideMark/>
          </w:tcPr>
          <w:p w14:paraId="1A4BC149" w14:textId="77777777" w:rsidR="00532B65" w:rsidRPr="00B92144" w:rsidRDefault="00520009"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0.35</w:t>
            </w:r>
            <w:r w:rsidR="00C05F51"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6742D72C"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1.48</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0A45A208"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2.36</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2C65C7BA"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-0.44</w:t>
            </w:r>
            <w:r w:rsidR="00F82D73"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57ABF499"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0.75</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7AD37D1A"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2.77</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1E734163"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-0.11</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46A03F04"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2.28</w:t>
            </w:r>
            <w:r w:rsidRPr="00B92144">
              <w:rPr>
                <w:rFonts w:asciiTheme="majorBidi" w:hAnsiTheme="majorBidi" w:cstheme="majorBidi"/>
                <w:b/>
                <w:color w:val="000000"/>
                <w:sz w:val="20"/>
                <w:szCs w:val="20"/>
              </w:rPr>
              <w:t>)</w:t>
            </w:r>
          </w:p>
        </w:tc>
      </w:tr>
      <w:tr w:rsidR="00532B65" w:rsidRPr="00B92144" w14:paraId="5828BC1D"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337AD4BC"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LEVERAGE</w:t>
            </w:r>
          </w:p>
        </w:tc>
        <w:tc>
          <w:tcPr>
            <w:tcW w:w="0" w:type="auto"/>
            <w:shd w:val="clear" w:color="auto" w:fill="auto"/>
            <w:noWrap/>
            <w:tcMar>
              <w:top w:w="15" w:type="dxa"/>
              <w:left w:w="15" w:type="dxa"/>
              <w:bottom w:w="0" w:type="dxa"/>
              <w:right w:w="15" w:type="dxa"/>
            </w:tcMar>
            <w:vAlign w:val="bottom"/>
            <w:hideMark/>
          </w:tcPr>
          <w:p w14:paraId="0A400651"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13.89</w:t>
            </w:r>
          </w:p>
        </w:tc>
        <w:tc>
          <w:tcPr>
            <w:tcW w:w="0" w:type="auto"/>
            <w:shd w:val="clear" w:color="auto" w:fill="auto"/>
            <w:noWrap/>
            <w:tcMar>
              <w:top w:w="15" w:type="dxa"/>
              <w:left w:w="15" w:type="dxa"/>
              <w:bottom w:w="0" w:type="dxa"/>
              <w:right w:w="15" w:type="dxa"/>
            </w:tcMar>
            <w:vAlign w:val="bottom"/>
            <w:hideMark/>
          </w:tcPr>
          <w:p w14:paraId="553F18FB"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19.625</w:t>
            </w:r>
          </w:p>
        </w:tc>
        <w:tc>
          <w:tcPr>
            <w:tcW w:w="0" w:type="auto"/>
            <w:shd w:val="clear" w:color="auto" w:fill="auto"/>
            <w:noWrap/>
            <w:tcMar>
              <w:top w:w="15" w:type="dxa"/>
              <w:left w:w="15" w:type="dxa"/>
              <w:bottom w:w="0" w:type="dxa"/>
              <w:right w:w="15" w:type="dxa"/>
            </w:tcMar>
            <w:vAlign w:val="bottom"/>
            <w:hideMark/>
          </w:tcPr>
          <w:p w14:paraId="70AE40EE"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24.48</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67FDCBF1"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-18.08</w:t>
            </w:r>
          </w:p>
        </w:tc>
        <w:tc>
          <w:tcPr>
            <w:tcW w:w="0" w:type="auto"/>
            <w:shd w:val="clear" w:color="auto" w:fill="auto"/>
            <w:noWrap/>
            <w:tcMar>
              <w:top w:w="15" w:type="dxa"/>
              <w:left w:w="15" w:type="dxa"/>
              <w:bottom w:w="0" w:type="dxa"/>
              <w:right w:w="15" w:type="dxa"/>
            </w:tcMar>
            <w:vAlign w:val="bottom"/>
            <w:hideMark/>
          </w:tcPr>
          <w:p w14:paraId="0E85C288"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12.31</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C84970D"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6.44</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45A397AD"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16.74</w:t>
            </w:r>
          </w:p>
        </w:tc>
        <w:tc>
          <w:tcPr>
            <w:tcW w:w="0" w:type="auto"/>
            <w:shd w:val="clear" w:color="auto" w:fill="auto"/>
            <w:noWrap/>
            <w:tcMar>
              <w:top w:w="15" w:type="dxa"/>
              <w:left w:w="15" w:type="dxa"/>
              <w:bottom w:w="0" w:type="dxa"/>
              <w:right w:w="15" w:type="dxa"/>
            </w:tcMar>
            <w:vAlign w:val="bottom"/>
            <w:hideMark/>
          </w:tcPr>
          <w:p w14:paraId="2FFEAC67"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7.19</w:t>
            </w:r>
            <w:r w:rsidR="00983FE5" w:rsidRPr="00B92144">
              <w:rPr>
                <w:rFonts w:asciiTheme="majorBidi" w:hAnsiTheme="majorBidi" w:cstheme="majorBidi"/>
                <w:b/>
                <w:color w:val="000000"/>
                <w:sz w:val="20"/>
                <w:szCs w:val="20"/>
              </w:rPr>
              <w:t>*</w:t>
            </w:r>
          </w:p>
        </w:tc>
      </w:tr>
      <w:tr w:rsidR="00532B65" w:rsidRPr="00B92144" w14:paraId="57516E28"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2DC5966D"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shd w:val="clear" w:color="auto" w:fill="auto"/>
            <w:noWrap/>
            <w:tcMar>
              <w:top w:w="15" w:type="dxa"/>
              <w:left w:w="15" w:type="dxa"/>
              <w:bottom w:w="0" w:type="dxa"/>
              <w:right w:w="15" w:type="dxa"/>
            </w:tcMar>
            <w:vAlign w:val="bottom"/>
            <w:hideMark/>
          </w:tcPr>
          <w:p w14:paraId="1028B109" w14:textId="77777777" w:rsidR="00532B65" w:rsidRPr="00B92144" w:rsidRDefault="00520009"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1.5</w:t>
            </w:r>
            <w:r w:rsidR="00C05F51"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041C6D28"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1.55</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51944490"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3.19</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40172885"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-1.4</w:t>
            </w:r>
            <w:r w:rsidR="00F82D73"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537A58D9"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1.91</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17AF5134"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2.63</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BCAFF99"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1.1</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75BC63E6"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1.7</w:t>
            </w:r>
            <w:r w:rsidRPr="00B92144">
              <w:rPr>
                <w:rFonts w:asciiTheme="majorBidi" w:hAnsiTheme="majorBidi" w:cstheme="majorBidi"/>
                <w:b/>
                <w:color w:val="000000"/>
                <w:sz w:val="20"/>
                <w:szCs w:val="20"/>
              </w:rPr>
              <w:t>)</w:t>
            </w:r>
          </w:p>
        </w:tc>
      </w:tr>
      <w:tr w:rsidR="00532B65" w:rsidRPr="00B92144" w14:paraId="4FB1A2FD"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69FBDB41"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COUTRANSDEX</w:t>
            </w:r>
          </w:p>
        </w:tc>
        <w:tc>
          <w:tcPr>
            <w:tcW w:w="0" w:type="auto"/>
            <w:shd w:val="clear" w:color="auto" w:fill="auto"/>
            <w:noWrap/>
            <w:tcMar>
              <w:top w:w="15" w:type="dxa"/>
              <w:left w:w="15" w:type="dxa"/>
              <w:bottom w:w="0" w:type="dxa"/>
              <w:right w:w="15" w:type="dxa"/>
            </w:tcMar>
            <w:vAlign w:val="bottom"/>
            <w:hideMark/>
          </w:tcPr>
          <w:p w14:paraId="7E174DF0"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2.93</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5F15DDA8"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9.415</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64E55E68"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0.789</w:t>
            </w:r>
          </w:p>
        </w:tc>
        <w:tc>
          <w:tcPr>
            <w:tcW w:w="0" w:type="auto"/>
            <w:shd w:val="clear" w:color="auto" w:fill="auto"/>
            <w:noWrap/>
            <w:tcMar>
              <w:top w:w="15" w:type="dxa"/>
              <w:left w:w="15" w:type="dxa"/>
              <w:bottom w:w="0" w:type="dxa"/>
              <w:right w:w="15" w:type="dxa"/>
            </w:tcMar>
            <w:vAlign w:val="bottom"/>
            <w:hideMark/>
          </w:tcPr>
          <w:p w14:paraId="4E639698"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0.368</w:t>
            </w:r>
          </w:p>
        </w:tc>
        <w:tc>
          <w:tcPr>
            <w:tcW w:w="0" w:type="auto"/>
            <w:shd w:val="clear" w:color="auto" w:fill="auto"/>
            <w:noWrap/>
            <w:tcMar>
              <w:top w:w="15" w:type="dxa"/>
              <w:left w:w="15" w:type="dxa"/>
              <w:bottom w:w="0" w:type="dxa"/>
              <w:right w:w="15" w:type="dxa"/>
            </w:tcMar>
            <w:vAlign w:val="bottom"/>
            <w:hideMark/>
          </w:tcPr>
          <w:p w14:paraId="5D9524C0"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1.147</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DAFCA4B"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-0.478</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1BF07258"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2.15</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725F5E4D"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0.033</w:t>
            </w:r>
          </w:p>
        </w:tc>
      </w:tr>
      <w:tr w:rsidR="00532B65" w:rsidRPr="00B92144" w14:paraId="49C8F0C6"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6CC696DA"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shd w:val="clear" w:color="auto" w:fill="auto"/>
            <w:noWrap/>
            <w:tcMar>
              <w:top w:w="15" w:type="dxa"/>
              <w:left w:w="15" w:type="dxa"/>
              <w:bottom w:w="0" w:type="dxa"/>
              <w:right w:w="15" w:type="dxa"/>
            </w:tcMar>
            <w:vAlign w:val="bottom"/>
            <w:hideMark/>
          </w:tcPr>
          <w:p w14:paraId="19962C53" w14:textId="77777777" w:rsidR="00532B65" w:rsidRPr="00B92144" w:rsidRDefault="00520009"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4.13</w:t>
            </w:r>
            <w:r w:rsidR="00C05F51"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12F1AD5"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3.83</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77253D6F"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1.34</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6AB2C647"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0.37</w:t>
            </w:r>
            <w:r w:rsidR="00F82D73"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676D94D7"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2.36</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71F3F064"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-2.55</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65A28EF"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1.83</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BE1355C"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0.1</w:t>
            </w:r>
            <w:r w:rsidRPr="00B92144">
              <w:rPr>
                <w:rFonts w:asciiTheme="majorBidi" w:hAnsiTheme="majorBidi" w:cstheme="majorBidi"/>
                <w:color w:val="000000"/>
                <w:sz w:val="20"/>
                <w:szCs w:val="20"/>
              </w:rPr>
              <w:t>)</w:t>
            </w:r>
          </w:p>
        </w:tc>
      </w:tr>
      <w:tr w:rsidR="00532B65" w:rsidRPr="00B92144" w14:paraId="569C6AB6"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3CC9BA6A"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BLOCK</w:t>
            </w:r>
          </w:p>
        </w:tc>
        <w:tc>
          <w:tcPr>
            <w:tcW w:w="0" w:type="auto"/>
            <w:shd w:val="clear" w:color="auto" w:fill="auto"/>
            <w:noWrap/>
            <w:tcMar>
              <w:top w:w="15" w:type="dxa"/>
              <w:left w:w="15" w:type="dxa"/>
              <w:bottom w:w="0" w:type="dxa"/>
              <w:right w:w="15" w:type="dxa"/>
            </w:tcMar>
            <w:vAlign w:val="bottom"/>
            <w:hideMark/>
          </w:tcPr>
          <w:p w14:paraId="22015039"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0.324</w:t>
            </w:r>
          </w:p>
        </w:tc>
        <w:tc>
          <w:tcPr>
            <w:tcW w:w="0" w:type="auto"/>
            <w:shd w:val="clear" w:color="auto" w:fill="auto"/>
            <w:noWrap/>
            <w:tcMar>
              <w:top w:w="15" w:type="dxa"/>
              <w:left w:w="15" w:type="dxa"/>
              <w:bottom w:w="0" w:type="dxa"/>
              <w:right w:w="15" w:type="dxa"/>
            </w:tcMar>
            <w:vAlign w:val="bottom"/>
            <w:hideMark/>
          </w:tcPr>
          <w:p w14:paraId="276F5AC6"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-3.93</w:t>
            </w:r>
          </w:p>
        </w:tc>
        <w:tc>
          <w:tcPr>
            <w:tcW w:w="0" w:type="auto"/>
            <w:shd w:val="clear" w:color="auto" w:fill="auto"/>
            <w:noWrap/>
            <w:tcMar>
              <w:top w:w="15" w:type="dxa"/>
              <w:left w:w="15" w:type="dxa"/>
              <w:bottom w:w="0" w:type="dxa"/>
              <w:right w:w="15" w:type="dxa"/>
            </w:tcMar>
            <w:vAlign w:val="bottom"/>
            <w:hideMark/>
          </w:tcPr>
          <w:p w14:paraId="75FA1D04"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1.28</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17382069"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0.178</w:t>
            </w:r>
          </w:p>
        </w:tc>
        <w:tc>
          <w:tcPr>
            <w:tcW w:w="0" w:type="auto"/>
            <w:shd w:val="clear" w:color="auto" w:fill="auto"/>
            <w:noWrap/>
            <w:tcMar>
              <w:top w:w="15" w:type="dxa"/>
              <w:left w:w="15" w:type="dxa"/>
              <w:bottom w:w="0" w:type="dxa"/>
              <w:right w:w="15" w:type="dxa"/>
            </w:tcMar>
            <w:vAlign w:val="bottom"/>
            <w:hideMark/>
          </w:tcPr>
          <w:p w14:paraId="5F401CA8"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-1.17</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99841EE"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0.956</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21262CB1"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0.63</w:t>
            </w:r>
          </w:p>
        </w:tc>
        <w:tc>
          <w:tcPr>
            <w:tcW w:w="0" w:type="auto"/>
            <w:shd w:val="clear" w:color="auto" w:fill="auto"/>
            <w:noWrap/>
            <w:tcMar>
              <w:top w:w="15" w:type="dxa"/>
              <w:left w:w="15" w:type="dxa"/>
              <w:bottom w:w="0" w:type="dxa"/>
              <w:right w:w="15" w:type="dxa"/>
            </w:tcMar>
            <w:vAlign w:val="bottom"/>
            <w:hideMark/>
          </w:tcPr>
          <w:p w14:paraId="508D44FC"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0.33</w:t>
            </w:r>
          </w:p>
        </w:tc>
      </w:tr>
      <w:tr w:rsidR="00532B65" w:rsidRPr="00B92144" w14:paraId="13BEA9D4"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49B6A8ED"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shd w:val="clear" w:color="auto" w:fill="auto"/>
            <w:noWrap/>
            <w:tcMar>
              <w:top w:w="15" w:type="dxa"/>
              <w:left w:w="15" w:type="dxa"/>
              <w:bottom w:w="0" w:type="dxa"/>
              <w:right w:w="15" w:type="dxa"/>
            </w:tcMar>
            <w:vAlign w:val="bottom"/>
            <w:hideMark/>
          </w:tcPr>
          <w:p w14:paraId="7F7B59A5" w14:textId="77777777" w:rsidR="00532B65" w:rsidRPr="00B92144" w:rsidRDefault="00520009"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0.35</w:t>
            </w:r>
            <w:r w:rsidR="00C05F51"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3A2B0F12"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-1.24</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20EDF065"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1.69</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632C17C6"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0.12</w:t>
            </w:r>
            <w:r w:rsidR="00F82D73"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2D98F2E7"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-1.88</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5FAB57F1"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3.94</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4B599217"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0.42</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46465884"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0.79</w:t>
            </w:r>
            <w:r w:rsidRPr="00B92144">
              <w:rPr>
                <w:rFonts w:asciiTheme="majorBidi" w:hAnsiTheme="majorBidi" w:cstheme="majorBidi"/>
                <w:color w:val="000000"/>
                <w:sz w:val="20"/>
                <w:szCs w:val="20"/>
              </w:rPr>
              <w:t>)</w:t>
            </w:r>
          </w:p>
        </w:tc>
      </w:tr>
      <w:tr w:rsidR="00532B65" w:rsidRPr="00B92144" w14:paraId="0A6CD799"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1485F6BF"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FOREIGN</w:t>
            </w:r>
          </w:p>
        </w:tc>
        <w:tc>
          <w:tcPr>
            <w:tcW w:w="0" w:type="auto"/>
            <w:shd w:val="clear" w:color="auto" w:fill="auto"/>
            <w:noWrap/>
            <w:tcMar>
              <w:top w:w="15" w:type="dxa"/>
              <w:left w:w="15" w:type="dxa"/>
              <w:bottom w:w="0" w:type="dxa"/>
              <w:right w:w="15" w:type="dxa"/>
            </w:tcMar>
            <w:vAlign w:val="bottom"/>
            <w:hideMark/>
          </w:tcPr>
          <w:p w14:paraId="7257B0DC"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4.874</w:t>
            </w:r>
          </w:p>
        </w:tc>
        <w:tc>
          <w:tcPr>
            <w:tcW w:w="0" w:type="auto"/>
            <w:shd w:val="clear" w:color="auto" w:fill="auto"/>
            <w:noWrap/>
            <w:tcMar>
              <w:top w:w="15" w:type="dxa"/>
              <w:left w:w="15" w:type="dxa"/>
              <w:bottom w:w="0" w:type="dxa"/>
              <w:right w:w="15" w:type="dxa"/>
            </w:tcMar>
            <w:vAlign w:val="bottom"/>
            <w:hideMark/>
          </w:tcPr>
          <w:p w14:paraId="2928DFF5"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-15.57</w:t>
            </w:r>
          </w:p>
        </w:tc>
        <w:tc>
          <w:tcPr>
            <w:tcW w:w="0" w:type="auto"/>
            <w:shd w:val="clear" w:color="auto" w:fill="auto"/>
            <w:noWrap/>
            <w:tcMar>
              <w:top w:w="15" w:type="dxa"/>
              <w:left w:w="15" w:type="dxa"/>
              <w:bottom w:w="0" w:type="dxa"/>
              <w:right w:w="15" w:type="dxa"/>
            </w:tcMar>
            <w:vAlign w:val="bottom"/>
            <w:hideMark/>
          </w:tcPr>
          <w:p w14:paraId="2024938C"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-9.369</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63D17A9"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35.04</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60C171E7"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11.66</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783B9E01"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-1.68</w:t>
            </w:r>
          </w:p>
        </w:tc>
        <w:tc>
          <w:tcPr>
            <w:tcW w:w="0" w:type="auto"/>
            <w:shd w:val="clear" w:color="auto" w:fill="auto"/>
            <w:noWrap/>
            <w:tcMar>
              <w:top w:w="15" w:type="dxa"/>
              <w:left w:w="15" w:type="dxa"/>
              <w:bottom w:w="0" w:type="dxa"/>
              <w:right w:w="15" w:type="dxa"/>
            </w:tcMar>
            <w:vAlign w:val="bottom"/>
            <w:hideMark/>
          </w:tcPr>
          <w:p w14:paraId="22298C91"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-9.93</w:t>
            </w:r>
          </w:p>
        </w:tc>
        <w:tc>
          <w:tcPr>
            <w:tcW w:w="0" w:type="auto"/>
            <w:shd w:val="clear" w:color="auto" w:fill="auto"/>
            <w:noWrap/>
            <w:tcMar>
              <w:top w:w="15" w:type="dxa"/>
              <w:left w:w="15" w:type="dxa"/>
              <w:bottom w:w="0" w:type="dxa"/>
              <w:right w:w="15" w:type="dxa"/>
            </w:tcMar>
            <w:vAlign w:val="bottom"/>
            <w:hideMark/>
          </w:tcPr>
          <w:p w14:paraId="2F02686D"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1.601</w:t>
            </w:r>
          </w:p>
        </w:tc>
      </w:tr>
      <w:tr w:rsidR="00532B65" w:rsidRPr="00B92144" w14:paraId="78755429"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0C97AC54"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shd w:val="clear" w:color="auto" w:fill="auto"/>
            <w:noWrap/>
            <w:tcMar>
              <w:top w:w="15" w:type="dxa"/>
              <w:left w:w="15" w:type="dxa"/>
              <w:bottom w:w="0" w:type="dxa"/>
              <w:right w:w="15" w:type="dxa"/>
            </w:tcMar>
            <w:vAlign w:val="bottom"/>
            <w:hideMark/>
          </w:tcPr>
          <w:p w14:paraId="31BAB848" w14:textId="77777777" w:rsidR="00532B65" w:rsidRPr="00B92144" w:rsidRDefault="00520009"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0.8</w:t>
            </w:r>
            <w:r w:rsidR="00C05F51"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633C6A9C"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0.74</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1FD2D550"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-1.85</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764E3474"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4.44</w:t>
            </w:r>
            <w:r w:rsidR="00F82D73"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13F308A"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2.8</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6035F546"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-1.05</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110F61CA"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-0.99</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16273051"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0.57</w:t>
            </w:r>
            <w:r w:rsidRPr="00B92144">
              <w:rPr>
                <w:rFonts w:asciiTheme="majorBidi" w:hAnsiTheme="majorBidi" w:cstheme="majorBidi"/>
                <w:color w:val="000000"/>
                <w:sz w:val="20"/>
                <w:szCs w:val="20"/>
              </w:rPr>
              <w:t>)</w:t>
            </w:r>
          </w:p>
        </w:tc>
      </w:tr>
      <w:tr w:rsidR="00532B65" w:rsidRPr="00B92144" w14:paraId="075C64AD"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482AA6B3"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BDSIZE</w:t>
            </w:r>
          </w:p>
        </w:tc>
        <w:tc>
          <w:tcPr>
            <w:tcW w:w="0" w:type="auto"/>
            <w:shd w:val="clear" w:color="auto" w:fill="auto"/>
            <w:noWrap/>
            <w:tcMar>
              <w:top w:w="15" w:type="dxa"/>
              <w:left w:w="15" w:type="dxa"/>
              <w:bottom w:w="0" w:type="dxa"/>
              <w:right w:w="15" w:type="dxa"/>
            </w:tcMar>
            <w:vAlign w:val="bottom"/>
            <w:hideMark/>
          </w:tcPr>
          <w:p w14:paraId="2749F9F8"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-3.534</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5C0769DF"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-11.76</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2375747E"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-2.92</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6C02CF80"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-5.76</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42DF5783"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-0.84</w:t>
            </w:r>
          </w:p>
        </w:tc>
        <w:tc>
          <w:tcPr>
            <w:tcW w:w="0" w:type="auto"/>
            <w:shd w:val="clear" w:color="auto" w:fill="auto"/>
            <w:noWrap/>
            <w:tcMar>
              <w:top w:w="15" w:type="dxa"/>
              <w:left w:w="15" w:type="dxa"/>
              <w:bottom w:w="0" w:type="dxa"/>
              <w:right w:w="15" w:type="dxa"/>
            </w:tcMar>
            <w:vAlign w:val="bottom"/>
            <w:hideMark/>
          </w:tcPr>
          <w:p w14:paraId="0D2D19BB"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-0.823</w:t>
            </w:r>
          </w:p>
        </w:tc>
        <w:tc>
          <w:tcPr>
            <w:tcW w:w="0" w:type="auto"/>
            <w:shd w:val="clear" w:color="auto" w:fill="auto"/>
            <w:noWrap/>
            <w:tcMar>
              <w:top w:w="15" w:type="dxa"/>
              <w:left w:w="15" w:type="dxa"/>
              <w:bottom w:w="0" w:type="dxa"/>
              <w:right w:w="15" w:type="dxa"/>
            </w:tcMar>
            <w:vAlign w:val="bottom"/>
            <w:hideMark/>
          </w:tcPr>
          <w:p w14:paraId="1640C5F2"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-7.92</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4DF6926E"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-0.554</w:t>
            </w:r>
          </w:p>
        </w:tc>
      </w:tr>
      <w:tr w:rsidR="00532B65" w:rsidRPr="00B92144" w14:paraId="0757202B"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7E8EE4BC"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shd w:val="clear" w:color="auto" w:fill="auto"/>
            <w:noWrap/>
            <w:tcMar>
              <w:top w:w="15" w:type="dxa"/>
              <w:left w:w="15" w:type="dxa"/>
              <w:bottom w:w="0" w:type="dxa"/>
              <w:right w:w="15" w:type="dxa"/>
            </w:tcMar>
            <w:vAlign w:val="bottom"/>
            <w:hideMark/>
          </w:tcPr>
          <w:p w14:paraId="4AEA00B9"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4.31</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0E2A9FF0"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4.15</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14466ECA"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-4.32</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6D15027D"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-5.04</w:t>
            </w:r>
            <w:r w:rsidR="00F82D73"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5A0D5DB6"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1.51</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4DD0E2F6"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-0.381</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619FDB05"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-5.86</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4CA23EFC"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w:t>
            </w:r>
            <w:r w:rsidRPr="00B92144">
              <w:rPr>
                <w:rFonts w:asciiTheme="majorBidi" w:hAnsiTheme="majorBidi" w:cstheme="majorBidi"/>
                <w:color w:val="000000"/>
                <w:sz w:val="20"/>
                <w:szCs w:val="20"/>
              </w:rPr>
              <w:t>0.</w:t>
            </w:r>
            <w:r w:rsidR="00532B65" w:rsidRPr="00B92144">
              <w:rPr>
                <w:rFonts w:asciiTheme="majorBidi" w:hAnsiTheme="majorBidi" w:cstheme="majorBidi"/>
                <w:color w:val="000000"/>
                <w:sz w:val="20"/>
                <w:szCs w:val="20"/>
              </w:rPr>
              <w:t>48</w:t>
            </w:r>
            <w:r w:rsidRPr="00B92144">
              <w:rPr>
                <w:rFonts w:asciiTheme="majorBidi" w:hAnsiTheme="majorBidi" w:cstheme="majorBidi"/>
                <w:color w:val="000000"/>
                <w:sz w:val="20"/>
                <w:szCs w:val="20"/>
              </w:rPr>
              <w:t>)</w:t>
            </w:r>
          </w:p>
        </w:tc>
      </w:tr>
      <w:tr w:rsidR="00532B65" w:rsidRPr="00B92144" w14:paraId="4EC0AB8C"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3479C433"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BDIND</w:t>
            </w:r>
          </w:p>
        </w:tc>
        <w:tc>
          <w:tcPr>
            <w:tcW w:w="0" w:type="auto"/>
            <w:shd w:val="clear" w:color="auto" w:fill="auto"/>
            <w:noWrap/>
            <w:tcMar>
              <w:top w:w="15" w:type="dxa"/>
              <w:left w:w="15" w:type="dxa"/>
              <w:bottom w:w="0" w:type="dxa"/>
              <w:right w:w="15" w:type="dxa"/>
            </w:tcMar>
            <w:vAlign w:val="bottom"/>
            <w:hideMark/>
          </w:tcPr>
          <w:p w14:paraId="3E68A34E"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3.345</w:t>
            </w:r>
          </w:p>
        </w:tc>
        <w:tc>
          <w:tcPr>
            <w:tcW w:w="0" w:type="auto"/>
            <w:shd w:val="clear" w:color="auto" w:fill="auto"/>
            <w:noWrap/>
            <w:tcMar>
              <w:top w:w="15" w:type="dxa"/>
              <w:left w:w="15" w:type="dxa"/>
              <w:bottom w:w="0" w:type="dxa"/>
              <w:right w:w="15" w:type="dxa"/>
            </w:tcMar>
            <w:vAlign w:val="bottom"/>
            <w:hideMark/>
          </w:tcPr>
          <w:p w14:paraId="4F4DCBD0"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-60.165</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7690DAA7"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9.369</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2E212EAE"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-18.69</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4A08A659"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-12.57</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48E275B4"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-2.51</w:t>
            </w:r>
          </w:p>
        </w:tc>
        <w:tc>
          <w:tcPr>
            <w:tcW w:w="0" w:type="auto"/>
            <w:shd w:val="clear" w:color="auto" w:fill="auto"/>
            <w:noWrap/>
            <w:tcMar>
              <w:top w:w="15" w:type="dxa"/>
              <w:left w:w="15" w:type="dxa"/>
              <w:bottom w:w="0" w:type="dxa"/>
              <w:right w:w="15" w:type="dxa"/>
            </w:tcMar>
            <w:vAlign w:val="bottom"/>
            <w:hideMark/>
          </w:tcPr>
          <w:p w14:paraId="32CA5E45"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7.62</w:t>
            </w:r>
          </w:p>
        </w:tc>
        <w:tc>
          <w:tcPr>
            <w:tcW w:w="0" w:type="auto"/>
            <w:shd w:val="clear" w:color="auto" w:fill="auto"/>
            <w:noWrap/>
            <w:tcMar>
              <w:top w:w="15" w:type="dxa"/>
              <w:left w:w="15" w:type="dxa"/>
              <w:bottom w:w="0" w:type="dxa"/>
              <w:right w:w="15" w:type="dxa"/>
            </w:tcMar>
            <w:vAlign w:val="bottom"/>
            <w:hideMark/>
          </w:tcPr>
          <w:p w14:paraId="188F5BC7"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-3.79</w:t>
            </w:r>
          </w:p>
        </w:tc>
      </w:tr>
      <w:tr w:rsidR="00532B65" w:rsidRPr="00B92144" w14:paraId="2BC900A8"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5081F3EC"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shd w:val="clear" w:color="auto" w:fill="auto"/>
            <w:noWrap/>
            <w:tcMar>
              <w:top w:w="15" w:type="dxa"/>
              <w:left w:w="15" w:type="dxa"/>
              <w:bottom w:w="0" w:type="dxa"/>
              <w:right w:w="15" w:type="dxa"/>
            </w:tcMar>
            <w:vAlign w:val="bottom"/>
            <w:hideMark/>
          </w:tcPr>
          <w:p w14:paraId="24778B50"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0.49</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19284917"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-2.54</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988C6B5"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1.65</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4F3BCEF1"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-1.95</w:t>
            </w:r>
            <w:r w:rsidR="00F82D73"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447ECE70"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2.68</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4FC28530"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-1.39</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747C6EDB"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0.67</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64B5C164"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-1.21</w:t>
            </w:r>
            <w:r w:rsidRPr="00B92144">
              <w:rPr>
                <w:rFonts w:asciiTheme="majorBidi" w:hAnsiTheme="majorBidi" w:cstheme="majorBidi"/>
                <w:color w:val="000000"/>
                <w:sz w:val="20"/>
                <w:szCs w:val="20"/>
              </w:rPr>
              <w:t>)</w:t>
            </w:r>
          </w:p>
        </w:tc>
      </w:tr>
      <w:tr w:rsidR="00532B65" w:rsidRPr="00B92144" w14:paraId="07E9B07D"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592AF303"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BDFOREIGN</w:t>
            </w:r>
          </w:p>
        </w:tc>
        <w:tc>
          <w:tcPr>
            <w:tcW w:w="0" w:type="auto"/>
            <w:shd w:val="clear" w:color="auto" w:fill="auto"/>
            <w:noWrap/>
            <w:tcMar>
              <w:top w:w="15" w:type="dxa"/>
              <w:left w:w="15" w:type="dxa"/>
              <w:bottom w:w="0" w:type="dxa"/>
              <w:right w:w="15" w:type="dxa"/>
            </w:tcMar>
            <w:vAlign w:val="bottom"/>
            <w:hideMark/>
          </w:tcPr>
          <w:p w14:paraId="5FB9ACF4"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12.538</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712CF7EF"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40.52</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65309038"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11.605</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1319B30D"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-17.68</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5BF6B31E"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-2.81</w:t>
            </w:r>
          </w:p>
        </w:tc>
        <w:tc>
          <w:tcPr>
            <w:tcW w:w="0" w:type="auto"/>
            <w:shd w:val="clear" w:color="auto" w:fill="auto"/>
            <w:noWrap/>
            <w:tcMar>
              <w:top w:w="15" w:type="dxa"/>
              <w:left w:w="15" w:type="dxa"/>
              <w:bottom w:w="0" w:type="dxa"/>
              <w:right w:w="15" w:type="dxa"/>
            </w:tcMar>
            <w:vAlign w:val="bottom"/>
            <w:hideMark/>
          </w:tcPr>
          <w:p w14:paraId="224264FC"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8.51</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6828DE47"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39.55</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02E4359E"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6.69</w:t>
            </w:r>
            <w:r w:rsidR="00983FE5" w:rsidRPr="00B92144">
              <w:rPr>
                <w:rFonts w:asciiTheme="majorBidi" w:hAnsiTheme="majorBidi" w:cstheme="majorBidi"/>
                <w:b/>
                <w:color w:val="000000"/>
                <w:sz w:val="20"/>
                <w:szCs w:val="20"/>
              </w:rPr>
              <w:t>**</w:t>
            </w:r>
          </w:p>
        </w:tc>
      </w:tr>
      <w:tr w:rsidR="00532B65" w:rsidRPr="00B92144" w14:paraId="4D947769"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2B2466D5"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shd w:val="clear" w:color="auto" w:fill="auto"/>
            <w:noWrap/>
            <w:tcMar>
              <w:top w:w="15" w:type="dxa"/>
              <w:left w:w="15" w:type="dxa"/>
              <w:bottom w:w="0" w:type="dxa"/>
              <w:right w:w="15" w:type="dxa"/>
            </w:tcMar>
            <w:vAlign w:val="bottom"/>
            <w:hideMark/>
          </w:tcPr>
          <w:p w14:paraId="2E89C56C"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1.73</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766798D6"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1.61</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7F5F2EB4"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1.88</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018FB9A3"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-1.75</w:t>
            </w:r>
            <w:r w:rsidR="00F82D73"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01D15AA4"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0.57</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578EF070"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4.44</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21AADA22"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3.31</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27F02A0"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2.02</w:t>
            </w:r>
            <w:r w:rsidRPr="00B92144">
              <w:rPr>
                <w:rFonts w:asciiTheme="majorBidi" w:hAnsiTheme="majorBidi" w:cstheme="majorBidi"/>
                <w:b/>
                <w:color w:val="000000"/>
                <w:sz w:val="20"/>
                <w:szCs w:val="20"/>
              </w:rPr>
              <w:t>)</w:t>
            </w:r>
          </w:p>
        </w:tc>
      </w:tr>
      <w:tr w:rsidR="00532B65" w:rsidRPr="00B92144" w14:paraId="483D8F93"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53B5D554" w14:textId="77777777" w:rsidR="00532B65" w:rsidRPr="00B92144" w:rsidRDefault="00532B65" w:rsidP="006F36BF">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xml:space="preserve">GDP </w:t>
            </w:r>
          </w:p>
        </w:tc>
        <w:tc>
          <w:tcPr>
            <w:tcW w:w="0" w:type="auto"/>
            <w:shd w:val="clear" w:color="auto" w:fill="auto"/>
            <w:noWrap/>
            <w:tcMar>
              <w:top w:w="15" w:type="dxa"/>
              <w:left w:w="15" w:type="dxa"/>
              <w:bottom w:w="0" w:type="dxa"/>
              <w:right w:w="15" w:type="dxa"/>
            </w:tcMar>
            <w:vAlign w:val="bottom"/>
            <w:hideMark/>
          </w:tcPr>
          <w:p w14:paraId="01C5DDB9"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-172.62</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1ED7AC65"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-373.03</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52FD5C49"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-45.707</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5CCA32D6"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-54.65</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540D1F2C"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-4.94</w:t>
            </w:r>
          </w:p>
        </w:tc>
        <w:tc>
          <w:tcPr>
            <w:tcW w:w="0" w:type="auto"/>
            <w:shd w:val="clear" w:color="auto" w:fill="auto"/>
            <w:noWrap/>
            <w:tcMar>
              <w:top w:w="15" w:type="dxa"/>
              <w:left w:w="15" w:type="dxa"/>
              <w:bottom w:w="0" w:type="dxa"/>
              <w:right w:w="15" w:type="dxa"/>
            </w:tcMar>
            <w:vAlign w:val="bottom"/>
            <w:hideMark/>
          </w:tcPr>
          <w:p w14:paraId="1671B640"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-20.29</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236971DE"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-21.54</w:t>
            </w:r>
          </w:p>
        </w:tc>
        <w:tc>
          <w:tcPr>
            <w:tcW w:w="0" w:type="auto"/>
            <w:shd w:val="clear" w:color="auto" w:fill="auto"/>
            <w:noWrap/>
            <w:tcMar>
              <w:top w:w="15" w:type="dxa"/>
              <w:left w:w="15" w:type="dxa"/>
              <w:bottom w:w="0" w:type="dxa"/>
              <w:right w:w="15" w:type="dxa"/>
            </w:tcMar>
            <w:vAlign w:val="bottom"/>
            <w:hideMark/>
          </w:tcPr>
          <w:p w14:paraId="1F422977"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-6.74</w:t>
            </w:r>
          </w:p>
        </w:tc>
      </w:tr>
      <w:tr w:rsidR="00532B65" w:rsidRPr="00B92144" w14:paraId="18A3EFD6"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7CB9CFF8"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shd w:val="clear" w:color="auto" w:fill="auto"/>
            <w:noWrap/>
            <w:tcMar>
              <w:top w:w="15" w:type="dxa"/>
              <w:left w:w="15" w:type="dxa"/>
              <w:bottom w:w="0" w:type="dxa"/>
              <w:right w:w="15" w:type="dxa"/>
            </w:tcMar>
            <w:vAlign w:val="bottom"/>
            <w:hideMark/>
          </w:tcPr>
          <w:p w14:paraId="7F6C4790"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-5.03</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780263DC"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-3.14</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0EBDD534"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-1.61</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23A8DD1F"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-10</w:t>
            </w: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14</w:t>
            </w:r>
            <w:r w:rsidR="00F82D73"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2037AEB4"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-0.21</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1335EAF6"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-2.24</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1683A25B"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-0.38</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52F83F5F"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-0.43</w:t>
            </w:r>
            <w:r w:rsidRPr="00B92144">
              <w:rPr>
                <w:rFonts w:asciiTheme="majorBidi" w:hAnsiTheme="majorBidi" w:cstheme="majorBidi"/>
                <w:color w:val="000000"/>
                <w:sz w:val="20"/>
                <w:szCs w:val="20"/>
              </w:rPr>
              <w:t>)</w:t>
            </w:r>
          </w:p>
        </w:tc>
      </w:tr>
      <w:tr w:rsidR="00532B65" w:rsidRPr="00B92144" w14:paraId="4617E2CF"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6434B3CA" w14:textId="77777777" w:rsidR="00532B65" w:rsidRPr="00B92144" w:rsidRDefault="00983FE5" w:rsidP="00983FE5">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TIER 1</w:t>
            </w:r>
          </w:p>
        </w:tc>
        <w:tc>
          <w:tcPr>
            <w:tcW w:w="0" w:type="auto"/>
            <w:shd w:val="clear" w:color="auto" w:fill="auto"/>
            <w:noWrap/>
            <w:tcMar>
              <w:top w:w="15" w:type="dxa"/>
              <w:left w:w="15" w:type="dxa"/>
              <w:bottom w:w="0" w:type="dxa"/>
              <w:right w:w="15" w:type="dxa"/>
            </w:tcMar>
            <w:vAlign w:val="bottom"/>
            <w:hideMark/>
          </w:tcPr>
          <w:p w14:paraId="54E23E6C"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-2.97</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0681A09C"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-9.29</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5FB3F50"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-4.749</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02B8B436"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-3.913</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02E62E6C"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1.62</w:t>
            </w:r>
          </w:p>
        </w:tc>
        <w:tc>
          <w:tcPr>
            <w:tcW w:w="0" w:type="auto"/>
            <w:shd w:val="clear" w:color="auto" w:fill="auto"/>
            <w:noWrap/>
            <w:tcMar>
              <w:top w:w="15" w:type="dxa"/>
              <w:left w:w="15" w:type="dxa"/>
              <w:bottom w:w="0" w:type="dxa"/>
              <w:right w:w="15" w:type="dxa"/>
            </w:tcMar>
            <w:vAlign w:val="bottom"/>
            <w:hideMark/>
          </w:tcPr>
          <w:p w14:paraId="538F9E8E"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-0.1006</w:t>
            </w:r>
          </w:p>
        </w:tc>
        <w:tc>
          <w:tcPr>
            <w:tcW w:w="0" w:type="auto"/>
            <w:shd w:val="clear" w:color="auto" w:fill="auto"/>
            <w:noWrap/>
            <w:tcMar>
              <w:top w:w="15" w:type="dxa"/>
              <w:left w:w="15" w:type="dxa"/>
              <w:bottom w:w="0" w:type="dxa"/>
              <w:right w:w="15" w:type="dxa"/>
            </w:tcMar>
            <w:vAlign w:val="bottom"/>
            <w:hideMark/>
          </w:tcPr>
          <w:p w14:paraId="47C29CB3"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-4.09</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10025F8A"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-1.22</w:t>
            </w:r>
            <w:r w:rsidR="00983FE5" w:rsidRPr="00B92144">
              <w:rPr>
                <w:rFonts w:asciiTheme="majorBidi" w:hAnsiTheme="majorBidi" w:cstheme="majorBidi"/>
                <w:b/>
                <w:color w:val="000000"/>
                <w:sz w:val="20"/>
                <w:szCs w:val="20"/>
              </w:rPr>
              <w:t>*</w:t>
            </w:r>
          </w:p>
        </w:tc>
      </w:tr>
      <w:tr w:rsidR="00532B65" w:rsidRPr="00B92144" w14:paraId="0AF73100"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1D650973"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shd w:val="clear" w:color="auto" w:fill="auto"/>
            <w:noWrap/>
            <w:tcMar>
              <w:top w:w="15" w:type="dxa"/>
              <w:left w:w="15" w:type="dxa"/>
              <w:bottom w:w="0" w:type="dxa"/>
              <w:right w:w="15" w:type="dxa"/>
            </w:tcMar>
            <w:vAlign w:val="bottom"/>
            <w:hideMark/>
          </w:tcPr>
          <w:p w14:paraId="482849FB"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-2.02</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4CAB0DC8"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-1.82</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593C8533"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-3.89</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01CEE3AD"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-1.9</w:t>
            </w:r>
            <w:r w:rsidR="00F82D73"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790117C5"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1.61</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39F9DC0D"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-0.26</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417BB677"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-1.68</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4213C19B"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-1.81</w:t>
            </w:r>
            <w:r w:rsidRPr="00B92144">
              <w:rPr>
                <w:rFonts w:asciiTheme="majorBidi" w:hAnsiTheme="majorBidi" w:cstheme="majorBidi"/>
                <w:b/>
                <w:color w:val="000000"/>
                <w:sz w:val="20"/>
                <w:szCs w:val="20"/>
              </w:rPr>
              <w:t>)</w:t>
            </w:r>
          </w:p>
        </w:tc>
      </w:tr>
      <w:tr w:rsidR="00532B65" w:rsidRPr="00B92144" w14:paraId="486696B3"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481F90BC"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ISLAMIC</w:t>
            </w:r>
          </w:p>
        </w:tc>
        <w:tc>
          <w:tcPr>
            <w:tcW w:w="0" w:type="auto"/>
            <w:shd w:val="clear" w:color="auto" w:fill="auto"/>
            <w:noWrap/>
            <w:tcMar>
              <w:top w:w="15" w:type="dxa"/>
              <w:left w:w="15" w:type="dxa"/>
              <w:bottom w:w="0" w:type="dxa"/>
              <w:right w:w="15" w:type="dxa"/>
            </w:tcMar>
            <w:vAlign w:val="bottom"/>
            <w:hideMark/>
          </w:tcPr>
          <w:p w14:paraId="7E005DED"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-35.703</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6F2040EF"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1.005</w:t>
            </w:r>
          </w:p>
        </w:tc>
        <w:tc>
          <w:tcPr>
            <w:tcW w:w="0" w:type="auto"/>
            <w:shd w:val="clear" w:color="auto" w:fill="auto"/>
            <w:noWrap/>
            <w:tcMar>
              <w:top w:w="15" w:type="dxa"/>
              <w:left w:w="15" w:type="dxa"/>
              <w:bottom w:w="0" w:type="dxa"/>
              <w:right w:w="15" w:type="dxa"/>
            </w:tcMar>
            <w:vAlign w:val="bottom"/>
            <w:hideMark/>
          </w:tcPr>
          <w:p w14:paraId="43680A22"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-30.41</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09599731"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23.32</w:t>
            </w:r>
          </w:p>
        </w:tc>
        <w:tc>
          <w:tcPr>
            <w:tcW w:w="0" w:type="auto"/>
            <w:shd w:val="clear" w:color="auto" w:fill="auto"/>
            <w:noWrap/>
            <w:tcMar>
              <w:top w:w="15" w:type="dxa"/>
              <w:left w:w="15" w:type="dxa"/>
              <w:bottom w:w="0" w:type="dxa"/>
              <w:right w:w="15" w:type="dxa"/>
            </w:tcMar>
            <w:vAlign w:val="bottom"/>
            <w:hideMark/>
          </w:tcPr>
          <w:p w14:paraId="4D09E84D"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7.35</w:t>
            </w:r>
          </w:p>
        </w:tc>
        <w:tc>
          <w:tcPr>
            <w:tcW w:w="0" w:type="auto"/>
            <w:shd w:val="clear" w:color="auto" w:fill="auto"/>
            <w:noWrap/>
            <w:tcMar>
              <w:top w:w="15" w:type="dxa"/>
              <w:left w:w="15" w:type="dxa"/>
              <w:bottom w:w="0" w:type="dxa"/>
              <w:right w:w="15" w:type="dxa"/>
            </w:tcMar>
            <w:vAlign w:val="bottom"/>
            <w:hideMark/>
          </w:tcPr>
          <w:p w14:paraId="10219FFA" w14:textId="77777777" w:rsidR="00532B65" w:rsidRPr="00B92144" w:rsidRDefault="00532B65"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-7.91</w:t>
            </w:r>
            <w:r w:rsidR="00983FE5"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7502F0AA"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-6.22</w:t>
            </w:r>
          </w:p>
        </w:tc>
        <w:tc>
          <w:tcPr>
            <w:tcW w:w="0" w:type="auto"/>
            <w:shd w:val="clear" w:color="auto" w:fill="auto"/>
            <w:noWrap/>
            <w:tcMar>
              <w:top w:w="15" w:type="dxa"/>
              <w:left w:w="15" w:type="dxa"/>
              <w:bottom w:w="0" w:type="dxa"/>
              <w:right w:w="15" w:type="dxa"/>
            </w:tcMar>
            <w:vAlign w:val="bottom"/>
            <w:hideMark/>
          </w:tcPr>
          <w:p w14:paraId="0CD7A877" w14:textId="77777777" w:rsidR="00532B65" w:rsidRPr="00B92144" w:rsidRDefault="00532B65"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-1.86</w:t>
            </w:r>
          </w:p>
        </w:tc>
      </w:tr>
      <w:tr w:rsidR="00532B65" w:rsidRPr="00B92144" w14:paraId="6262C715" w14:textId="77777777" w:rsidTr="001F4D3D">
        <w:trPr>
          <w:trHeight w:val="300"/>
          <w:jc w:val="center"/>
        </w:trPr>
        <w:tc>
          <w:tcPr>
            <w:tcW w:w="0" w:type="auto"/>
            <w:shd w:val="clear" w:color="auto" w:fill="auto"/>
            <w:noWrap/>
            <w:tcMar>
              <w:top w:w="15" w:type="dxa"/>
              <w:left w:w="15" w:type="dxa"/>
              <w:bottom w:w="0" w:type="dxa"/>
              <w:right w:w="15" w:type="dxa"/>
            </w:tcMar>
            <w:vAlign w:val="bottom"/>
            <w:hideMark/>
          </w:tcPr>
          <w:p w14:paraId="22B03715"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shd w:val="clear" w:color="auto" w:fill="auto"/>
            <w:noWrap/>
            <w:tcMar>
              <w:top w:w="15" w:type="dxa"/>
              <w:left w:w="15" w:type="dxa"/>
              <w:bottom w:w="0" w:type="dxa"/>
              <w:right w:w="15" w:type="dxa"/>
            </w:tcMar>
            <w:vAlign w:val="bottom"/>
            <w:hideMark/>
          </w:tcPr>
          <w:p w14:paraId="5D3DE33D"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-10.01</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2A43875C" w14:textId="77777777" w:rsidR="00532B65" w:rsidRPr="00B92144" w:rsidRDefault="00C05F51"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0.08</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7BAC92FC"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-10.3</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268FC117" w14:textId="77777777" w:rsidR="00532B65" w:rsidRPr="00B92144" w:rsidRDefault="00C05F51"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4.69</w:t>
            </w:r>
            <w:r w:rsidR="00F82D73"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73EF466D"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3.02</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D6DB0D8" w14:textId="77777777" w:rsidR="00532B65" w:rsidRPr="00B92144" w:rsidRDefault="00F82D73" w:rsidP="00C05F51">
            <w:pPr>
              <w:spacing w:after="0"/>
              <w:jc w:val="center"/>
              <w:rPr>
                <w:rFonts w:asciiTheme="majorBidi" w:hAnsiTheme="majorBidi" w:cstheme="majorBidi"/>
                <w:b/>
                <w:color w:val="000000"/>
                <w:sz w:val="20"/>
                <w:szCs w:val="20"/>
              </w:rPr>
            </w:pPr>
            <w:r w:rsidRPr="00B92144">
              <w:rPr>
                <w:rFonts w:asciiTheme="majorBidi" w:hAnsiTheme="majorBidi" w:cstheme="majorBidi"/>
                <w:b/>
                <w:color w:val="000000"/>
                <w:sz w:val="20"/>
                <w:szCs w:val="20"/>
              </w:rPr>
              <w:t>(</w:t>
            </w:r>
            <w:r w:rsidR="00532B65" w:rsidRPr="00B92144">
              <w:rPr>
                <w:rFonts w:asciiTheme="majorBidi" w:hAnsiTheme="majorBidi" w:cstheme="majorBidi"/>
                <w:b/>
                <w:color w:val="000000"/>
                <w:sz w:val="20"/>
                <w:szCs w:val="20"/>
              </w:rPr>
              <w:t>-8.4</w:t>
            </w:r>
            <w:r w:rsidRPr="00B92144">
              <w:rPr>
                <w:rFonts w:asciiTheme="majorBidi" w:hAnsiTheme="majorBidi" w:cstheme="majorBidi"/>
                <w:b/>
                <w:color w:val="000000"/>
                <w:sz w:val="20"/>
                <w:szCs w:val="20"/>
              </w:rPr>
              <w:t>)</w:t>
            </w:r>
          </w:p>
        </w:tc>
        <w:tc>
          <w:tcPr>
            <w:tcW w:w="0" w:type="auto"/>
            <w:shd w:val="clear" w:color="auto" w:fill="auto"/>
            <w:noWrap/>
            <w:tcMar>
              <w:top w:w="15" w:type="dxa"/>
              <w:left w:w="15" w:type="dxa"/>
              <w:bottom w:w="0" w:type="dxa"/>
              <w:right w:w="15" w:type="dxa"/>
            </w:tcMar>
            <w:vAlign w:val="bottom"/>
            <w:hideMark/>
          </w:tcPr>
          <w:p w14:paraId="34262204"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-1.06</w:t>
            </w:r>
            <w:r w:rsidRPr="00B92144">
              <w:rPr>
                <w:rFonts w:asciiTheme="majorBidi" w:hAnsiTheme="majorBidi" w:cstheme="majorBidi"/>
                <w:color w:val="000000"/>
                <w:sz w:val="20"/>
                <w:szCs w:val="20"/>
              </w:rPr>
              <w:t>)</w:t>
            </w:r>
          </w:p>
        </w:tc>
        <w:tc>
          <w:tcPr>
            <w:tcW w:w="0" w:type="auto"/>
            <w:shd w:val="clear" w:color="auto" w:fill="auto"/>
            <w:noWrap/>
            <w:tcMar>
              <w:top w:w="15" w:type="dxa"/>
              <w:left w:w="15" w:type="dxa"/>
              <w:bottom w:w="0" w:type="dxa"/>
              <w:right w:w="15" w:type="dxa"/>
            </w:tcMar>
            <w:vAlign w:val="bottom"/>
            <w:hideMark/>
          </w:tcPr>
          <w:p w14:paraId="35F3BB3C" w14:textId="77777777" w:rsidR="00532B65" w:rsidRPr="00B92144" w:rsidRDefault="00F82D73" w:rsidP="00C05F51">
            <w:pPr>
              <w:spacing w:after="0"/>
              <w:jc w:val="center"/>
              <w:rPr>
                <w:rFonts w:asciiTheme="majorBidi" w:hAnsiTheme="majorBidi" w:cstheme="majorBidi"/>
                <w:color w:val="000000"/>
                <w:sz w:val="20"/>
                <w:szCs w:val="20"/>
              </w:rPr>
            </w:pPr>
            <w:r w:rsidRPr="00B92144">
              <w:rPr>
                <w:rFonts w:asciiTheme="majorBidi" w:hAnsiTheme="majorBidi" w:cstheme="majorBidi"/>
                <w:color w:val="000000"/>
                <w:sz w:val="20"/>
                <w:szCs w:val="20"/>
              </w:rPr>
              <w:t>(</w:t>
            </w:r>
            <w:r w:rsidR="00532B65" w:rsidRPr="00B92144">
              <w:rPr>
                <w:rFonts w:asciiTheme="majorBidi" w:hAnsiTheme="majorBidi" w:cstheme="majorBidi"/>
                <w:color w:val="000000"/>
                <w:sz w:val="20"/>
                <w:szCs w:val="20"/>
              </w:rPr>
              <w:t>-1.13</w:t>
            </w:r>
            <w:r w:rsidRPr="00B92144">
              <w:rPr>
                <w:rFonts w:asciiTheme="majorBidi" w:hAnsiTheme="majorBidi" w:cstheme="majorBidi"/>
                <w:color w:val="000000"/>
                <w:sz w:val="20"/>
                <w:szCs w:val="20"/>
              </w:rPr>
              <w:t>)</w:t>
            </w:r>
          </w:p>
        </w:tc>
      </w:tr>
      <w:tr w:rsidR="001F4D3D" w:rsidRPr="00B92144" w14:paraId="6FA6C24D" w14:textId="77777777" w:rsidTr="001F4D3D">
        <w:trPr>
          <w:trHeight w:val="300"/>
          <w:jc w:val="center"/>
        </w:trPr>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027C6C1D"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7A4C5532"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5D6D5600"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46893210"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18527784"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2EBFC56A"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0E0551C5"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7D1EB95F"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1EBA644E"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 </w:t>
            </w:r>
          </w:p>
        </w:tc>
      </w:tr>
      <w:tr w:rsidR="00532B65" w:rsidRPr="00B92144" w14:paraId="27DD449B" w14:textId="77777777" w:rsidTr="001F4D3D">
        <w:trPr>
          <w:trHeight w:val="300"/>
          <w:jc w:val="center"/>
        </w:trPr>
        <w:tc>
          <w:tcPr>
            <w:tcW w:w="0" w:type="auto"/>
            <w:tcBorders>
              <w:top w:val="single" w:sz="4" w:space="0" w:color="auto"/>
            </w:tcBorders>
            <w:shd w:val="clear" w:color="auto" w:fill="auto"/>
            <w:noWrap/>
            <w:tcMar>
              <w:top w:w="15" w:type="dxa"/>
              <w:left w:w="15" w:type="dxa"/>
              <w:bottom w:w="0" w:type="dxa"/>
              <w:right w:w="15" w:type="dxa"/>
            </w:tcMar>
            <w:vAlign w:val="bottom"/>
            <w:hideMark/>
          </w:tcPr>
          <w:p w14:paraId="6B78E620"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Number of observations</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18215808" w14:textId="77777777" w:rsidR="00532B65" w:rsidRPr="00B92144" w:rsidRDefault="00532B65" w:rsidP="00ED3EEA">
            <w:pPr>
              <w:spacing w:after="0"/>
              <w:jc w:val="right"/>
              <w:rPr>
                <w:rFonts w:asciiTheme="majorBidi" w:hAnsiTheme="majorBidi" w:cstheme="majorBidi"/>
                <w:color w:val="000000"/>
                <w:sz w:val="20"/>
                <w:szCs w:val="20"/>
              </w:rPr>
            </w:pPr>
            <w:r w:rsidRPr="00B92144">
              <w:rPr>
                <w:rFonts w:asciiTheme="majorBidi" w:hAnsiTheme="majorBidi" w:cstheme="majorBidi"/>
                <w:color w:val="000000"/>
                <w:sz w:val="20"/>
                <w:szCs w:val="20"/>
              </w:rPr>
              <w:t>798</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523AEEDE" w14:textId="77777777" w:rsidR="00532B65" w:rsidRPr="00B92144" w:rsidRDefault="00532B65" w:rsidP="00ED3EEA">
            <w:pPr>
              <w:spacing w:after="0"/>
              <w:jc w:val="right"/>
              <w:rPr>
                <w:rFonts w:asciiTheme="majorBidi" w:hAnsiTheme="majorBidi" w:cstheme="majorBidi"/>
                <w:color w:val="000000"/>
                <w:sz w:val="20"/>
                <w:szCs w:val="20"/>
              </w:rPr>
            </w:pPr>
            <w:r w:rsidRPr="00B92144">
              <w:rPr>
                <w:rFonts w:asciiTheme="majorBidi" w:hAnsiTheme="majorBidi" w:cstheme="majorBidi"/>
                <w:color w:val="000000"/>
                <w:sz w:val="20"/>
                <w:szCs w:val="20"/>
              </w:rPr>
              <w:t>798</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39EA8AD3" w14:textId="77777777" w:rsidR="00532B65" w:rsidRPr="00B92144" w:rsidRDefault="00532B65" w:rsidP="00ED3EEA">
            <w:pPr>
              <w:spacing w:after="0"/>
              <w:jc w:val="right"/>
              <w:rPr>
                <w:rFonts w:asciiTheme="majorBidi" w:hAnsiTheme="majorBidi" w:cstheme="majorBidi"/>
                <w:color w:val="000000"/>
                <w:sz w:val="20"/>
                <w:szCs w:val="20"/>
              </w:rPr>
            </w:pPr>
            <w:r w:rsidRPr="00B92144">
              <w:rPr>
                <w:rFonts w:asciiTheme="majorBidi" w:hAnsiTheme="majorBidi" w:cstheme="majorBidi"/>
                <w:color w:val="000000"/>
                <w:sz w:val="20"/>
                <w:szCs w:val="20"/>
              </w:rPr>
              <w:t>798</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75DC81C3" w14:textId="77777777" w:rsidR="00532B65" w:rsidRPr="00B92144" w:rsidRDefault="00532B65" w:rsidP="00ED3EEA">
            <w:pPr>
              <w:spacing w:after="0"/>
              <w:jc w:val="right"/>
              <w:rPr>
                <w:rFonts w:asciiTheme="majorBidi" w:hAnsiTheme="majorBidi" w:cstheme="majorBidi"/>
                <w:color w:val="000000"/>
                <w:sz w:val="20"/>
                <w:szCs w:val="20"/>
              </w:rPr>
            </w:pPr>
            <w:r w:rsidRPr="00B92144">
              <w:rPr>
                <w:rFonts w:asciiTheme="majorBidi" w:hAnsiTheme="majorBidi" w:cstheme="majorBidi"/>
                <w:color w:val="000000"/>
                <w:sz w:val="20"/>
                <w:szCs w:val="20"/>
              </w:rPr>
              <w:t>798</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276B1020" w14:textId="77777777" w:rsidR="00532B65" w:rsidRPr="00B92144" w:rsidRDefault="00532B65" w:rsidP="00ED3EEA">
            <w:pPr>
              <w:spacing w:after="0"/>
              <w:jc w:val="right"/>
              <w:rPr>
                <w:rFonts w:asciiTheme="majorBidi" w:hAnsiTheme="majorBidi" w:cstheme="majorBidi"/>
                <w:color w:val="000000"/>
                <w:sz w:val="20"/>
                <w:szCs w:val="20"/>
              </w:rPr>
            </w:pPr>
            <w:r w:rsidRPr="00B92144">
              <w:rPr>
                <w:rFonts w:asciiTheme="majorBidi" w:hAnsiTheme="majorBidi" w:cstheme="majorBidi"/>
                <w:color w:val="000000"/>
                <w:sz w:val="20"/>
                <w:szCs w:val="20"/>
              </w:rPr>
              <w:t>798</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51565FE2" w14:textId="77777777" w:rsidR="00532B65" w:rsidRPr="00B92144" w:rsidRDefault="00532B65" w:rsidP="00ED3EEA">
            <w:pPr>
              <w:spacing w:after="0"/>
              <w:jc w:val="right"/>
              <w:rPr>
                <w:rFonts w:asciiTheme="majorBidi" w:hAnsiTheme="majorBidi" w:cstheme="majorBidi"/>
                <w:color w:val="000000"/>
                <w:sz w:val="20"/>
                <w:szCs w:val="20"/>
              </w:rPr>
            </w:pPr>
            <w:r w:rsidRPr="00B92144">
              <w:rPr>
                <w:rFonts w:asciiTheme="majorBidi" w:hAnsiTheme="majorBidi" w:cstheme="majorBidi"/>
                <w:color w:val="000000"/>
                <w:sz w:val="20"/>
                <w:szCs w:val="20"/>
              </w:rPr>
              <w:t>798</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79A94D25" w14:textId="77777777" w:rsidR="00532B65" w:rsidRPr="00B92144" w:rsidRDefault="00532B65" w:rsidP="00ED3EEA">
            <w:pPr>
              <w:spacing w:after="0"/>
              <w:jc w:val="right"/>
              <w:rPr>
                <w:rFonts w:asciiTheme="majorBidi" w:hAnsiTheme="majorBidi" w:cstheme="majorBidi"/>
                <w:color w:val="000000"/>
                <w:sz w:val="20"/>
                <w:szCs w:val="20"/>
              </w:rPr>
            </w:pPr>
            <w:r w:rsidRPr="00B92144">
              <w:rPr>
                <w:rFonts w:asciiTheme="majorBidi" w:hAnsiTheme="majorBidi" w:cstheme="majorBidi"/>
                <w:color w:val="000000"/>
                <w:sz w:val="20"/>
                <w:szCs w:val="20"/>
              </w:rPr>
              <w:t>798</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6F0181CB" w14:textId="77777777" w:rsidR="00532B65" w:rsidRPr="00B92144" w:rsidRDefault="00532B65" w:rsidP="00ED3EEA">
            <w:pPr>
              <w:spacing w:after="0"/>
              <w:jc w:val="right"/>
              <w:rPr>
                <w:rFonts w:asciiTheme="majorBidi" w:hAnsiTheme="majorBidi" w:cstheme="majorBidi"/>
                <w:color w:val="000000"/>
                <w:sz w:val="20"/>
                <w:szCs w:val="20"/>
              </w:rPr>
            </w:pPr>
            <w:r w:rsidRPr="00B92144">
              <w:rPr>
                <w:rFonts w:asciiTheme="majorBidi" w:hAnsiTheme="majorBidi" w:cstheme="majorBidi"/>
                <w:color w:val="000000"/>
                <w:sz w:val="20"/>
                <w:szCs w:val="20"/>
              </w:rPr>
              <w:t>798</w:t>
            </w:r>
          </w:p>
        </w:tc>
      </w:tr>
      <w:tr w:rsidR="00532B65" w:rsidRPr="00B92144" w14:paraId="0A2681A1" w14:textId="77777777" w:rsidTr="001F4D3D">
        <w:trPr>
          <w:trHeight w:val="300"/>
          <w:jc w:val="center"/>
        </w:trPr>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6E9DAB86" w14:textId="77777777" w:rsidR="00532B65" w:rsidRPr="00B92144" w:rsidRDefault="00532B65" w:rsidP="00ED3EEA">
            <w:pPr>
              <w:spacing w:after="0"/>
              <w:rPr>
                <w:rFonts w:asciiTheme="majorBidi" w:hAnsiTheme="majorBidi" w:cstheme="majorBidi"/>
                <w:color w:val="000000"/>
                <w:sz w:val="20"/>
                <w:szCs w:val="20"/>
              </w:rPr>
            </w:pPr>
            <w:r w:rsidRPr="00B92144">
              <w:rPr>
                <w:rFonts w:asciiTheme="majorBidi" w:hAnsiTheme="majorBidi" w:cstheme="majorBidi"/>
                <w:color w:val="000000"/>
                <w:sz w:val="20"/>
                <w:szCs w:val="20"/>
              </w:rPr>
              <w:t>R</w:t>
            </w:r>
            <w:r w:rsidRPr="00B92144">
              <w:rPr>
                <w:rFonts w:asciiTheme="majorBidi" w:hAnsiTheme="majorBidi" w:cstheme="majorBidi"/>
                <w:color w:val="000000"/>
                <w:sz w:val="20"/>
                <w:szCs w:val="20"/>
                <w:vertAlign w:val="superscript"/>
              </w:rPr>
              <w:t>2</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31CA1CE1" w14:textId="77777777" w:rsidR="00532B65" w:rsidRPr="00B92144" w:rsidRDefault="00532B65" w:rsidP="00ED3EEA">
            <w:pPr>
              <w:spacing w:after="0"/>
              <w:jc w:val="right"/>
              <w:rPr>
                <w:rFonts w:asciiTheme="majorBidi" w:hAnsiTheme="majorBidi" w:cstheme="majorBidi"/>
                <w:color w:val="000000"/>
                <w:sz w:val="20"/>
                <w:szCs w:val="20"/>
              </w:rPr>
            </w:pPr>
            <w:r w:rsidRPr="00B92144">
              <w:rPr>
                <w:rFonts w:asciiTheme="majorBidi" w:hAnsiTheme="majorBidi" w:cstheme="majorBidi"/>
                <w:color w:val="000000"/>
                <w:sz w:val="20"/>
                <w:szCs w:val="20"/>
              </w:rPr>
              <w:t>0.7119</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31C2BE7A" w14:textId="77777777" w:rsidR="00532B65" w:rsidRPr="00B92144" w:rsidRDefault="00532B65" w:rsidP="00ED3EEA">
            <w:pPr>
              <w:spacing w:after="0"/>
              <w:jc w:val="right"/>
              <w:rPr>
                <w:rFonts w:asciiTheme="majorBidi" w:hAnsiTheme="majorBidi" w:cstheme="majorBidi"/>
                <w:color w:val="000000"/>
                <w:sz w:val="20"/>
                <w:szCs w:val="20"/>
              </w:rPr>
            </w:pPr>
            <w:r w:rsidRPr="00B92144">
              <w:rPr>
                <w:rFonts w:asciiTheme="majorBidi" w:hAnsiTheme="majorBidi" w:cstheme="majorBidi"/>
                <w:color w:val="000000"/>
                <w:sz w:val="20"/>
                <w:szCs w:val="20"/>
              </w:rPr>
              <w:t>0.8255</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171226E3" w14:textId="77777777" w:rsidR="00532B65" w:rsidRPr="00B92144" w:rsidRDefault="00532B65" w:rsidP="00ED3EEA">
            <w:pPr>
              <w:spacing w:after="0"/>
              <w:jc w:val="right"/>
              <w:rPr>
                <w:rFonts w:asciiTheme="majorBidi" w:hAnsiTheme="majorBidi" w:cstheme="majorBidi"/>
                <w:color w:val="000000"/>
                <w:sz w:val="20"/>
                <w:szCs w:val="20"/>
              </w:rPr>
            </w:pPr>
            <w:r w:rsidRPr="00B92144">
              <w:rPr>
                <w:rFonts w:asciiTheme="majorBidi" w:hAnsiTheme="majorBidi" w:cstheme="majorBidi"/>
                <w:color w:val="000000"/>
                <w:sz w:val="20"/>
                <w:szCs w:val="20"/>
              </w:rPr>
              <w:t>0.6662</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2E6AA0C4" w14:textId="77777777" w:rsidR="00532B65" w:rsidRPr="00B92144" w:rsidRDefault="00532B65" w:rsidP="00ED3EEA">
            <w:pPr>
              <w:spacing w:after="0"/>
              <w:jc w:val="right"/>
              <w:rPr>
                <w:rFonts w:asciiTheme="majorBidi" w:hAnsiTheme="majorBidi" w:cstheme="majorBidi"/>
                <w:color w:val="000000"/>
                <w:sz w:val="20"/>
                <w:szCs w:val="20"/>
              </w:rPr>
            </w:pPr>
            <w:r w:rsidRPr="00B92144">
              <w:rPr>
                <w:rFonts w:asciiTheme="majorBidi" w:hAnsiTheme="majorBidi" w:cstheme="majorBidi"/>
                <w:color w:val="000000"/>
                <w:sz w:val="20"/>
                <w:szCs w:val="20"/>
              </w:rPr>
              <w:t>0.8122</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4BA651EC" w14:textId="77777777" w:rsidR="00532B65" w:rsidRPr="00B92144" w:rsidRDefault="00532B65" w:rsidP="00ED3EEA">
            <w:pPr>
              <w:spacing w:after="0"/>
              <w:jc w:val="right"/>
              <w:rPr>
                <w:rFonts w:asciiTheme="majorBidi" w:hAnsiTheme="majorBidi" w:cstheme="majorBidi"/>
                <w:color w:val="000000"/>
                <w:sz w:val="20"/>
                <w:szCs w:val="20"/>
              </w:rPr>
            </w:pPr>
            <w:r w:rsidRPr="00B92144">
              <w:rPr>
                <w:rFonts w:asciiTheme="majorBidi" w:hAnsiTheme="majorBidi" w:cstheme="majorBidi"/>
                <w:color w:val="000000"/>
                <w:sz w:val="20"/>
                <w:szCs w:val="20"/>
              </w:rPr>
              <w:t>0.4262</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46A1B8F4" w14:textId="77777777" w:rsidR="00532B65" w:rsidRPr="00B92144" w:rsidRDefault="00532B65" w:rsidP="00ED3EEA">
            <w:pPr>
              <w:spacing w:after="0"/>
              <w:jc w:val="right"/>
              <w:rPr>
                <w:rFonts w:asciiTheme="majorBidi" w:hAnsiTheme="majorBidi" w:cstheme="majorBidi"/>
                <w:color w:val="000000"/>
                <w:sz w:val="20"/>
                <w:szCs w:val="20"/>
              </w:rPr>
            </w:pPr>
            <w:r w:rsidRPr="00B92144">
              <w:rPr>
                <w:rFonts w:asciiTheme="majorBidi" w:hAnsiTheme="majorBidi" w:cstheme="majorBidi"/>
                <w:color w:val="000000"/>
                <w:sz w:val="20"/>
                <w:szCs w:val="20"/>
              </w:rPr>
              <w:t>0.5579</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454149E6" w14:textId="77777777" w:rsidR="00532B65" w:rsidRPr="00B92144" w:rsidRDefault="00532B65" w:rsidP="00ED3EEA">
            <w:pPr>
              <w:spacing w:after="0"/>
              <w:jc w:val="right"/>
              <w:rPr>
                <w:rFonts w:asciiTheme="majorBidi" w:hAnsiTheme="majorBidi" w:cstheme="majorBidi"/>
                <w:color w:val="000000"/>
                <w:sz w:val="20"/>
                <w:szCs w:val="20"/>
              </w:rPr>
            </w:pPr>
            <w:r w:rsidRPr="00B92144">
              <w:rPr>
                <w:rFonts w:asciiTheme="majorBidi" w:hAnsiTheme="majorBidi" w:cstheme="majorBidi"/>
                <w:color w:val="000000"/>
                <w:sz w:val="20"/>
                <w:szCs w:val="20"/>
              </w:rPr>
              <w:t>0.7743</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74BCCD8D" w14:textId="77777777" w:rsidR="00532B65" w:rsidRPr="00B92144" w:rsidRDefault="00532B65" w:rsidP="00ED3EEA">
            <w:pPr>
              <w:spacing w:after="0"/>
              <w:jc w:val="right"/>
              <w:rPr>
                <w:rFonts w:asciiTheme="majorBidi" w:hAnsiTheme="majorBidi" w:cstheme="majorBidi"/>
                <w:color w:val="000000"/>
                <w:sz w:val="20"/>
                <w:szCs w:val="20"/>
              </w:rPr>
            </w:pPr>
            <w:r w:rsidRPr="00B92144">
              <w:rPr>
                <w:rFonts w:asciiTheme="majorBidi" w:hAnsiTheme="majorBidi" w:cstheme="majorBidi"/>
                <w:color w:val="000000"/>
                <w:sz w:val="20"/>
                <w:szCs w:val="20"/>
              </w:rPr>
              <w:t>0.6904</w:t>
            </w:r>
          </w:p>
        </w:tc>
      </w:tr>
    </w:tbl>
    <w:p w14:paraId="3084DF03" w14:textId="77777777" w:rsidR="0071253E" w:rsidRPr="00B92144" w:rsidRDefault="00532B65" w:rsidP="0071253E">
      <w:pPr>
        <w:spacing w:after="0"/>
        <w:rPr>
          <w:rFonts w:asciiTheme="majorBidi" w:hAnsiTheme="majorBidi" w:cstheme="majorBidi"/>
          <w:sz w:val="18"/>
          <w:szCs w:val="18"/>
        </w:rPr>
      </w:pPr>
      <w:r w:rsidRPr="00B92144">
        <w:rPr>
          <w:rFonts w:asciiTheme="majorBidi" w:hAnsiTheme="majorBidi" w:cstheme="majorBidi"/>
          <w:sz w:val="24"/>
          <w:szCs w:val="24"/>
        </w:rPr>
        <w:t xml:space="preserve"> </w:t>
      </w:r>
      <w:r w:rsidR="0071253E" w:rsidRPr="00B92144">
        <w:rPr>
          <w:rFonts w:asciiTheme="majorBidi" w:hAnsiTheme="majorBidi" w:cstheme="majorBidi"/>
          <w:sz w:val="18"/>
          <w:szCs w:val="18"/>
        </w:rPr>
        <w:t>*, **, and *** indicate significance at 10%, 5%, and 1% level.</w:t>
      </w:r>
    </w:p>
    <w:p w14:paraId="0247A415" w14:textId="77777777" w:rsidR="00E82AA2" w:rsidRPr="00B92144" w:rsidRDefault="00E82AA2" w:rsidP="00532B65">
      <w:pPr>
        <w:rPr>
          <w:rFonts w:asciiTheme="majorBidi" w:hAnsiTheme="majorBidi" w:cstheme="majorBidi"/>
          <w:sz w:val="24"/>
          <w:szCs w:val="24"/>
        </w:rPr>
      </w:pPr>
      <w:r w:rsidRPr="00B92144">
        <w:rPr>
          <w:rFonts w:asciiTheme="majorBidi" w:hAnsiTheme="majorBidi" w:cstheme="majorBidi"/>
          <w:sz w:val="24"/>
          <w:szCs w:val="24"/>
        </w:rPr>
        <w:br w:type="page"/>
      </w:r>
    </w:p>
    <w:p w14:paraId="51BEB49D" w14:textId="7B44EADC" w:rsidR="00C05DEF" w:rsidRPr="00B92144" w:rsidRDefault="00D86EB2" w:rsidP="009E28CC">
      <w:pPr>
        <w:spacing w:line="360" w:lineRule="auto"/>
        <w:jc w:val="both"/>
        <w:rPr>
          <w:rFonts w:asciiTheme="majorBidi" w:hAnsiTheme="majorBidi" w:cstheme="majorBidi"/>
          <w:sz w:val="24"/>
          <w:szCs w:val="24"/>
        </w:rPr>
      </w:pPr>
      <w:r w:rsidRPr="00B92144">
        <w:rPr>
          <w:rFonts w:asciiTheme="majorBidi" w:hAnsiTheme="majorBidi" w:cstheme="majorBidi"/>
          <w:sz w:val="24"/>
          <w:szCs w:val="24"/>
        </w:rPr>
        <w:t>Table 8</w:t>
      </w:r>
      <w:r w:rsidR="009E28CC" w:rsidRPr="00B92144">
        <w:rPr>
          <w:rFonts w:asciiTheme="majorBidi" w:hAnsiTheme="majorBidi" w:cstheme="majorBidi"/>
          <w:sz w:val="24"/>
          <w:szCs w:val="24"/>
        </w:rPr>
        <w:t xml:space="preserve">: </w:t>
      </w:r>
      <w:r w:rsidRPr="00B92144">
        <w:rPr>
          <w:rFonts w:asciiTheme="majorBidi" w:hAnsiTheme="majorBidi" w:cstheme="majorBidi"/>
          <w:sz w:val="24"/>
          <w:szCs w:val="24"/>
        </w:rPr>
        <w:t>3SLS estimation results for RD</w:t>
      </w:r>
    </w:p>
    <w:tbl>
      <w:tblPr>
        <w:tblW w:w="9900" w:type="dxa"/>
        <w:jc w:val="center"/>
        <w:tblLook w:val="04A0" w:firstRow="1" w:lastRow="0" w:firstColumn="1" w:lastColumn="0" w:noHBand="0" w:noVBand="1"/>
      </w:tblPr>
      <w:tblGrid>
        <w:gridCol w:w="2745"/>
        <w:gridCol w:w="1268"/>
        <w:gridCol w:w="990"/>
        <w:gridCol w:w="1090"/>
        <w:gridCol w:w="360"/>
        <w:gridCol w:w="1158"/>
        <w:gridCol w:w="1088"/>
        <w:gridCol w:w="1201"/>
      </w:tblGrid>
      <w:tr w:rsidR="005D748D" w:rsidRPr="00B92144" w14:paraId="3848022D" w14:textId="77777777" w:rsidTr="00A56DD4">
        <w:trPr>
          <w:trHeight w:val="300"/>
          <w:jc w:val="center"/>
        </w:trPr>
        <w:tc>
          <w:tcPr>
            <w:tcW w:w="2745" w:type="dxa"/>
            <w:tcBorders>
              <w:top w:val="single" w:sz="4" w:space="0" w:color="auto"/>
              <w:bottom w:val="single" w:sz="4" w:space="0" w:color="auto"/>
            </w:tcBorders>
            <w:shd w:val="clear" w:color="auto" w:fill="auto"/>
            <w:noWrap/>
            <w:vAlign w:val="bottom"/>
            <w:hideMark/>
          </w:tcPr>
          <w:p w14:paraId="1C23DC8E" w14:textId="77777777" w:rsidR="005D748D" w:rsidRPr="00B92144" w:rsidRDefault="005D748D" w:rsidP="005D748D">
            <w:pPr>
              <w:spacing w:after="0" w:line="240" w:lineRule="auto"/>
              <w:rPr>
                <w:rFonts w:asciiTheme="majorBidi" w:eastAsia="Times New Roman" w:hAnsiTheme="majorBidi" w:cstheme="majorBidi"/>
              </w:rPr>
            </w:pPr>
          </w:p>
        </w:tc>
        <w:tc>
          <w:tcPr>
            <w:tcW w:w="3348" w:type="dxa"/>
            <w:gridSpan w:val="3"/>
            <w:tcBorders>
              <w:top w:val="single" w:sz="4" w:space="0" w:color="auto"/>
              <w:bottom w:val="single" w:sz="4" w:space="0" w:color="auto"/>
            </w:tcBorders>
            <w:shd w:val="clear" w:color="auto" w:fill="auto"/>
            <w:noWrap/>
            <w:vAlign w:val="bottom"/>
            <w:hideMark/>
          </w:tcPr>
          <w:p w14:paraId="26D0EE2F" w14:textId="2EF917AF" w:rsidR="005D748D" w:rsidRPr="00B92144" w:rsidRDefault="005D748D" w:rsidP="005D748D">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PANEL A: R</w:t>
            </w:r>
            <w:r w:rsidR="00A56DD4" w:rsidRPr="00B92144">
              <w:rPr>
                <w:rFonts w:asciiTheme="majorBidi" w:eastAsia="Times New Roman" w:hAnsiTheme="majorBidi" w:cstheme="majorBidi"/>
                <w:b/>
                <w:color w:val="000000"/>
              </w:rPr>
              <w:t>R</w:t>
            </w:r>
            <w:r w:rsidRPr="00B92144">
              <w:rPr>
                <w:rFonts w:asciiTheme="majorBidi" w:eastAsia="Times New Roman" w:hAnsiTheme="majorBidi" w:cstheme="majorBidi"/>
                <w:b/>
                <w:color w:val="000000"/>
              </w:rPr>
              <w:t>D equation</w:t>
            </w:r>
          </w:p>
        </w:tc>
        <w:tc>
          <w:tcPr>
            <w:tcW w:w="360" w:type="dxa"/>
            <w:tcBorders>
              <w:top w:val="single" w:sz="4" w:space="0" w:color="auto"/>
              <w:bottom w:val="single" w:sz="4" w:space="0" w:color="auto"/>
            </w:tcBorders>
            <w:shd w:val="clear" w:color="auto" w:fill="auto"/>
            <w:noWrap/>
            <w:vAlign w:val="bottom"/>
            <w:hideMark/>
          </w:tcPr>
          <w:p w14:paraId="384E3633" w14:textId="77777777" w:rsidR="005D748D" w:rsidRPr="00B92144" w:rsidRDefault="005D748D" w:rsidP="005D748D">
            <w:pPr>
              <w:spacing w:after="0" w:line="240" w:lineRule="auto"/>
              <w:jc w:val="center"/>
              <w:rPr>
                <w:rFonts w:asciiTheme="majorBidi" w:eastAsia="Times New Roman" w:hAnsiTheme="majorBidi" w:cstheme="majorBidi"/>
                <w:b/>
                <w:color w:val="000000"/>
              </w:rPr>
            </w:pPr>
          </w:p>
        </w:tc>
        <w:tc>
          <w:tcPr>
            <w:tcW w:w="3447" w:type="dxa"/>
            <w:gridSpan w:val="3"/>
            <w:tcBorders>
              <w:top w:val="single" w:sz="4" w:space="0" w:color="auto"/>
              <w:bottom w:val="single" w:sz="4" w:space="0" w:color="auto"/>
            </w:tcBorders>
            <w:shd w:val="clear" w:color="auto" w:fill="auto"/>
            <w:noWrap/>
            <w:vAlign w:val="bottom"/>
            <w:hideMark/>
          </w:tcPr>
          <w:p w14:paraId="2B82140D" w14:textId="77777777" w:rsidR="005D748D" w:rsidRPr="00B92144" w:rsidRDefault="005D748D" w:rsidP="005D748D">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PANEL B: Performance equation</w:t>
            </w:r>
          </w:p>
        </w:tc>
      </w:tr>
      <w:tr w:rsidR="005D748D" w:rsidRPr="00B92144" w14:paraId="4713301D" w14:textId="77777777" w:rsidTr="00A56DD4">
        <w:trPr>
          <w:trHeight w:val="243"/>
          <w:jc w:val="center"/>
        </w:trPr>
        <w:tc>
          <w:tcPr>
            <w:tcW w:w="2745" w:type="dxa"/>
            <w:tcBorders>
              <w:top w:val="single" w:sz="4" w:space="0" w:color="auto"/>
              <w:bottom w:val="single" w:sz="4" w:space="0" w:color="auto"/>
            </w:tcBorders>
            <w:shd w:val="clear" w:color="auto" w:fill="auto"/>
            <w:noWrap/>
            <w:vAlign w:val="bottom"/>
            <w:hideMark/>
          </w:tcPr>
          <w:p w14:paraId="3D884ED1" w14:textId="77777777" w:rsidR="005D748D" w:rsidRPr="00B92144" w:rsidRDefault="005D748D" w:rsidP="005D748D">
            <w:pPr>
              <w:spacing w:after="0" w:line="240" w:lineRule="auto"/>
              <w:rPr>
                <w:rFonts w:asciiTheme="majorBidi" w:eastAsia="Times New Roman" w:hAnsiTheme="majorBidi" w:cstheme="majorBidi"/>
                <w:color w:val="000000"/>
              </w:rPr>
            </w:pPr>
          </w:p>
        </w:tc>
        <w:tc>
          <w:tcPr>
            <w:tcW w:w="1268" w:type="dxa"/>
            <w:tcBorders>
              <w:top w:val="single" w:sz="4" w:space="0" w:color="auto"/>
              <w:bottom w:val="single" w:sz="4" w:space="0" w:color="auto"/>
            </w:tcBorders>
            <w:shd w:val="clear" w:color="auto" w:fill="auto"/>
            <w:noWrap/>
            <w:vAlign w:val="bottom"/>
            <w:hideMark/>
          </w:tcPr>
          <w:p w14:paraId="314472EE" w14:textId="77777777" w:rsidR="005D748D" w:rsidRPr="00B92144" w:rsidRDefault="005D748D" w:rsidP="005D748D">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Coef</w:t>
            </w:r>
          </w:p>
        </w:tc>
        <w:tc>
          <w:tcPr>
            <w:tcW w:w="990" w:type="dxa"/>
            <w:tcBorders>
              <w:top w:val="single" w:sz="4" w:space="0" w:color="auto"/>
              <w:bottom w:val="single" w:sz="4" w:space="0" w:color="auto"/>
            </w:tcBorders>
            <w:shd w:val="clear" w:color="auto" w:fill="auto"/>
            <w:noWrap/>
            <w:vAlign w:val="bottom"/>
            <w:hideMark/>
          </w:tcPr>
          <w:p w14:paraId="29F9E77C" w14:textId="77777777" w:rsidR="005D748D" w:rsidRPr="00B92144" w:rsidRDefault="005D748D" w:rsidP="005D748D">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T-stat</w:t>
            </w:r>
          </w:p>
        </w:tc>
        <w:tc>
          <w:tcPr>
            <w:tcW w:w="1090" w:type="dxa"/>
            <w:tcBorders>
              <w:top w:val="single" w:sz="4" w:space="0" w:color="auto"/>
              <w:bottom w:val="single" w:sz="4" w:space="0" w:color="auto"/>
            </w:tcBorders>
            <w:shd w:val="clear" w:color="auto" w:fill="auto"/>
            <w:noWrap/>
            <w:vAlign w:val="bottom"/>
            <w:hideMark/>
          </w:tcPr>
          <w:p w14:paraId="73323D69" w14:textId="77777777" w:rsidR="005D748D" w:rsidRPr="00B92144" w:rsidRDefault="005D748D" w:rsidP="005D748D">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P-value</w:t>
            </w:r>
          </w:p>
        </w:tc>
        <w:tc>
          <w:tcPr>
            <w:tcW w:w="360" w:type="dxa"/>
            <w:tcBorders>
              <w:top w:val="single" w:sz="4" w:space="0" w:color="auto"/>
              <w:bottom w:val="single" w:sz="4" w:space="0" w:color="auto"/>
            </w:tcBorders>
            <w:shd w:val="clear" w:color="auto" w:fill="auto"/>
            <w:noWrap/>
            <w:vAlign w:val="bottom"/>
            <w:hideMark/>
          </w:tcPr>
          <w:p w14:paraId="696ADC47" w14:textId="77777777" w:rsidR="005D748D" w:rsidRPr="00B92144" w:rsidRDefault="005D748D" w:rsidP="005D748D">
            <w:pPr>
              <w:spacing w:after="0" w:line="240" w:lineRule="auto"/>
              <w:jc w:val="center"/>
              <w:rPr>
                <w:rFonts w:asciiTheme="majorBidi" w:eastAsia="Times New Roman" w:hAnsiTheme="majorBidi" w:cstheme="majorBidi"/>
                <w:color w:val="000000"/>
              </w:rPr>
            </w:pPr>
          </w:p>
        </w:tc>
        <w:tc>
          <w:tcPr>
            <w:tcW w:w="1158" w:type="dxa"/>
            <w:tcBorders>
              <w:top w:val="single" w:sz="4" w:space="0" w:color="auto"/>
              <w:bottom w:val="single" w:sz="4" w:space="0" w:color="auto"/>
            </w:tcBorders>
            <w:shd w:val="clear" w:color="auto" w:fill="auto"/>
            <w:noWrap/>
            <w:vAlign w:val="bottom"/>
            <w:hideMark/>
          </w:tcPr>
          <w:p w14:paraId="439188CD" w14:textId="77777777" w:rsidR="005D748D" w:rsidRPr="00B92144" w:rsidRDefault="005D748D" w:rsidP="005D748D">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Coef</w:t>
            </w:r>
          </w:p>
        </w:tc>
        <w:tc>
          <w:tcPr>
            <w:tcW w:w="1088" w:type="dxa"/>
            <w:tcBorders>
              <w:top w:val="single" w:sz="4" w:space="0" w:color="auto"/>
              <w:bottom w:val="single" w:sz="4" w:space="0" w:color="auto"/>
            </w:tcBorders>
            <w:shd w:val="clear" w:color="auto" w:fill="auto"/>
            <w:noWrap/>
            <w:vAlign w:val="bottom"/>
            <w:hideMark/>
          </w:tcPr>
          <w:p w14:paraId="413A07B9" w14:textId="77777777" w:rsidR="005D748D" w:rsidRPr="00B92144" w:rsidRDefault="005D748D" w:rsidP="005D748D">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T-stat</w:t>
            </w:r>
          </w:p>
        </w:tc>
        <w:tc>
          <w:tcPr>
            <w:tcW w:w="1201" w:type="dxa"/>
            <w:tcBorders>
              <w:top w:val="single" w:sz="4" w:space="0" w:color="auto"/>
              <w:bottom w:val="single" w:sz="4" w:space="0" w:color="auto"/>
            </w:tcBorders>
            <w:shd w:val="clear" w:color="auto" w:fill="auto"/>
            <w:noWrap/>
            <w:vAlign w:val="bottom"/>
            <w:hideMark/>
          </w:tcPr>
          <w:p w14:paraId="6A472995" w14:textId="77777777" w:rsidR="005D748D" w:rsidRPr="00B92144" w:rsidRDefault="005D748D" w:rsidP="005D748D">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P-value</w:t>
            </w:r>
          </w:p>
        </w:tc>
      </w:tr>
      <w:tr w:rsidR="005D748D" w:rsidRPr="00B92144" w14:paraId="14900AE3" w14:textId="77777777" w:rsidTr="00A56DD4">
        <w:trPr>
          <w:trHeight w:val="300"/>
          <w:jc w:val="center"/>
        </w:trPr>
        <w:tc>
          <w:tcPr>
            <w:tcW w:w="2745" w:type="dxa"/>
            <w:tcBorders>
              <w:top w:val="single" w:sz="4" w:space="0" w:color="auto"/>
            </w:tcBorders>
            <w:shd w:val="clear" w:color="auto" w:fill="auto"/>
            <w:noWrap/>
            <w:vAlign w:val="bottom"/>
            <w:hideMark/>
          </w:tcPr>
          <w:p w14:paraId="4629B375" w14:textId="77777777" w:rsidR="005D748D" w:rsidRPr="00B92144" w:rsidRDefault="005D748D" w:rsidP="005D748D">
            <w:pPr>
              <w:spacing w:after="0" w:line="240" w:lineRule="auto"/>
              <w:rPr>
                <w:rFonts w:asciiTheme="majorBidi" w:eastAsia="Times New Roman" w:hAnsiTheme="majorBidi" w:cstheme="majorBidi"/>
                <w:color w:val="000000"/>
              </w:rPr>
            </w:pPr>
          </w:p>
        </w:tc>
        <w:tc>
          <w:tcPr>
            <w:tcW w:w="1268" w:type="dxa"/>
            <w:tcBorders>
              <w:top w:val="single" w:sz="4" w:space="0" w:color="auto"/>
            </w:tcBorders>
            <w:shd w:val="clear" w:color="auto" w:fill="auto"/>
            <w:noWrap/>
            <w:vAlign w:val="bottom"/>
            <w:hideMark/>
          </w:tcPr>
          <w:p w14:paraId="48D6710F" w14:textId="77777777" w:rsidR="005D748D" w:rsidRPr="00B92144" w:rsidRDefault="005D748D" w:rsidP="005D748D">
            <w:pPr>
              <w:spacing w:after="0" w:line="240" w:lineRule="auto"/>
              <w:rPr>
                <w:rFonts w:asciiTheme="majorBidi" w:eastAsia="Times New Roman" w:hAnsiTheme="majorBidi" w:cstheme="majorBidi"/>
              </w:rPr>
            </w:pPr>
          </w:p>
        </w:tc>
        <w:tc>
          <w:tcPr>
            <w:tcW w:w="990" w:type="dxa"/>
            <w:tcBorders>
              <w:top w:val="single" w:sz="4" w:space="0" w:color="auto"/>
            </w:tcBorders>
            <w:shd w:val="clear" w:color="auto" w:fill="auto"/>
            <w:noWrap/>
            <w:vAlign w:val="bottom"/>
            <w:hideMark/>
          </w:tcPr>
          <w:p w14:paraId="65BC3951" w14:textId="77777777" w:rsidR="005D748D" w:rsidRPr="00B92144" w:rsidRDefault="005D748D" w:rsidP="005D748D">
            <w:pPr>
              <w:spacing w:after="0" w:line="240" w:lineRule="auto"/>
              <w:rPr>
                <w:rFonts w:asciiTheme="majorBidi" w:eastAsia="Times New Roman" w:hAnsiTheme="majorBidi" w:cstheme="majorBidi"/>
              </w:rPr>
            </w:pPr>
          </w:p>
        </w:tc>
        <w:tc>
          <w:tcPr>
            <w:tcW w:w="1090" w:type="dxa"/>
            <w:tcBorders>
              <w:top w:val="single" w:sz="4" w:space="0" w:color="auto"/>
            </w:tcBorders>
            <w:shd w:val="clear" w:color="auto" w:fill="auto"/>
            <w:noWrap/>
            <w:vAlign w:val="bottom"/>
            <w:hideMark/>
          </w:tcPr>
          <w:p w14:paraId="00EFD5B6" w14:textId="77777777" w:rsidR="005D748D" w:rsidRPr="00B92144" w:rsidRDefault="005D748D" w:rsidP="005D748D">
            <w:pPr>
              <w:spacing w:after="0" w:line="240" w:lineRule="auto"/>
              <w:rPr>
                <w:rFonts w:asciiTheme="majorBidi" w:eastAsia="Times New Roman" w:hAnsiTheme="majorBidi" w:cstheme="majorBidi"/>
              </w:rPr>
            </w:pPr>
          </w:p>
        </w:tc>
        <w:tc>
          <w:tcPr>
            <w:tcW w:w="360" w:type="dxa"/>
            <w:tcBorders>
              <w:top w:val="single" w:sz="4" w:space="0" w:color="auto"/>
            </w:tcBorders>
            <w:shd w:val="clear" w:color="auto" w:fill="auto"/>
            <w:noWrap/>
            <w:vAlign w:val="bottom"/>
            <w:hideMark/>
          </w:tcPr>
          <w:p w14:paraId="0BE64F35" w14:textId="77777777" w:rsidR="005D748D" w:rsidRPr="00B92144" w:rsidRDefault="005D748D" w:rsidP="005D748D">
            <w:pPr>
              <w:spacing w:after="0" w:line="240" w:lineRule="auto"/>
              <w:rPr>
                <w:rFonts w:asciiTheme="majorBidi" w:eastAsia="Times New Roman" w:hAnsiTheme="majorBidi" w:cstheme="majorBidi"/>
              </w:rPr>
            </w:pPr>
          </w:p>
        </w:tc>
        <w:tc>
          <w:tcPr>
            <w:tcW w:w="1158" w:type="dxa"/>
            <w:tcBorders>
              <w:top w:val="single" w:sz="4" w:space="0" w:color="auto"/>
            </w:tcBorders>
            <w:shd w:val="clear" w:color="auto" w:fill="auto"/>
            <w:noWrap/>
            <w:vAlign w:val="bottom"/>
            <w:hideMark/>
          </w:tcPr>
          <w:p w14:paraId="1D795E8D" w14:textId="77777777" w:rsidR="005D748D" w:rsidRPr="00B92144" w:rsidRDefault="005D748D" w:rsidP="005D748D">
            <w:pPr>
              <w:spacing w:after="0" w:line="240" w:lineRule="auto"/>
              <w:rPr>
                <w:rFonts w:asciiTheme="majorBidi" w:eastAsia="Times New Roman" w:hAnsiTheme="majorBidi" w:cstheme="majorBidi"/>
              </w:rPr>
            </w:pPr>
          </w:p>
        </w:tc>
        <w:tc>
          <w:tcPr>
            <w:tcW w:w="1088" w:type="dxa"/>
            <w:tcBorders>
              <w:top w:val="single" w:sz="4" w:space="0" w:color="auto"/>
            </w:tcBorders>
            <w:shd w:val="clear" w:color="auto" w:fill="auto"/>
            <w:noWrap/>
            <w:vAlign w:val="bottom"/>
            <w:hideMark/>
          </w:tcPr>
          <w:p w14:paraId="542D1256" w14:textId="77777777" w:rsidR="005D748D" w:rsidRPr="00B92144" w:rsidRDefault="005D748D" w:rsidP="005D748D">
            <w:pPr>
              <w:spacing w:after="0" w:line="240" w:lineRule="auto"/>
              <w:rPr>
                <w:rFonts w:asciiTheme="majorBidi" w:eastAsia="Times New Roman" w:hAnsiTheme="majorBidi" w:cstheme="majorBidi"/>
              </w:rPr>
            </w:pPr>
          </w:p>
        </w:tc>
        <w:tc>
          <w:tcPr>
            <w:tcW w:w="1201" w:type="dxa"/>
            <w:tcBorders>
              <w:top w:val="single" w:sz="4" w:space="0" w:color="auto"/>
            </w:tcBorders>
            <w:shd w:val="clear" w:color="auto" w:fill="auto"/>
            <w:noWrap/>
            <w:vAlign w:val="bottom"/>
            <w:hideMark/>
          </w:tcPr>
          <w:p w14:paraId="60255DE5" w14:textId="77777777" w:rsidR="005D748D" w:rsidRPr="00B92144" w:rsidRDefault="005D748D" w:rsidP="005D748D">
            <w:pPr>
              <w:spacing w:after="0" w:line="240" w:lineRule="auto"/>
              <w:rPr>
                <w:rFonts w:asciiTheme="majorBidi" w:eastAsia="Times New Roman" w:hAnsiTheme="majorBidi" w:cstheme="majorBidi"/>
              </w:rPr>
            </w:pPr>
          </w:p>
        </w:tc>
      </w:tr>
      <w:tr w:rsidR="005D748D" w:rsidRPr="00B92144" w14:paraId="2DF9AA18" w14:textId="77777777" w:rsidTr="00A56DD4">
        <w:trPr>
          <w:trHeight w:val="300"/>
          <w:jc w:val="center"/>
        </w:trPr>
        <w:tc>
          <w:tcPr>
            <w:tcW w:w="2745" w:type="dxa"/>
            <w:shd w:val="clear" w:color="auto" w:fill="auto"/>
            <w:noWrap/>
            <w:vAlign w:val="bottom"/>
            <w:hideMark/>
          </w:tcPr>
          <w:p w14:paraId="74FE6121" w14:textId="77777777" w:rsidR="005D748D" w:rsidRPr="00B92144" w:rsidRDefault="00976DC0"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 xml:space="preserve">∆ </w:t>
            </w:r>
            <w:r w:rsidR="005D748D" w:rsidRPr="00B92144">
              <w:rPr>
                <w:rFonts w:asciiTheme="majorBidi" w:eastAsia="Times New Roman" w:hAnsiTheme="majorBidi" w:cstheme="majorBidi"/>
                <w:color w:val="000000"/>
              </w:rPr>
              <w:t>ROA</w:t>
            </w:r>
          </w:p>
        </w:tc>
        <w:tc>
          <w:tcPr>
            <w:tcW w:w="1268" w:type="dxa"/>
            <w:shd w:val="clear" w:color="auto" w:fill="auto"/>
            <w:noWrap/>
            <w:vAlign w:val="bottom"/>
          </w:tcPr>
          <w:p w14:paraId="5DE137CE" w14:textId="77777777" w:rsidR="005D748D" w:rsidRPr="00B92144" w:rsidRDefault="00976DC0" w:rsidP="000F4DB4">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-2.49</w:t>
            </w:r>
          </w:p>
        </w:tc>
        <w:tc>
          <w:tcPr>
            <w:tcW w:w="990" w:type="dxa"/>
            <w:shd w:val="clear" w:color="auto" w:fill="auto"/>
            <w:noWrap/>
            <w:vAlign w:val="bottom"/>
          </w:tcPr>
          <w:p w14:paraId="2426CDC1" w14:textId="77777777" w:rsidR="005D748D" w:rsidRPr="00B92144" w:rsidRDefault="00976DC0" w:rsidP="000F4DB4">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1.69</w:t>
            </w:r>
          </w:p>
        </w:tc>
        <w:tc>
          <w:tcPr>
            <w:tcW w:w="1090" w:type="dxa"/>
            <w:shd w:val="clear" w:color="auto" w:fill="auto"/>
            <w:noWrap/>
            <w:vAlign w:val="bottom"/>
          </w:tcPr>
          <w:p w14:paraId="7FB01883" w14:textId="77777777" w:rsidR="005D748D" w:rsidRPr="00B92144" w:rsidRDefault="00976DC0" w:rsidP="000F4DB4">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0.07***</w:t>
            </w:r>
          </w:p>
        </w:tc>
        <w:tc>
          <w:tcPr>
            <w:tcW w:w="360" w:type="dxa"/>
            <w:shd w:val="clear" w:color="auto" w:fill="auto"/>
            <w:noWrap/>
            <w:vAlign w:val="bottom"/>
          </w:tcPr>
          <w:p w14:paraId="21A94AA9" w14:textId="77777777" w:rsidR="005D748D" w:rsidRPr="00B92144" w:rsidRDefault="005D748D" w:rsidP="000F4DB4">
            <w:pPr>
              <w:spacing w:after="0" w:line="240" w:lineRule="auto"/>
              <w:jc w:val="center"/>
              <w:rPr>
                <w:rFonts w:asciiTheme="majorBidi" w:eastAsia="Times New Roman" w:hAnsiTheme="majorBidi" w:cstheme="majorBidi"/>
                <w:color w:val="000000"/>
              </w:rPr>
            </w:pPr>
          </w:p>
        </w:tc>
        <w:tc>
          <w:tcPr>
            <w:tcW w:w="1158" w:type="dxa"/>
            <w:shd w:val="clear" w:color="auto" w:fill="auto"/>
            <w:noWrap/>
            <w:vAlign w:val="bottom"/>
          </w:tcPr>
          <w:p w14:paraId="76A1EC9D" w14:textId="77777777" w:rsidR="005D748D" w:rsidRPr="00B92144" w:rsidRDefault="005D748D" w:rsidP="000F4DB4">
            <w:pPr>
              <w:spacing w:after="0" w:line="240" w:lineRule="auto"/>
              <w:jc w:val="center"/>
              <w:rPr>
                <w:rFonts w:asciiTheme="majorBidi" w:eastAsia="Times New Roman" w:hAnsiTheme="majorBidi" w:cstheme="majorBidi"/>
                <w:color w:val="000000"/>
              </w:rPr>
            </w:pPr>
          </w:p>
        </w:tc>
        <w:tc>
          <w:tcPr>
            <w:tcW w:w="1088" w:type="dxa"/>
            <w:shd w:val="clear" w:color="auto" w:fill="auto"/>
            <w:noWrap/>
            <w:vAlign w:val="bottom"/>
          </w:tcPr>
          <w:p w14:paraId="3CFF3E38" w14:textId="77777777" w:rsidR="005D748D" w:rsidRPr="00B92144" w:rsidRDefault="005D748D" w:rsidP="000F4DB4">
            <w:pPr>
              <w:spacing w:after="0" w:line="240" w:lineRule="auto"/>
              <w:jc w:val="center"/>
              <w:rPr>
                <w:rFonts w:asciiTheme="majorBidi" w:eastAsia="Times New Roman" w:hAnsiTheme="majorBidi" w:cstheme="majorBidi"/>
                <w:color w:val="000000"/>
              </w:rPr>
            </w:pPr>
          </w:p>
        </w:tc>
        <w:tc>
          <w:tcPr>
            <w:tcW w:w="1201" w:type="dxa"/>
            <w:shd w:val="clear" w:color="auto" w:fill="auto"/>
            <w:noWrap/>
            <w:vAlign w:val="bottom"/>
          </w:tcPr>
          <w:p w14:paraId="2702B580" w14:textId="77777777" w:rsidR="005D748D" w:rsidRPr="00B92144" w:rsidRDefault="005D748D" w:rsidP="000F4DB4">
            <w:pPr>
              <w:spacing w:after="0" w:line="240" w:lineRule="auto"/>
              <w:jc w:val="center"/>
              <w:rPr>
                <w:rFonts w:asciiTheme="majorBidi" w:eastAsia="Times New Roman" w:hAnsiTheme="majorBidi" w:cstheme="majorBidi"/>
                <w:color w:val="000000"/>
              </w:rPr>
            </w:pPr>
          </w:p>
        </w:tc>
      </w:tr>
      <w:tr w:rsidR="00DA0EBC" w:rsidRPr="00B92144" w14:paraId="0E9639EA" w14:textId="77777777" w:rsidTr="00A56DD4">
        <w:trPr>
          <w:trHeight w:val="300"/>
          <w:jc w:val="center"/>
        </w:trPr>
        <w:tc>
          <w:tcPr>
            <w:tcW w:w="2745" w:type="dxa"/>
            <w:shd w:val="clear" w:color="auto" w:fill="auto"/>
            <w:noWrap/>
            <w:vAlign w:val="bottom"/>
          </w:tcPr>
          <w:p w14:paraId="5DFF3634" w14:textId="23A84AE4" w:rsidR="00DA0EBC" w:rsidRPr="00B92144" w:rsidRDefault="00EB3533" w:rsidP="00DA0EBC">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R</w:t>
            </w:r>
            <w:r w:rsidR="00DA0EBC" w:rsidRPr="00B92144">
              <w:rPr>
                <w:rFonts w:asciiTheme="majorBidi" w:eastAsia="Times New Roman" w:hAnsiTheme="majorBidi" w:cstheme="majorBidi"/>
                <w:color w:val="000000"/>
              </w:rPr>
              <w:t>RD</w:t>
            </w:r>
          </w:p>
        </w:tc>
        <w:tc>
          <w:tcPr>
            <w:tcW w:w="1268" w:type="dxa"/>
            <w:shd w:val="clear" w:color="auto" w:fill="auto"/>
            <w:noWrap/>
            <w:vAlign w:val="bottom"/>
          </w:tcPr>
          <w:p w14:paraId="22CF60C7" w14:textId="77777777" w:rsidR="00DA0EBC" w:rsidRPr="00B92144" w:rsidRDefault="00DA0EBC" w:rsidP="00DA0EBC">
            <w:pPr>
              <w:spacing w:after="0" w:line="240" w:lineRule="auto"/>
              <w:jc w:val="center"/>
              <w:rPr>
                <w:rFonts w:asciiTheme="majorBidi" w:eastAsia="Times New Roman" w:hAnsiTheme="majorBidi" w:cstheme="majorBidi"/>
                <w:b/>
                <w:bCs/>
                <w:color w:val="000000"/>
              </w:rPr>
            </w:pPr>
          </w:p>
        </w:tc>
        <w:tc>
          <w:tcPr>
            <w:tcW w:w="990" w:type="dxa"/>
            <w:shd w:val="clear" w:color="auto" w:fill="auto"/>
            <w:noWrap/>
            <w:vAlign w:val="bottom"/>
          </w:tcPr>
          <w:p w14:paraId="08C07DC0" w14:textId="77777777" w:rsidR="00DA0EBC" w:rsidRPr="00B92144" w:rsidRDefault="00DA0EBC" w:rsidP="00DA0EBC">
            <w:pPr>
              <w:spacing w:after="0" w:line="240" w:lineRule="auto"/>
              <w:jc w:val="center"/>
              <w:rPr>
                <w:rFonts w:asciiTheme="majorBidi" w:eastAsia="Times New Roman" w:hAnsiTheme="majorBidi" w:cstheme="majorBidi"/>
                <w:b/>
                <w:bCs/>
                <w:color w:val="000000"/>
              </w:rPr>
            </w:pPr>
          </w:p>
        </w:tc>
        <w:tc>
          <w:tcPr>
            <w:tcW w:w="1090" w:type="dxa"/>
            <w:shd w:val="clear" w:color="auto" w:fill="auto"/>
            <w:noWrap/>
            <w:vAlign w:val="bottom"/>
          </w:tcPr>
          <w:p w14:paraId="5BA4DEDA" w14:textId="77777777" w:rsidR="00DA0EBC" w:rsidRPr="00B92144" w:rsidRDefault="00DA0EBC" w:rsidP="00DA0EBC">
            <w:pPr>
              <w:spacing w:after="0" w:line="240" w:lineRule="auto"/>
              <w:jc w:val="center"/>
              <w:rPr>
                <w:rFonts w:asciiTheme="majorBidi" w:eastAsia="Times New Roman" w:hAnsiTheme="majorBidi" w:cstheme="majorBidi"/>
                <w:b/>
                <w:bCs/>
                <w:color w:val="000000"/>
              </w:rPr>
            </w:pPr>
          </w:p>
        </w:tc>
        <w:tc>
          <w:tcPr>
            <w:tcW w:w="360" w:type="dxa"/>
            <w:shd w:val="clear" w:color="auto" w:fill="auto"/>
            <w:noWrap/>
            <w:vAlign w:val="bottom"/>
          </w:tcPr>
          <w:p w14:paraId="5F06428F" w14:textId="77777777" w:rsidR="00DA0EBC" w:rsidRPr="00B92144" w:rsidRDefault="00DA0EBC" w:rsidP="00DA0EBC">
            <w:pPr>
              <w:spacing w:after="0" w:line="240" w:lineRule="auto"/>
              <w:jc w:val="center"/>
              <w:rPr>
                <w:rFonts w:asciiTheme="majorBidi" w:eastAsia="Times New Roman" w:hAnsiTheme="majorBidi" w:cstheme="majorBidi"/>
                <w:b/>
                <w:bCs/>
                <w:color w:val="000000"/>
              </w:rPr>
            </w:pPr>
          </w:p>
        </w:tc>
        <w:tc>
          <w:tcPr>
            <w:tcW w:w="1158" w:type="dxa"/>
            <w:shd w:val="clear" w:color="auto" w:fill="auto"/>
            <w:noWrap/>
            <w:vAlign w:val="bottom"/>
          </w:tcPr>
          <w:p w14:paraId="0E346156" w14:textId="77777777" w:rsidR="00DA0EBC" w:rsidRPr="00B92144" w:rsidRDefault="00DA0EBC" w:rsidP="00DA0EBC">
            <w:pPr>
              <w:spacing w:after="0" w:line="240" w:lineRule="auto"/>
              <w:jc w:val="center"/>
              <w:rPr>
                <w:rFonts w:asciiTheme="majorBidi" w:eastAsia="Times New Roman" w:hAnsiTheme="majorBidi" w:cstheme="majorBidi"/>
                <w:bCs/>
                <w:color w:val="000000"/>
              </w:rPr>
            </w:pPr>
            <w:r w:rsidRPr="00B92144">
              <w:rPr>
                <w:rFonts w:asciiTheme="majorBidi" w:eastAsia="Times New Roman" w:hAnsiTheme="majorBidi" w:cstheme="majorBidi"/>
                <w:bCs/>
                <w:color w:val="000000"/>
              </w:rPr>
              <w:t>0.006</w:t>
            </w:r>
          </w:p>
        </w:tc>
        <w:tc>
          <w:tcPr>
            <w:tcW w:w="1088" w:type="dxa"/>
            <w:shd w:val="clear" w:color="auto" w:fill="auto"/>
            <w:noWrap/>
            <w:vAlign w:val="bottom"/>
          </w:tcPr>
          <w:p w14:paraId="0A86DD9D" w14:textId="77777777" w:rsidR="00DA0EBC" w:rsidRPr="00B92144" w:rsidRDefault="00DA0EBC" w:rsidP="00DA0EBC">
            <w:pPr>
              <w:spacing w:after="0" w:line="240" w:lineRule="auto"/>
              <w:jc w:val="center"/>
              <w:rPr>
                <w:rFonts w:asciiTheme="majorBidi" w:eastAsia="Times New Roman" w:hAnsiTheme="majorBidi" w:cstheme="majorBidi"/>
                <w:bCs/>
                <w:color w:val="000000"/>
              </w:rPr>
            </w:pPr>
            <w:r w:rsidRPr="00B92144">
              <w:rPr>
                <w:rFonts w:asciiTheme="majorBidi" w:eastAsia="Times New Roman" w:hAnsiTheme="majorBidi" w:cstheme="majorBidi"/>
                <w:bCs/>
                <w:color w:val="000000"/>
              </w:rPr>
              <w:t>0.97</w:t>
            </w:r>
          </w:p>
        </w:tc>
        <w:tc>
          <w:tcPr>
            <w:tcW w:w="1201" w:type="dxa"/>
            <w:shd w:val="clear" w:color="auto" w:fill="auto"/>
            <w:noWrap/>
            <w:vAlign w:val="bottom"/>
          </w:tcPr>
          <w:p w14:paraId="72F07A71" w14:textId="77777777" w:rsidR="00DA0EBC" w:rsidRPr="00B92144" w:rsidRDefault="00DA0EBC" w:rsidP="00DA0EBC">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0.512</w:t>
            </w:r>
          </w:p>
        </w:tc>
      </w:tr>
      <w:tr w:rsidR="005D748D" w:rsidRPr="00B92144" w14:paraId="56EBB9A6" w14:textId="77777777" w:rsidTr="00A56DD4">
        <w:trPr>
          <w:trHeight w:val="300"/>
          <w:jc w:val="center"/>
        </w:trPr>
        <w:tc>
          <w:tcPr>
            <w:tcW w:w="2745" w:type="dxa"/>
            <w:shd w:val="clear" w:color="auto" w:fill="auto"/>
            <w:noWrap/>
            <w:vAlign w:val="bottom"/>
            <w:hideMark/>
          </w:tcPr>
          <w:p w14:paraId="34387909" w14:textId="77777777" w:rsidR="005D748D" w:rsidRPr="00B92144" w:rsidRDefault="005D748D"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LIST</w:t>
            </w:r>
          </w:p>
        </w:tc>
        <w:tc>
          <w:tcPr>
            <w:tcW w:w="1268" w:type="dxa"/>
            <w:shd w:val="clear" w:color="auto" w:fill="auto"/>
            <w:noWrap/>
            <w:vAlign w:val="bottom"/>
          </w:tcPr>
          <w:p w14:paraId="75881C7E"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55.91</w:t>
            </w:r>
          </w:p>
        </w:tc>
        <w:tc>
          <w:tcPr>
            <w:tcW w:w="990" w:type="dxa"/>
            <w:shd w:val="clear" w:color="auto" w:fill="auto"/>
            <w:noWrap/>
            <w:vAlign w:val="bottom"/>
          </w:tcPr>
          <w:p w14:paraId="01B9FFE5"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2.12</w:t>
            </w:r>
          </w:p>
        </w:tc>
        <w:tc>
          <w:tcPr>
            <w:tcW w:w="1090" w:type="dxa"/>
            <w:shd w:val="clear" w:color="auto" w:fill="auto"/>
            <w:noWrap/>
            <w:vAlign w:val="bottom"/>
          </w:tcPr>
          <w:p w14:paraId="579A99E1"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0.34**</w:t>
            </w:r>
          </w:p>
        </w:tc>
        <w:tc>
          <w:tcPr>
            <w:tcW w:w="360" w:type="dxa"/>
            <w:shd w:val="clear" w:color="auto" w:fill="auto"/>
            <w:noWrap/>
            <w:vAlign w:val="bottom"/>
          </w:tcPr>
          <w:p w14:paraId="610E3497" w14:textId="77777777" w:rsidR="005D748D" w:rsidRPr="00B92144" w:rsidRDefault="005D748D" w:rsidP="000F4DB4">
            <w:pPr>
              <w:spacing w:after="0" w:line="240" w:lineRule="auto"/>
              <w:jc w:val="center"/>
              <w:rPr>
                <w:rFonts w:asciiTheme="majorBidi" w:eastAsia="Times New Roman" w:hAnsiTheme="majorBidi" w:cstheme="majorBidi"/>
                <w:b/>
                <w:bCs/>
                <w:color w:val="000000"/>
              </w:rPr>
            </w:pPr>
          </w:p>
        </w:tc>
        <w:tc>
          <w:tcPr>
            <w:tcW w:w="1158" w:type="dxa"/>
            <w:shd w:val="clear" w:color="auto" w:fill="auto"/>
            <w:noWrap/>
            <w:vAlign w:val="bottom"/>
          </w:tcPr>
          <w:p w14:paraId="79046C41" w14:textId="77777777" w:rsidR="005D748D" w:rsidRPr="00B92144" w:rsidRDefault="00E4590E" w:rsidP="000F4DB4">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0.07</w:t>
            </w:r>
          </w:p>
        </w:tc>
        <w:tc>
          <w:tcPr>
            <w:tcW w:w="1088" w:type="dxa"/>
            <w:shd w:val="clear" w:color="auto" w:fill="auto"/>
            <w:noWrap/>
            <w:vAlign w:val="bottom"/>
          </w:tcPr>
          <w:p w14:paraId="39B9ECEE" w14:textId="77777777" w:rsidR="005D748D" w:rsidRPr="00B92144" w:rsidRDefault="00E4590E" w:rsidP="000F4DB4">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2.04</w:t>
            </w:r>
          </w:p>
        </w:tc>
        <w:tc>
          <w:tcPr>
            <w:tcW w:w="1201" w:type="dxa"/>
            <w:shd w:val="clear" w:color="auto" w:fill="auto"/>
            <w:noWrap/>
            <w:vAlign w:val="bottom"/>
          </w:tcPr>
          <w:p w14:paraId="2CC32EEB" w14:textId="77777777" w:rsidR="005D748D" w:rsidRPr="00B92144" w:rsidRDefault="00E4590E" w:rsidP="000F4DB4">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0.04**</w:t>
            </w:r>
          </w:p>
        </w:tc>
      </w:tr>
      <w:tr w:rsidR="005D748D" w:rsidRPr="00B92144" w14:paraId="40F11825" w14:textId="77777777" w:rsidTr="00A56DD4">
        <w:trPr>
          <w:trHeight w:val="300"/>
          <w:jc w:val="center"/>
        </w:trPr>
        <w:tc>
          <w:tcPr>
            <w:tcW w:w="2745" w:type="dxa"/>
            <w:shd w:val="clear" w:color="auto" w:fill="auto"/>
            <w:noWrap/>
            <w:vAlign w:val="bottom"/>
            <w:hideMark/>
          </w:tcPr>
          <w:p w14:paraId="2C3DEBB3" w14:textId="77777777" w:rsidR="005D748D" w:rsidRPr="00B92144" w:rsidRDefault="005D748D"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BANKSIZE</w:t>
            </w:r>
          </w:p>
        </w:tc>
        <w:tc>
          <w:tcPr>
            <w:tcW w:w="1268" w:type="dxa"/>
            <w:shd w:val="clear" w:color="auto" w:fill="auto"/>
            <w:noWrap/>
            <w:vAlign w:val="bottom"/>
          </w:tcPr>
          <w:p w14:paraId="5E87F610"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33.92</w:t>
            </w:r>
          </w:p>
        </w:tc>
        <w:tc>
          <w:tcPr>
            <w:tcW w:w="990" w:type="dxa"/>
            <w:shd w:val="clear" w:color="auto" w:fill="auto"/>
            <w:noWrap/>
            <w:vAlign w:val="bottom"/>
          </w:tcPr>
          <w:p w14:paraId="20F79AF5"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3.70</w:t>
            </w:r>
          </w:p>
        </w:tc>
        <w:tc>
          <w:tcPr>
            <w:tcW w:w="1090" w:type="dxa"/>
            <w:shd w:val="clear" w:color="auto" w:fill="auto"/>
            <w:noWrap/>
            <w:vAlign w:val="bottom"/>
          </w:tcPr>
          <w:p w14:paraId="560065FF"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w:t>
            </w:r>
          </w:p>
        </w:tc>
        <w:tc>
          <w:tcPr>
            <w:tcW w:w="360" w:type="dxa"/>
            <w:shd w:val="clear" w:color="auto" w:fill="auto"/>
            <w:noWrap/>
            <w:vAlign w:val="bottom"/>
          </w:tcPr>
          <w:p w14:paraId="6855BBEE" w14:textId="77777777" w:rsidR="005D748D" w:rsidRPr="00B92144" w:rsidRDefault="005D748D" w:rsidP="000F4DB4">
            <w:pPr>
              <w:spacing w:after="0" w:line="240" w:lineRule="auto"/>
              <w:jc w:val="center"/>
              <w:rPr>
                <w:rFonts w:asciiTheme="majorBidi" w:eastAsia="Times New Roman" w:hAnsiTheme="majorBidi" w:cstheme="majorBidi"/>
                <w:b/>
                <w:bCs/>
                <w:color w:val="000000"/>
              </w:rPr>
            </w:pPr>
          </w:p>
        </w:tc>
        <w:tc>
          <w:tcPr>
            <w:tcW w:w="1158" w:type="dxa"/>
            <w:shd w:val="clear" w:color="auto" w:fill="auto"/>
            <w:noWrap/>
            <w:vAlign w:val="bottom"/>
          </w:tcPr>
          <w:p w14:paraId="3C178090"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-0.003</w:t>
            </w:r>
          </w:p>
        </w:tc>
        <w:tc>
          <w:tcPr>
            <w:tcW w:w="1088" w:type="dxa"/>
            <w:shd w:val="clear" w:color="auto" w:fill="auto"/>
            <w:noWrap/>
            <w:vAlign w:val="bottom"/>
          </w:tcPr>
          <w:p w14:paraId="6CABEBC0"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1.98</w:t>
            </w:r>
          </w:p>
        </w:tc>
        <w:tc>
          <w:tcPr>
            <w:tcW w:w="1201" w:type="dxa"/>
            <w:shd w:val="clear" w:color="auto" w:fill="auto"/>
            <w:noWrap/>
            <w:vAlign w:val="bottom"/>
          </w:tcPr>
          <w:p w14:paraId="1A8023FB"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0.049**</w:t>
            </w:r>
          </w:p>
        </w:tc>
      </w:tr>
      <w:tr w:rsidR="005D748D" w:rsidRPr="00B92144" w14:paraId="03A33339" w14:textId="77777777" w:rsidTr="00A56DD4">
        <w:trPr>
          <w:trHeight w:val="300"/>
          <w:jc w:val="center"/>
        </w:trPr>
        <w:tc>
          <w:tcPr>
            <w:tcW w:w="2745" w:type="dxa"/>
            <w:shd w:val="clear" w:color="auto" w:fill="auto"/>
            <w:noWrap/>
            <w:vAlign w:val="bottom"/>
            <w:hideMark/>
          </w:tcPr>
          <w:p w14:paraId="7C38139D" w14:textId="77777777" w:rsidR="005D748D" w:rsidRPr="00B92144" w:rsidRDefault="005D748D"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BKAGE</w:t>
            </w:r>
          </w:p>
        </w:tc>
        <w:tc>
          <w:tcPr>
            <w:tcW w:w="1268" w:type="dxa"/>
            <w:shd w:val="clear" w:color="auto" w:fill="auto"/>
            <w:noWrap/>
            <w:vAlign w:val="bottom"/>
          </w:tcPr>
          <w:p w14:paraId="0E555584"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0.877</w:t>
            </w:r>
          </w:p>
        </w:tc>
        <w:tc>
          <w:tcPr>
            <w:tcW w:w="990" w:type="dxa"/>
            <w:shd w:val="clear" w:color="auto" w:fill="auto"/>
            <w:noWrap/>
            <w:vAlign w:val="bottom"/>
          </w:tcPr>
          <w:p w14:paraId="7ABE5695"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1.71</w:t>
            </w:r>
          </w:p>
        </w:tc>
        <w:tc>
          <w:tcPr>
            <w:tcW w:w="1090" w:type="dxa"/>
            <w:shd w:val="clear" w:color="auto" w:fill="auto"/>
            <w:noWrap/>
            <w:vAlign w:val="bottom"/>
          </w:tcPr>
          <w:p w14:paraId="730C83B8"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0.08*</w:t>
            </w:r>
          </w:p>
        </w:tc>
        <w:tc>
          <w:tcPr>
            <w:tcW w:w="360" w:type="dxa"/>
            <w:shd w:val="clear" w:color="auto" w:fill="auto"/>
            <w:noWrap/>
            <w:vAlign w:val="bottom"/>
          </w:tcPr>
          <w:p w14:paraId="422611C5" w14:textId="77777777" w:rsidR="005D748D" w:rsidRPr="00B92144" w:rsidRDefault="005D748D" w:rsidP="000F4DB4">
            <w:pPr>
              <w:spacing w:after="0" w:line="240" w:lineRule="auto"/>
              <w:jc w:val="center"/>
              <w:rPr>
                <w:rFonts w:asciiTheme="majorBidi" w:eastAsia="Times New Roman" w:hAnsiTheme="majorBidi" w:cstheme="majorBidi"/>
                <w:b/>
                <w:bCs/>
                <w:color w:val="000000"/>
              </w:rPr>
            </w:pPr>
          </w:p>
        </w:tc>
        <w:tc>
          <w:tcPr>
            <w:tcW w:w="1158" w:type="dxa"/>
            <w:shd w:val="clear" w:color="auto" w:fill="auto"/>
            <w:noWrap/>
            <w:vAlign w:val="bottom"/>
          </w:tcPr>
          <w:p w14:paraId="49848A02"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0.008</w:t>
            </w:r>
          </w:p>
        </w:tc>
        <w:tc>
          <w:tcPr>
            <w:tcW w:w="1088" w:type="dxa"/>
            <w:shd w:val="clear" w:color="auto" w:fill="auto"/>
            <w:noWrap/>
            <w:vAlign w:val="bottom"/>
          </w:tcPr>
          <w:p w14:paraId="7CAF4797"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1027</w:t>
            </w:r>
          </w:p>
        </w:tc>
        <w:tc>
          <w:tcPr>
            <w:tcW w:w="1201" w:type="dxa"/>
            <w:shd w:val="clear" w:color="auto" w:fill="auto"/>
            <w:noWrap/>
            <w:vAlign w:val="bottom"/>
          </w:tcPr>
          <w:p w14:paraId="6B5A5607"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0.203</w:t>
            </w:r>
          </w:p>
        </w:tc>
      </w:tr>
      <w:tr w:rsidR="005D748D" w:rsidRPr="00B92144" w14:paraId="217E4E9B" w14:textId="77777777" w:rsidTr="00A56DD4">
        <w:trPr>
          <w:trHeight w:val="300"/>
          <w:jc w:val="center"/>
        </w:trPr>
        <w:tc>
          <w:tcPr>
            <w:tcW w:w="2745" w:type="dxa"/>
            <w:shd w:val="clear" w:color="auto" w:fill="auto"/>
            <w:noWrap/>
            <w:vAlign w:val="bottom"/>
            <w:hideMark/>
          </w:tcPr>
          <w:p w14:paraId="26F0BBBE" w14:textId="77777777" w:rsidR="005D748D" w:rsidRPr="00B92144" w:rsidRDefault="005D748D"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LEVERAGE</w:t>
            </w:r>
          </w:p>
        </w:tc>
        <w:tc>
          <w:tcPr>
            <w:tcW w:w="1268" w:type="dxa"/>
            <w:shd w:val="clear" w:color="auto" w:fill="auto"/>
            <w:noWrap/>
            <w:vAlign w:val="bottom"/>
          </w:tcPr>
          <w:p w14:paraId="7C5F3E0A" w14:textId="77777777" w:rsidR="005D748D" w:rsidRPr="00B92144" w:rsidRDefault="00260001" w:rsidP="000F4DB4">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85.11</w:t>
            </w:r>
          </w:p>
        </w:tc>
        <w:tc>
          <w:tcPr>
            <w:tcW w:w="990" w:type="dxa"/>
            <w:shd w:val="clear" w:color="auto" w:fill="auto"/>
            <w:noWrap/>
            <w:vAlign w:val="bottom"/>
          </w:tcPr>
          <w:p w14:paraId="6CDBF38D" w14:textId="77777777" w:rsidR="005D748D" w:rsidRPr="00B92144" w:rsidRDefault="00260001" w:rsidP="000F4DB4">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1.39</w:t>
            </w:r>
          </w:p>
        </w:tc>
        <w:tc>
          <w:tcPr>
            <w:tcW w:w="1090" w:type="dxa"/>
            <w:shd w:val="clear" w:color="auto" w:fill="auto"/>
            <w:noWrap/>
            <w:vAlign w:val="bottom"/>
          </w:tcPr>
          <w:p w14:paraId="4D1B540B" w14:textId="77777777" w:rsidR="005D748D" w:rsidRPr="00B92144" w:rsidRDefault="00260001" w:rsidP="000F4DB4">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0.166</w:t>
            </w:r>
          </w:p>
        </w:tc>
        <w:tc>
          <w:tcPr>
            <w:tcW w:w="360" w:type="dxa"/>
            <w:shd w:val="clear" w:color="auto" w:fill="auto"/>
            <w:noWrap/>
            <w:vAlign w:val="bottom"/>
          </w:tcPr>
          <w:p w14:paraId="2C741286" w14:textId="77777777" w:rsidR="005D748D" w:rsidRPr="00B92144" w:rsidRDefault="005D748D" w:rsidP="000F4DB4">
            <w:pPr>
              <w:spacing w:after="0" w:line="240" w:lineRule="auto"/>
              <w:jc w:val="center"/>
              <w:rPr>
                <w:rFonts w:asciiTheme="majorBidi" w:eastAsia="Times New Roman" w:hAnsiTheme="majorBidi" w:cstheme="majorBidi"/>
                <w:color w:val="000000"/>
              </w:rPr>
            </w:pPr>
          </w:p>
        </w:tc>
        <w:tc>
          <w:tcPr>
            <w:tcW w:w="1158" w:type="dxa"/>
            <w:shd w:val="clear" w:color="auto" w:fill="auto"/>
            <w:noWrap/>
            <w:vAlign w:val="bottom"/>
          </w:tcPr>
          <w:p w14:paraId="7BF76110"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0.026</w:t>
            </w:r>
          </w:p>
        </w:tc>
        <w:tc>
          <w:tcPr>
            <w:tcW w:w="1088" w:type="dxa"/>
            <w:shd w:val="clear" w:color="auto" w:fill="auto"/>
            <w:noWrap/>
            <w:vAlign w:val="bottom"/>
          </w:tcPr>
          <w:p w14:paraId="5C53A077"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3.19</w:t>
            </w:r>
          </w:p>
        </w:tc>
        <w:tc>
          <w:tcPr>
            <w:tcW w:w="1201" w:type="dxa"/>
            <w:shd w:val="clear" w:color="auto" w:fill="auto"/>
            <w:noWrap/>
            <w:vAlign w:val="bottom"/>
          </w:tcPr>
          <w:p w14:paraId="0F3FE69A"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0.001***</w:t>
            </w:r>
          </w:p>
        </w:tc>
      </w:tr>
      <w:tr w:rsidR="005D748D" w:rsidRPr="00B92144" w14:paraId="1854CB5A" w14:textId="77777777" w:rsidTr="00A56DD4">
        <w:trPr>
          <w:trHeight w:val="300"/>
          <w:jc w:val="center"/>
        </w:trPr>
        <w:tc>
          <w:tcPr>
            <w:tcW w:w="2745" w:type="dxa"/>
            <w:shd w:val="clear" w:color="auto" w:fill="auto"/>
            <w:noWrap/>
            <w:vAlign w:val="bottom"/>
            <w:hideMark/>
          </w:tcPr>
          <w:p w14:paraId="059A4DAE" w14:textId="77777777" w:rsidR="005D748D" w:rsidRPr="00B92144" w:rsidRDefault="005D748D"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COUTRANSDEX</w:t>
            </w:r>
          </w:p>
        </w:tc>
        <w:tc>
          <w:tcPr>
            <w:tcW w:w="1268" w:type="dxa"/>
            <w:shd w:val="clear" w:color="auto" w:fill="auto"/>
            <w:noWrap/>
            <w:vAlign w:val="bottom"/>
          </w:tcPr>
          <w:p w14:paraId="0BA2B6A0"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15.204</w:t>
            </w:r>
          </w:p>
        </w:tc>
        <w:tc>
          <w:tcPr>
            <w:tcW w:w="990" w:type="dxa"/>
            <w:shd w:val="clear" w:color="auto" w:fill="auto"/>
            <w:noWrap/>
            <w:vAlign w:val="bottom"/>
          </w:tcPr>
          <w:p w14:paraId="7C44C441"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3.23</w:t>
            </w:r>
          </w:p>
        </w:tc>
        <w:tc>
          <w:tcPr>
            <w:tcW w:w="1090" w:type="dxa"/>
            <w:shd w:val="clear" w:color="auto" w:fill="auto"/>
            <w:noWrap/>
            <w:vAlign w:val="bottom"/>
          </w:tcPr>
          <w:p w14:paraId="7529F14A"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0.001***</w:t>
            </w:r>
          </w:p>
        </w:tc>
        <w:tc>
          <w:tcPr>
            <w:tcW w:w="360" w:type="dxa"/>
            <w:shd w:val="clear" w:color="auto" w:fill="auto"/>
            <w:noWrap/>
            <w:vAlign w:val="bottom"/>
          </w:tcPr>
          <w:p w14:paraId="651A9180" w14:textId="77777777" w:rsidR="005D748D" w:rsidRPr="00B92144" w:rsidRDefault="005D748D" w:rsidP="000F4DB4">
            <w:pPr>
              <w:spacing w:after="0" w:line="240" w:lineRule="auto"/>
              <w:jc w:val="center"/>
              <w:rPr>
                <w:rFonts w:asciiTheme="majorBidi" w:eastAsia="Times New Roman" w:hAnsiTheme="majorBidi" w:cstheme="majorBidi"/>
                <w:b/>
                <w:bCs/>
                <w:color w:val="000000"/>
              </w:rPr>
            </w:pPr>
          </w:p>
        </w:tc>
        <w:tc>
          <w:tcPr>
            <w:tcW w:w="1158" w:type="dxa"/>
            <w:shd w:val="clear" w:color="auto" w:fill="auto"/>
            <w:noWrap/>
            <w:vAlign w:val="bottom"/>
          </w:tcPr>
          <w:p w14:paraId="474CD1D0"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-0.07</w:t>
            </w:r>
          </w:p>
        </w:tc>
        <w:tc>
          <w:tcPr>
            <w:tcW w:w="1088" w:type="dxa"/>
            <w:shd w:val="clear" w:color="auto" w:fill="auto"/>
            <w:noWrap/>
            <w:vAlign w:val="bottom"/>
          </w:tcPr>
          <w:p w14:paraId="6919EB22"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1.11</w:t>
            </w:r>
          </w:p>
        </w:tc>
        <w:tc>
          <w:tcPr>
            <w:tcW w:w="1201" w:type="dxa"/>
            <w:shd w:val="clear" w:color="auto" w:fill="auto"/>
            <w:noWrap/>
            <w:vAlign w:val="bottom"/>
          </w:tcPr>
          <w:p w14:paraId="225E57A3"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0.268</w:t>
            </w:r>
          </w:p>
        </w:tc>
      </w:tr>
      <w:tr w:rsidR="005D748D" w:rsidRPr="00B92144" w14:paraId="63BEE168" w14:textId="77777777" w:rsidTr="00A56DD4">
        <w:trPr>
          <w:trHeight w:val="300"/>
          <w:jc w:val="center"/>
        </w:trPr>
        <w:tc>
          <w:tcPr>
            <w:tcW w:w="2745" w:type="dxa"/>
            <w:shd w:val="clear" w:color="auto" w:fill="auto"/>
            <w:noWrap/>
            <w:vAlign w:val="bottom"/>
            <w:hideMark/>
          </w:tcPr>
          <w:p w14:paraId="080A0BF2" w14:textId="77777777" w:rsidR="005D748D" w:rsidRPr="00B92144" w:rsidRDefault="005D748D"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BLOCK</w:t>
            </w:r>
          </w:p>
        </w:tc>
        <w:tc>
          <w:tcPr>
            <w:tcW w:w="1268" w:type="dxa"/>
            <w:shd w:val="clear" w:color="auto" w:fill="auto"/>
            <w:noWrap/>
            <w:vAlign w:val="bottom"/>
          </w:tcPr>
          <w:p w14:paraId="04790B00" w14:textId="77777777" w:rsidR="005D748D" w:rsidRPr="00B92144" w:rsidRDefault="00260001" w:rsidP="000F4DB4">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-3.31</w:t>
            </w:r>
          </w:p>
        </w:tc>
        <w:tc>
          <w:tcPr>
            <w:tcW w:w="990" w:type="dxa"/>
            <w:shd w:val="clear" w:color="auto" w:fill="auto"/>
            <w:noWrap/>
            <w:vAlign w:val="bottom"/>
          </w:tcPr>
          <w:p w14:paraId="32A7A870" w14:textId="77777777" w:rsidR="005D748D" w:rsidRPr="00B92144" w:rsidRDefault="00260001" w:rsidP="000F4DB4">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0.50</w:t>
            </w:r>
          </w:p>
        </w:tc>
        <w:tc>
          <w:tcPr>
            <w:tcW w:w="1090" w:type="dxa"/>
            <w:shd w:val="clear" w:color="auto" w:fill="auto"/>
            <w:noWrap/>
            <w:vAlign w:val="bottom"/>
          </w:tcPr>
          <w:p w14:paraId="64F59552" w14:textId="77777777" w:rsidR="005D748D" w:rsidRPr="00B92144" w:rsidRDefault="00260001" w:rsidP="000F4DB4">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0.616</w:t>
            </w:r>
          </w:p>
        </w:tc>
        <w:tc>
          <w:tcPr>
            <w:tcW w:w="360" w:type="dxa"/>
            <w:shd w:val="clear" w:color="auto" w:fill="auto"/>
            <w:noWrap/>
            <w:vAlign w:val="bottom"/>
          </w:tcPr>
          <w:p w14:paraId="3C6E5351" w14:textId="77777777" w:rsidR="005D748D" w:rsidRPr="00B92144" w:rsidRDefault="005D748D" w:rsidP="000F4DB4">
            <w:pPr>
              <w:spacing w:after="0" w:line="240" w:lineRule="auto"/>
              <w:jc w:val="center"/>
              <w:rPr>
                <w:rFonts w:asciiTheme="majorBidi" w:eastAsia="Times New Roman" w:hAnsiTheme="majorBidi" w:cstheme="majorBidi"/>
                <w:color w:val="000000"/>
              </w:rPr>
            </w:pPr>
          </w:p>
        </w:tc>
        <w:tc>
          <w:tcPr>
            <w:tcW w:w="1158" w:type="dxa"/>
            <w:shd w:val="clear" w:color="auto" w:fill="auto"/>
            <w:noWrap/>
            <w:vAlign w:val="bottom"/>
          </w:tcPr>
          <w:p w14:paraId="6F7F0CCF" w14:textId="77777777" w:rsidR="005D748D" w:rsidRPr="00B92144" w:rsidRDefault="00E4590E" w:rsidP="000F4DB4">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-0.002</w:t>
            </w:r>
          </w:p>
        </w:tc>
        <w:tc>
          <w:tcPr>
            <w:tcW w:w="1088" w:type="dxa"/>
            <w:shd w:val="clear" w:color="auto" w:fill="auto"/>
            <w:noWrap/>
            <w:vAlign w:val="bottom"/>
          </w:tcPr>
          <w:p w14:paraId="781B5EDA" w14:textId="77777777" w:rsidR="005D748D" w:rsidRPr="00B92144" w:rsidRDefault="00E4590E" w:rsidP="000F4DB4">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2.205</w:t>
            </w:r>
          </w:p>
        </w:tc>
        <w:tc>
          <w:tcPr>
            <w:tcW w:w="1201" w:type="dxa"/>
            <w:shd w:val="clear" w:color="auto" w:fill="auto"/>
            <w:noWrap/>
            <w:vAlign w:val="bottom"/>
          </w:tcPr>
          <w:p w14:paraId="4D12C290" w14:textId="77777777" w:rsidR="005D748D" w:rsidRPr="00B92144" w:rsidRDefault="00E4590E" w:rsidP="000F4DB4">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0.025***</w:t>
            </w:r>
          </w:p>
        </w:tc>
      </w:tr>
      <w:tr w:rsidR="005D748D" w:rsidRPr="00B92144" w14:paraId="6D77AC2B" w14:textId="77777777" w:rsidTr="00A56DD4">
        <w:trPr>
          <w:trHeight w:val="300"/>
          <w:jc w:val="center"/>
        </w:trPr>
        <w:tc>
          <w:tcPr>
            <w:tcW w:w="2745" w:type="dxa"/>
            <w:shd w:val="clear" w:color="auto" w:fill="auto"/>
            <w:noWrap/>
            <w:vAlign w:val="bottom"/>
            <w:hideMark/>
          </w:tcPr>
          <w:p w14:paraId="2CDA3D7B" w14:textId="77777777" w:rsidR="005D748D" w:rsidRPr="00B92144" w:rsidRDefault="005D748D"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FOREIGN</w:t>
            </w:r>
          </w:p>
        </w:tc>
        <w:tc>
          <w:tcPr>
            <w:tcW w:w="1268" w:type="dxa"/>
            <w:shd w:val="clear" w:color="auto" w:fill="auto"/>
            <w:noWrap/>
            <w:vAlign w:val="bottom"/>
          </w:tcPr>
          <w:p w14:paraId="4B756456" w14:textId="77777777" w:rsidR="005D748D" w:rsidRPr="00B92144" w:rsidRDefault="00260001" w:rsidP="000F4DB4">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13.01</w:t>
            </w:r>
          </w:p>
        </w:tc>
        <w:tc>
          <w:tcPr>
            <w:tcW w:w="990" w:type="dxa"/>
            <w:shd w:val="clear" w:color="auto" w:fill="auto"/>
            <w:noWrap/>
            <w:vAlign w:val="bottom"/>
          </w:tcPr>
          <w:p w14:paraId="71970A1C" w14:textId="77777777" w:rsidR="005D748D" w:rsidRPr="00B92144" w:rsidRDefault="00260001" w:rsidP="000F4DB4">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0.32</w:t>
            </w:r>
          </w:p>
        </w:tc>
        <w:tc>
          <w:tcPr>
            <w:tcW w:w="1090" w:type="dxa"/>
            <w:shd w:val="clear" w:color="auto" w:fill="auto"/>
            <w:noWrap/>
            <w:vAlign w:val="bottom"/>
          </w:tcPr>
          <w:p w14:paraId="4A6BD054" w14:textId="77777777" w:rsidR="005D748D" w:rsidRPr="00B92144" w:rsidRDefault="00260001" w:rsidP="000F4DB4">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0.784</w:t>
            </w:r>
          </w:p>
        </w:tc>
        <w:tc>
          <w:tcPr>
            <w:tcW w:w="360" w:type="dxa"/>
            <w:shd w:val="clear" w:color="auto" w:fill="auto"/>
            <w:noWrap/>
            <w:vAlign w:val="bottom"/>
          </w:tcPr>
          <w:p w14:paraId="2523FF9B" w14:textId="77777777" w:rsidR="005D748D" w:rsidRPr="00B92144" w:rsidRDefault="005D748D" w:rsidP="000F4DB4">
            <w:pPr>
              <w:spacing w:after="0" w:line="240" w:lineRule="auto"/>
              <w:jc w:val="center"/>
              <w:rPr>
                <w:rFonts w:asciiTheme="majorBidi" w:eastAsia="Times New Roman" w:hAnsiTheme="majorBidi" w:cstheme="majorBidi"/>
                <w:color w:val="000000"/>
              </w:rPr>
            </w:pPr>
          </w:p>
        </w:tc>
        <w:tc>
          <w:tcPr>
            <w:tcW w:w="1158" w:type="dxa"/>
            <w:shd w:val="clear" w:color="auto" w:fill="auto"/>
            <w:noWrap/>
            <w:vAlign w:val="bottom"/>
          </w:tcPr>
          <w:p w14:paraId="7111B605" w14:textId="77777777" w:rsidR="005D748D" w:rsidRPr="00B92144" w:rsidRDefault="00E4590E" w:rsidP="000F4DB4">
            <w:pPr>
              <w:spacing w:after="0" w:line="240" w:lineRule="auto"/>
              <w:jc w:val="center"/>
              <w:rPr>
                <w:rFonts w:asciiTheme="majorBidi" w:eastAsia="Times New Roman" w:hAnsiTheme="majorBidi" w:cstheme="majorBidi"/>
                <w:bCs/>
                <w:color w:val="000000"/>
              </w:rPr>
            </w:pPr>
            <w:r w:rsidRPr="00B92144">
              <w:rPr>
                <w:rFonts w:asciiTheme="majorBidi" w:eastAsia="Times New Roman" w:hAnsiTheme="majorBidi" w:cstheme="majorBidi"/>
                <w:bCs/>
                <w:color w:val="000000"/>
              </w:rPr>
              <w:t>0.003</w:t>
            </w:r>
          </w:p>
        </w:tc>
        <w:tc>
          <w:tcPr>
            <w:tcW w:w="1088" w:type="dxa"/>
            <w:shd w:val="clear" w:color="auto" w:fill="auto"/>
            <w:noWrap/>
            <w:vAlign w:val="bottom"/>
          </w:tcPr>
          <w:p w14:paraId="4F80E06A" w14:textId="77777777" w:rsidR="005D748D" w:rsidRPr="00B92144" w:rsidRDefault="00E4590E" w:rsidP="000F4DB4">
            <w:pPr>
              <w:spacing w:after="0" w:line="240" w:lineRule="auto"/>
              <w:jc w:val="center"/>
              <w:rPr>
                <w:rFonts w:asciiTheme="majorBidi" w:eastAsia="Times New Roman" w:hAnsiTheme="majorBidi" w:cstheme="majorBidi"/>
                <w:bCs/>
                <w:color w:val="000000"/>
              </w:rPr>
            </w:pPr>
            <w:r w:rsidRPr="00B92144">
              <w:rPr>
                <w:rFonts w:asciiTheme="majorBidi" w:eastAsia="Times New Roman" w:hAnsiTheme="majorBidi" w:cstheme="majorBidi"/>
                <w:bCs/>
                <w:color w:val="000000"/>
              </w:rPr>
              <w:t>0.67</w:t>
            </w:r>
          </w:p>
        </w:tc>
        <w:tc>
          <w:tcPr>
            <w:tcW w:w="1201" w:type="dxa"/>
            <w:shd w:val="clear" w:color="auto" w:fill="auto"/>
            <w:noWrap/>
            <w:vAlign w:val="bottom"/>
          </w:tcPr>
          <w:p w14:paraId="1E2E336D" w14:textId="77777777" w:rsidR="005D748D" w:rsidRPr="00B92144" w:rsidRDefault="00E4590E" w:rsidP="000F4DB4">
            <w:pPr>
              <w:spacing w:after="0" w:line="240" w:lineRule="auto"/>
              <w:jc w:val="center"/>
              <w:rPr>
                <w:rFonts w:asciiTheme="majorBidi" w:eastAsia="Times New Roman" w:hAnsiTheme="majorBidi" w:cstheme="majorBidi"/>
                <w:bCs/>
                <w:color w:val="000000"/>
              </w:rPr>
            </w:pPr>
            <w:r w:rsidRPr="00B92144">
              <w:rPr>
                <w:rFonts w:asciiTheme="majorBidi" w:eastAsia="Times New Roman" w:hAnsiTheme="majorBidi" w:cstheme="majorBidi"/>
                <w:bCs/>
                <w:color w:val="000000"/>
              </w:rPr>
              <w:t>0.506</w:t>
            </w:r>
          </w:p>
        </w:tc>
      </w:tr>
      <w:tr w:rsidR="005D748D" w:rsidRPr="00B92144" w14:paraId="6B242927" w14:textId="77777777" w:rsidTr="00A56DD4">
        <w:trPr>
          <w:trHeight w:val="300"/>
          <w:jc w:val="center"/>
        </w:trPr>
        <w:tc>
          <w:tcPr>
            <w:tcW w:w="2745" w:type="dxa"/>
            <w:shd w:val="clear" w:color="auto" w:fill="auto"/>
            <w:noWrap/>
            <w:vAlign w:val="bottom"/>
            <w:hideMark/>
          </w:tcPr>
          <w:p w14:paraId="2314EA14" w14:textId="77777777" w:rsidR="005D748D" w:rsidRPr="00B92144" w:rsidRDefault="005D748D"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BDSIZE</w:t>
            </w:r>
          </w:p>
        </w:tc>
        <w:tc>
          <w:tcPr>
            <w:tcW w:w="1268" w:type="dxa"/>
            <w:shd w:val="clear" w:color="auto" w:fill="auto"/>
            <w:noWrap/>
            <w:vAlign w:val="bottom"/>
          </w:tcPr>
          <w:p w14:paraId="7464CFDD"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-33.199</w:t>
            </w:r>
          </w:p>
        </w:tc>
        <w:tc>
          <w:tcPr>
            <w:tcW w:w="990" w:type="dxa"/>
            <w:shd w:val="clear" w:color="auto" w:fill="auto"/>
            <w:noWrap/>
            <w:vAlign w:val="bottom"/>
          </w:tcPr>
          <w:p w14:paraId="5A873FE1"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-6.15</w:t>
            </w:r>
          </w:p>
        </w:tc>
        <w:tc>
          <w:tcPr>
            <w:tcW w:w="1090" w:type="dxa"/>
            <w:shd w:val="clear" w:color="auto" w:fill="auto"/>
            <w:noWrap/>
            <w:vAlign w:val="bottom"/>
          </w:tcPr>
          <w:p w14:paraId="11AA787A"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w:t>
            </w:r>
          </w:p>
        </w:tc>
        <w:tc>
          <w:tcPr>
            <w:tcW w:w="360" w:type="dxa"/>
            <w:shd w:val="clear" w:color="auto" w:fill="auto"/>
            <w:noWrap/>
            <w:vAlign w:val="bottom"/>
          </w:tcPr>
          <w:p w14:paraId="53DC9CB6" w14:textId="77777777" w:rsidR="005D748D" w:rsidRPr="00B92144" w:rsidRDefault="005D748D" w:rsidP="000F4DB4">
            <w:pPr>
              <w:spacing w:after="0" w:line="240" w:lineRule="auto"/>
              <w:jc w:val="center"/>
              <w:rPr>
                <w:rFonts w:asciiTheme="majorBidi" w:eastAsia="Times New Roman" w:hAnsiTheme="majorBidi" w:cstheme="majorBidi"/>
                <w:b/>
                <w:bCs/>
                <w:color w:val="000000"/>
              </w:rPr>
            </w:pPr>
          </w:p>
        </w:tc>
        <w:tc>
          <w:tcPr>
            <w:tcW w:w="1158" w:type="dxa"/>
            <w:shd w:val="clear" w:color="auto" w:fill="auto"/>
            <w:noWrap/>
            <w:vAlign w:val="bottom"/>
          </w:tcPr>
          <w:p w14:paraId="5174DB64" w14:textId="77777777" w:rsidR="005D748D" w:rsidRPr="00B92144" w:rsidRDefault="00E4590E" w:rsidP="000F4DB4">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0.006</w:t>
            </w:r>
          </w:p>
        </w:tc>
        <w:tc>
          <w:tcPr>
            <w:tcW w:w="1088" w:type="dxa"/>
            <w:shd w:val="clear" w:color="auto" w:fill="auto"/>
            <w:noWrap/>
            <w:vAlign w:val="bottom"/>
          </w:tcPr>
          <w:p w14:paraId="0B116D0A" w14:textId="77777777" w:rsidR="005D748D" w:rsidRPr="00B92144" w:rsidRDefault="00E4590E" w:rsidP="000F4DB4">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0.97</w:t>
            </w:r>
          </w:p>
        </w:tc>
        <w:tc>
          <w:tcPr>
            <w:tcW w:w="1201" w:type="dxa"/>
            <w:shd w:val="clear" w:color="auto" w:fill="auto"/>
            <w:noWrap/>
            <w:vAlign w:val="bottom"/>
          </w:tcPr>
          <w:p w14:paraId="3690C6B7" w14:textId="77777777" w:rsidR="005D748D" w:rsidRPr="00B92144" w:rsidRDefault="00E4590E" w:rsidP="000F4DB4">
            <w:pPr>
              <w:spacing w:after="0" w:line="240" w:lineRule="auto"/>
              <w:jc w:val="center"/>
              <w:rPr>
                <w:rFonts w:asciiTheme="majorBidi" w:eastAsia="Times New Roman" w:hAnsiTheme="majorBidi" w:cstheme="majorBidi"/>
                <w:color w:val="000000"/>
              </w:rPr>
            </w:pPr>
            <w:r w:rsidRPr="00B92144">
              <w:rPr>
                <w:rFonts w:asciiTheme="majorBidi" w:eastAsia="Times New Roman" w:hAnsiTheme="majorBidi" w:cstheme="majorBidi"/>
                <w:color w:val="000000"/>
              </w:rPr>
              <w:t>0.330</w:t>
            </w:r>
          </w:p>
        </w:tc>
      </w:tr>
      <w:tr w:rsidR="005D748D" w:rsidRPr="00B92144" w14:paraId="29043ACE" w14:textId="77777777" w:rsidTr="00A56DD4">
        <w:trPr>
          <w:trHeight w:val="300"/>
          <w:jc w:val="center"/>
        </w:trPr>
        <w:tc>
          <w:tcPr>
            <w:tcW w:w="2745" w:type="dxa"/>
            <w:shd w:val="clear" w:color="auto" w:fill="auto"/>
            <w:noWrap/>
            <w:vAlign w:val="bottom"/>
            <w:hideMark/>
          </w:tcPr>
          <w:p w14:paraId="654BB2BA" w14:textId="77777777" w:rsidR="005D748D" w:rsidRPr="00B92144" w:rsidRDefault="005D748D"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BDIND</w:t>
            </w:r>
          </w:p>
        </w:tc>
        <w:tc>
          <w:tcPr>
            <w:tcW w:w="1268" w:type="dxa"/>
            <w:shd w:val="clear" w:color="auto" w:fill="auto"/>
            <w:noWrap/>
            <w:vAlign w:val="bottom"/>
          </w:tcPr>
          <w:p w14:paraId="241489A0"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-75.69</w:t>
            </w:r>
          </w:p>
        </w:tc>
        <w:tc>
          <w:tcPr>
            <w:tcW w:w="990" w:type="dxa"/>
            <w:shd w:val="clear" w:color="auto" w:fill="auto"/>
            <w:noWrap/>
            <w:vAlign w:val="bottom"/>
          </w:tcPr>
          <w:p w14:paraId="42F082DC"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1.66</w:t>
            </w:r>
          </w:p>
        </w:tc>
        <w:tc>
          <w:tcPr>
            <w:tcW w:w="1090" w:type="dxa"/>
            <w:shd w:val="clear" w:color="auto" w:fill="auto"/>
            <w:noWrap/>
            <w:vAlign w:val="bottom"/>
          </w:tcPr>
          <w:p w14:paraId="1FD9138E"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0.097***</w:t>
            </w:r>
          </w:p>
        </w:tc>
        <w:tc>
          <w:tcPr>
            <w:tcW w:w="360" w:type="dxa"/>
            <w:shd w:val="clear" w:color="auto" w:fill="auto"/>
            <w:noWrap/>
            <w:vAlign w:val="bottom"/>
          </w:tcPr>
          <w:p w14:paraId="65CFFC0F" w14:textId="77777777" w:rsidR="005D748D" w:rsidRPr="00B92144" w:rsidRDefault="005D748D" w:rsidP="000F4DB4">
            <w:pPr>
              <w:spacing w:after="0" w:line="240" w:lineRule="auto"/>
              <w:jc w:val="center"/>
              <w:rPr>
                <w:rFonts w:asciiTheme="majorBidi" w:eastAsia="Times New Roman" w:hAnsiTheme="majorBidi" w:cstheme="majorBidi"/>
                <w:b/>
                <w:bCs/>
                <w:color w:val="000000"/>
              </w:rPr>
            </w:pPr>
          </w:p>
        </w:tc>
        <w:tc>
          <w:tcPr>
            <w:tcW w:w="1158" w:type="dxa"/>
            <w:shd w:val="clear" w:color="auto" w:fill="auto"/>
            <w:noWrap/>
            <w:vAlign w:val="bottom"/>
          </w:tcPr>
          <w:p w14:paraId="7705C49B" w14:textId="77777777" w:rsidR="005D748D" w:rsidRPr="00B92144" w:rsidRDefault="00E4590E" w:rsidP="000F4DB4">
            <w:pPr>
              <w:spacing w:after="0" w:line="240" w:lineRule="auto"/>
              <w:jc w:val="center"/>
              <w:rPr>
                <w:rFonts w:asciiTheme="majorBidi" w:eastAsia="Times New Roman" w:hAnsiTheme="majorBidi" w:cstheme="majorBidi"/>
                <w:bCs/>
                <w:color w:val="000000"/>
              </w:rPr>
            </w:pPr>
            <w:r w:rsidRPr="00B92144">
              <w:rPr>
                <w:rFonts w:asciiTheme="majorBidi" w:eastAsia="Times New Roman" w:hAnsiTheme="majorBidi" w:cstheme="majorBidi"/>
                <w:bCs/>
                <w:color w:val="000000"/>
              </w:rPr>
              <w:t>0.006</w:t>
            </w:r>
          </w:p>
        </w:tc>
        <w:tc>
          <w:tcPr>
            <w:tcW w:w="1088" w:type="dxa"/>
            <w:shd w:val="clear" w:color="auto" w:fill="auto"/>
            <w:noWrap/>
            <w:vAlign w:val="bottom"/>
          </w:tcPr>
          <w:p w14:paraId="3354637F" w14:textId="77777777" w:rsidR="005D748D" w:rsidRPr="00B92144" w:rsidRDefault="00E4590E" w:rsidP="000F4DB4">
            <w:pPr>
              <w:spacing w:after="0" w:line="240" w:lineRule="auto"/>
              <w:jc w:val="center"/>
              <w:rPr>
                <w:rFonts w:asciiTheme="majorBidi" w:eastAsia="Times New Roman" w:hAnsiTheme="majorBidi" w:cstheme="majorBidi"/>
                <w:bCs/>
                <w:color w:val="000000"/>
              </w:rPr>
            </w:pPr>
            <w:r w:rsidRPr="00B92144">
              <w:rPr>
                <w:rFonts w:asciiTheme="majorBidi" w:eastAsia="Times New Roman" w:hAnsiTheme="majorBidi" w:cstheme="majorBidi"/>
                <w:bCs/>
                <w:color w:val="000000"/>
              </w:rPr>
              <w:t>0.97</w:t>
            </w:r>
          </w:p>
        </w:tc>
        <w:tc>
          <w:tcPr>
            <w:tcW w:w="1201" w:type="dxa"/>
            <w:shd w:val="clear" w:color="auto" w:fill="auto"/>
            <w:noWrap/>
            <w:vAlign w:val="bottom"/>
          </w:tcPr>
          <w:p w14:paraId="4779DC46" w14:textId="77777777" w:rsidR="005D748D" w:rsidRPr="00B92144" w:rsidRDefault="00E4590E" w:rsidP="000F4DB4">
            <w:pPr>
              <w:spacing w:after="0" w:line="240" w:lineRule="auto"/>
              <w:jc w:val="center"/>
              <w:rPr>
                <w:rFonts w:asciiTheme="majorBidi" w:eastAsia="Times New Roman" w:hAnsiTheme="majorBidi" w:cstheme="majorBidi"/>
                <w:bCs/>
                <w:color w:val="000000"/>
              </w:rPr>
            </w:pPr>
            <w:r w:rsidRPr="00B92144">
              <w:rPr>
                <w:rFonts w:asciiTheme="majorBidi" w:eastAsia="Times New Roman" w:hAnsiTheme="majorBidi" w:cstheme="majorBidi"/>
                <w:bCs/>
                <w:color w:val="000000"/>
              </w:rPr>
              <w:t>0.330</w:t>
            </w:r>
          </w:p>
        </w:tc>
      </w:tr>
      <w:tr w:rsidR="005D748D" w:rsidRPr="00B92144" w14:paraId="1DD5E3A6" w14:textId="77777777" w:rsidTr="00A56DD4">
        <w:trPr>
          <w:trHeight w:val="300"/>
          <w:jc w:val="center"/>
        </w:trPr>
        <w:tc>
          <w:tcPr>
            <w:tcW w:w="2745" w:type="dxa"/>
            <w:shd w:val="clear" w:color="auto" w:fill="auto"/>
            <w:noWrap/>
            <w:vAlign w:val="bottom"/>
            <w:hideMark/>
          </w:tcPr>
          <w:p w14:paraId="2250AE5B" w14:textId="77777777" w:rsidR="005D748D" w:rsidRPr="00B92144" w:rsidRDefault="005D748D"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BDFOREIGN</w:t>
            </w:r>
          </w:p>
        </w:tc>
        <w:tc>
          <w:tcPr>
            <w:tcW w:w="1268" w:type="dxa"/>
            <w:shd w:val="clear" w:color="auto" w:fill="auto"/>
            <w:noWrap/>
            <w:vAlign w:val="bottom"/>
          </w:tcPr>
          <w:p w14:paraId="0C3D9168"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112.85</w:t>
            </w:r>
          </w:p>
        </w:tc>
        <w:tc>
          <w:tcPr>
            <w:tcW w:w="990" w:type="dxa"/>
            <w:shd w:val="clear" w:color="auto" w:fill="auto"/>
            <w:noWrap/>
            <w:vAlign w:val="bottom"/>
          </w:tcPr>
          <w:p w14:paraId="31000D09"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2.36</w:t>
            </w:r>
          </w:p>
        </w:tc>
        <w:tc>
          <w:tcPr>
            <w:tcW w:w="1090" w:type="dxa"/>
            <w:shd w:val="clear" w:color="auto" w:fill="auto"/>
            <w:noWrap/>
            <w:vAlign w:val="bottom"/>
          </w:tcPr>
          <w:p w14:paraId="6A00EC55"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0.01***</w:t>
            </w:r>
          </w:p>
        </w:tc>
        <w:tc>
          <w:tcPr>
            <w:tcW w:w="360" w:type="dxa"/>
            <w:shd w:val="clear" w:color="auto" w:fill="auto"/>
            <w:noWrap/>
            <w:vAlign w:val="bottom"/>
          </w:tcPr>
          <w:p w14:paraId="40775F75" w14:textId="77777777" w:rsidR="005D748D" w:rsidRPr="00B92144" w:rsidRDefault="005D748D" w:rsidP="000F4DB4">
            <w:pPr>
              <w:spacing w:after="0" w:line="240" w:lineRule="auto"/>
              <w:jc w:val="center"/>
              <w:rPr>
                <w:rFonts w:asciiTheme="majorBidi" w:eastAsia="Times New Roman" w:hAnsiTheme="majorBidi" w:cstheme="majorBidi"/>
                <w:b/>
                <w:bCs/>
                <w:color w:val="000000"/>
              </w:rPr>
            </w:pPr>
          </w:p>
        </w:tc>
        <w:tc>
          <w:tcPr>
            <w:tcW w:w="1158" w:type="dxa"/>
            <w:shd w:val="clear" w:color="auto" w:fill="auto"/>
            <w:noWrap/>
            <w:vAlign w:val="bottom"/>
          </w:tcPr>
          <w:p w14:paraId="3E95D888"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0.01</w:t>
            </w:r>
          </w:p>
        </w:tc>
        <w:tc>
          <w:tcPr>
            <w:tcW w:w="1088" w:type="dxa"/>
            <w:shd w:val="clear" w:color="auto" w:fill="auto"/>
            <w:noWrap/>
            <w:vAlign w:val="bottom"/>
          </w:tcPr>
          <w:p w14:paraId="15A0A8C2"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1.92</w:t>
            </w:r>
          </w:p>
        </w:tc>
        <w:tc>
          <w:tcPr>
            <w:tcW w:w="1201" w:type="dxa"/>
            <w:shd w:val="clear" w:color="auto" w:fill="auto"/>
            <w:noWrap/>
            <w:vAlign w:val="bottom"/>
          </w:tcPr>
          <w:p w14:paraId="4F76DBAA"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0.05**</w:t>
            </w:r>
          </w:p>
        </w:tc>
      </w:tr>
      <w:tr w:rsidR="005D748D" w:rsidRPr="00B92144" w14:paraId="74710009" w14:textId="77777777" w:rsidTr="00A56DD4">
        <w:trPr>
          <w:trHeight w:val="300"/>
          <w:jc w:val="center"/>
        </w:trPr>
        <w:tc>
          <w:tcPr>
            <w:tcW w:w="2745" w:type="dxa"/>
            <w:shd w:val="clear" w:color="auto" w:fill="auto"/>
            <w:noWrap/>
            <w:vAlign w:val="bottom"/>
            <w:hideMark/>
          </w:tcPr>
          <w:p w14:paraId="318B1772" w14:textId="77777777" w:rsidR="005D748D" w:rsidRPr="00B92144" w:rsidRDefault="005D748D"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 xml:space="preserve">GDP </w:t>
            </w:r>
          </w:p>
        </w:tc>
        <w:tc>
          <w:tcPr>
            <w:tcW w:w="1268" w:type="dxa"/>
            <w:shd w:val="clear" w:color="auto" w:fill="auto"/>
            <w:noWrap/>
            <w:vAlign w:val="bottom"/>
          </w:tcPr>
          <w:p w14:paraId="400F3679"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-583.063</w:t>
            </w:r>
          </w:p>
        </w:tc>
        <w:tc>
          <w:tcPr>
            <w:tcW w:w="990" w:type="dxa"/>
            <w:shd w:val="clear" w:color="auto" w:fill="auto"/>
            <w:noWrap/>
            <w:vAlign w:val="bottom"/>
          </w:tcPr>
          <w:p w14:paraId="22A9936E"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-2.55</w:t>
            </w:r>
          </w:p>
        </w:tc>
        <w:tc>
          <w:tcPr>
            <w:tcW w:w="1090" w:type="dxa"/>
            <w:shd w:val="clear" w:color="auto" w:fill="auto"/>
            <w:noWrap/>
            <w:vAlign w:val="bottom"/>
          </w:tcPr>
          <w:p w14:paraId="5E89A3C6"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0.01***</w:t>
            </w:r>
          </w:p>
        </w:tc>
        <w:tc>
          <w:tcPr>
            <w:tcW w:w="360" w:type="dxa"/>
            <w:shd w:val="clear" w:color="auto" w:fill="auto"/>
            <w:noWrap/>
            <w:vAlign w:val="bottom"/>
          </w:tcPr>
          <w:p w14:paraId="615CC156" w14:textId="77777777" w:rsidR="005D748D" w:rsidRPr="00B92144" w:rsidRDefault="005D748D" w:rsidP="000F4DB4">
            <w:pPr>
              <w:spacing w:after="0" w:line="240" w:lineRule="auto"/>
              <w:jc w:val="center"/>
              <w:rPr>
                <w:rFonts w:asciiTheme="majorBidi" w:eastAsia="Times New Roman" w:hAnsiTheme="majorBidi" w:cstheme="majorBidi"/>
                <w:b/>
                <w:bCs/>
                <w:color w:val="000000"/>
              </w:rPr>
            </w:pPr>
          </w:p>
        </w:tc>
        <w:tc>
          <w:tcPr>
            <w:tcW w:w="1158" w:type="dxa"/>
            <w:shd w:val="clear" w:color="auto" w:fill="auto"/>
            <w:noWrap/>
            <w:vAlign w:val="bottom"/>
          </w:tcPr>
          <w:p w14:paraId="3E71FB5A" w14:textId="77777777" w:rsidR="005D748D" w:rsidRPr="00B92144" w:rsidRDefault="00E4590E" w:rsidP="000F4DB4">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0.056</w:t>
            </w:r>
          </w:p>
        </w:tc>
        <w:tc>
          <w:tcPr>
            <w:tcW w:w="1088" w:type="dxa"/>
            <w:shd w:val="clear" w:color="auto" w:fill="auto"/>
            <w:noWrap/>
            <w:vAlign w:val="bottom"/>
          </w:tcPr>
          <w:p w14:paraId="35C46FE2" w14:textId="77777777" w:rsidR="005D748D" w:rsidRPr="00B92144" w:rsidRDefault="00E4590E" w:rsidP="000F4DB4">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1082</w:t>
            </w:r>
          </w:p>
        </w:tc>
        <w:tc>
          <w:tcPr>
            <w:tcW w:w="1201" w:type="dxa"/>
            <w:shd w:val="clear" w:color="auto" w:fill="auto"/>
            <w:noWrap/>
            <w:vAlign w:val="bottom"/>
          </w:tcPr>
          <w:p w14:paraId="4C04EFD1" w14:textId="77777777" w:rsidR="005D748D" w:rsidRPr="00B92144" w:rsidRDefault="00E4590E" w:rsidP="000F4DB4">
            <w:pPr>
              <w:spacing w:after="0" w:line="240" w:lineRule="auto"/>
              <w:jc w:val="center"/>
              <w:rPr>
                <w:rFonts w:asciiTheme="majorBidi" w:eastAsia="Times New Roman" w:hAnsiTheme="majorBidi" w:cstheme="majorBidi"/>
                <w:b/>
                <w:color w:val="000000"/>
              </w:rPr>
            </w:pPr>
            <w:r w:rsidRPr="00B92144">
              <w:rPr>
                <w:rFonts w:asciiTheme="majorBidi" w:eastAsia="Times New Roman" w:hAnsiTheme="majorBidi" w:cstheme="majorBidi"/>
                <w:b/>
                <w:color w:val="000000"/>
              </w:rPr>
              <w:t>0.07**</w:t>
            </w:r>
          </w:p>
        </w:tc>
      </w:tr>
      <w:tr w:rsidR="005D748D" w:rsidRPr="00B92144" w14:paraId="76A35B62" w14:textId="77777777" w:rsidTr="00A56DD4">
        <w:trPr>
          <w:trHeight w:val="300"/>
          <w:jc w:val="center"/>
        </w:trPr>
        <w:tc>
          <w:tcPr>
            <w:tcW w:w="2745" w:type="dxa"/>
            <w:shd w:val="clear" w:color="auto" w:fill="auto"/>
            <w:noWrap/>
            <w:vAlign w:val="bottom"/>
            <w:hideMark/>
          </w:tcPr>
          <w:p w14:paraId="2E1B54AE" w14:textId="77777777" w:rsidR="005D748D" w:rsidRPr="00B92144" w:rsidRDefault="005D748D"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TIER 1</w:t>
            </w:r>
          </w:p>
        </w:tc>
        <w:tc>
          <w:tcPr>
            <w:tcW w:w="1268" w:type="dxa"/>
            <w:shd w:val="clear" w:color="auto" w:fill="auto"/>
            <w:noWrap/>
            <w:vAlign w:val="bottom"/>
          </w:tcPr>
          <w:p w14:paraId="698C50FA"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-29.36</w:t>
            </w:r>
          </w:p>
        </w:tc>
        <w:tc>
          <w:tcPr>
            <w:tcW w:w="990" w:type="dxa"/>
            <w:shd w:val="clear" w:color="auto" w:fill="auto"/>
            <w:noWrap/>
            <w:vAlign w:val="bottom"/>
          </w:tcPr>
          <w:p w14:paraId="470B88BF"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3.02</w:t>
            </w:r>
          </w:p>
        </w:tc>
        <w:tc>
          <w:tcPr>
            <w:tcW w:w="1090" w:type="dxa"/>
            <w:shd w:val="clear" w:color="auto" w:fill="auto"/>
            <w:noWrap/>
            <w:vAlign w:val="bottom"/>
          </w:tcPr>
          <w:p w14:paraId="2089DFE1" w14:textId="77777777" w:rsidR="005D748D"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0.003***</w:t>
            </w:r>
          </w:p>
        </w:tc>
        <w:tc>
          <w:tcPr>
            <w:tcW w:w="360" w:type="dxa"/>
            <w:shd w:val="clear" w:color="auto" w:fill="auto"/>
            <w:noWrap/>
            <w:vAlign w:val="bottom"/>
          </w:tcPr>
          <w:p w14:paraId="645E8211" w14:textId="77777777" w:rsidR="005D748D" w:rsidRPr="00B92144" w:rsidRDefault="005D748D" w:rsidP="000F4DB4">
            <w:pPr>
              <w:spacing w:after="0" w:line="240" w:lineRule="auto"/>
              <w:jc w:val="center"/>
              <w:rPr>
                <w:rFonts w:asciiTheme="majorBidi" w:eastAsia="Times New Roman" w:hAnsiTheme="majorBidi" w:cstheme="majorBidi"/>
                <w:b/>
                <w:bCs/>
                <w:color w:val="000000"/>
              </w:rPr>
            </w:pPr>
          </w:p>
        </w:tc>
        <w:tc>
          <w:tcPr>
            <w:tcW w:w="1158" w:type="dxa"/>
            <w:shd w:val="clear" w:color="auto" w:fill="auto"/>
            <w:noWrap/>
            <w:vAlign w:val="bottom"/>
          </w:tcPr>
          <w:p w14:paraId="18B0C362"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0.003</w:t>
            </w:r>
          </w:p>
        </w:tc>
        <w:tc>
          <w:tcPr>
            <w:tcW w:w="1088" w:type="dxa"/>
            <w:shd w:val="clear" w:color="auto" w:fill="auto"/>
            <w:noWrap/>
            <w:vAlign w:val="bottom"/>
          </w:tcPr>
          <w:p w14:paraId="50444E15"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1093</w:t>
            </w:r>
          </w:p>
        </w:tc>
        <w:tc>
          <w:tcPr>
            <w:tcW w:w="1201" w:type="dxa"/>
            <w:shd w:val="clear" w:color="auto" w:fill="auto"/>
            <w:noWrap/>
            <w:vAlign w:val="bottom"/>
          </w:tcPr>
          <w:p w14:paraId="67746068" w14:textId="77777777" w:rsidR="005D748D" w:rsidRPr="00B92144" w:rsidRDefault="00E4590E"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0.05**</w:t>
            </w:r>
          </w:p>
        </w:tc>
      </w:tr>
      <w:tr w:rsidR="00260001" w:rsidRPr="00B92144" w14:paraId="61287107" w14:textId="77777777" w:rsidTr="00A56DD4">
        <w:trPr>
          <w:trHeight w:val="300"/>
          <w:jc w:val="center"/>
        </w:trPr>
        <w:tc>
          <w:tcPr>
            <w:tcW w:w="2745" w:type="dxa"/>
            <w:shd w:val="clear" w:color="auto" w:fill="auto"/>
            <w:noWrap/>
            <w:vAlign w:val="bottom"/>
            <w:hideMark/>
          </w:tcPr>
          <w:p w14:paraId="73F5A420" w14:textId="77777777" w:rsidR="00260001" w:rsidRPr="00B92144" w:rsidRDefault="00260001" w:rsidP="00260001">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ISLAMIC</w:t>
            </w:r>
          </w:p>
        </w:tc>
        <w:tc>
          <w:tcPr>
            <w:tcW w:w="1268" w:type="dxa"/>
            <w:shd w:val="clear" w:color="auto" w:fill="auto"/>
            <w:noWrap/>
            <w:vAlign w:val="bottom"/>
          </w:tcPr>
          <w:p w14:paraId="31A664A0" w14:textId="77777777" w:rsidR="00260001"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-40.53</w:t>
            </w:r>
          </w:p>
        </w:tc>
        <w:tc>
          <w:tcPr>
            <w:tcW w:w="990" w:type="dxa"/>
            <w:shd w:val="clear" w:color="auto" w:fill="auto"/>
            <w:noWrap/>
            <w:vAlign w:val="bottom"/>
          </w:tcPr>
          <w:p w14:paraId="576F117C" w14:textId="77777777" w:rsidR="00260001"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1.66</w:t>
            </w:r>
          </w:p>
        </w:tc>
        <w:tc>
          <w:tcPr>
            <w:tcW w:w="1090" w:type="dxa"/>
            <w:shd w:val="clear" w:color="auto" w:fill="auto"/>
            <w:noWrap/>
            <w:vAlign w:val="bottom"/>
          </w:tcPr>
          <w:p w14:paraId="5AFEA733" w14:textId="77777777" w:rsidR="00260001" w:rsidRPr="00B92144" w:rsidRDefault="00260001" w:rsidP="000F4DB4">
            <w:pPr>
              <w:spacing w:after="0" w:line="240" w:lineRule="auto"/>
              <w:jc w:val="center"/>
              <w:rPr>
                <w:rFonts w:asciiTheme="majorBidi" w:eastAsia="Times New Roman" w:hAnsiTheme="majorBidi" w:cstheme="majorBidi"/>
                <w:b/>
                <w:bCs/>
                <w:color w:val="000000"/>
              </w:rPr>
            </w:pPr>
            <w:r w:rsidRPr="00B92144">
              <w:rPr>
                <w:rFonts w:asciiTheme="majorBidi" w:eastAsia="Times New Roman" w:hAnsiTheme="majorBidi" w:cstheme="majorBidi"/>
                <w:b/>
                <w:bCs/>
                <w:color w:val="000000"/>
              </w:rPr>
              <w:t>0.096***</w:t>
            </w:r>
          </w:p>
        </w:tc>
        <w:tc>
          <w:tcPr>
            <w:tcW w:w="360" w:type="dxa"/>
            <w:shd w:val="clear" w:color="auto" w:fill="auto"/>
            <w:noWrap/>
            <w:vAlign w:val="bottom"/>
          </w:tcPr>
          <w:p w14:paraId="7661319B" w14:textId="77777777" w:rsidR="00260001" w:rsidRPr="00B92144" w:rsidRDefault="00260001" w:rsidP="000F4DB4">
            <w:pPr>
              <w:spacing w:after="0" w:line="240" w:lineRule="auto"/>
              <w:jc w:val="center"/>
              <w:rPr>
                <w:rFonts w:asciiTheme="majorBidi" w:eastAsia="Times New Roman" w:hAnsiTheme="majorBidi" w:cstheme="majorBidi"/>
                <w:b/>
                <w:bCs/>
                <w:color w:val="000000"/>
              </w:rPr>
            </w:pPr>
          </w:p>
        </w:tc>
        <w:tc>
          <w:tcPr>
            <w:tcW w:w="1158" w:type="dxa"/>
            <w:shd w:val="clear" w:color="auto" w:fill="auto"/>
            <w:noWrap/>
            <w:vAlign w:val="bottom"/>
          </w:tcPr>
          <w:p w14:paraId="09B8FE99" w14:textId="77777777" w:rsidR="00260001" w:rsidRPr="00B92144" w:rsidRDefault="00E4590E" w:rsidP="000F4DB4">
            <w:pPr>
              <w:spacing w:after="0" w:line="240" w:lineRule="auto"/>
              <w:jc w:val="center"/>
              <w:rPr>
                <w:rFonts w:asciiTheme="majorBidi" w:eastAsia="Times New Roman" w:hAnsiTheme="majorBidi" w:cstheme="majorBidi"/>
              </w:rPr>
            </w:pPr>
            <w:r w:rsidRPr="00B92144">
              <w:rPr>
                <w:rFonts w:asciiTheme="majorBidi" w:eastAsia="Times New Roman" w:hAnsiTheme="majorBidi" w:cstheme="majorBidi"/>
              </w:rPr>
              <w:t>-0.003</w:t>
            </w:r>
          </w:p>
        </w:tc>
        <w:tc>
          <w:tcPr>
            <w:tcW w:w="1088" w:type="dxa"/>
            <w:shd w:val="clear" w:color="auto" w:fill="auto"/>
            <w:noWrap/>
            <w:vAlign w:val="bottom"/>
          </w:tcPr>
          <w:p w14:paraId="190BEDA7" w14:textId="77777777" w:rsidR="00260001" w:rsidRPr="00B92144" w:rsidRDefault="00E4590E" w:rsidP="000F4DB4">
            <w:pPr>
              <w:spacing w:after="0" w:line="240" w:lineRule="auto"/>
              <w:jc w:val="center"/>
              <w:rPr>
                <w:rFonts w:asciiTheme="majorBidi" w:eastAsia="Times New Roman" w:hAnsiTheme="majorBidi" w:cstheme="majorBidi"/>
              </w:rPr>
            </w:pPr>
            <w:r w:rsidRPr="00B92144">
              <w:rPr>
                <w:rFonts w:asciiTheme="majorBidi" w:eastAsia="Times New Roman" w:hAnsiTheme="majorBidi" w:cstheme="majorBidi"/>
              </w:rPr>
              <w:t>1.08</w:t>
            </w:r>
          </w:p>
        </w:tc>
        <w:tc>
          <w:tcPr>
            <w:tcW w:w="1201" w:type="dxa"/>
            <w:shd w:val="clear" w:color="auto" w:fill="auto"/>
            <w:noWrap/>
            <w:vAlign w:val="bottom"/>
          </w:tcPr>
          <w:p w14:paraId="79A8F0BD" w14:textId="77777777" w:rsidR="00260001" w:rsidRPr="00B92144" w:rsidRDefault="00E4590E" w:rsidP="000F4DB4">
            <w:pPr>
              <w:spacing w:after="0" w:line="240" w:lineRule="auto"/>
              <w:jc w:val="center"/>
              <w:rPr>
                <w:rFonts w:asciiTheme="majorBidi" w:eastAsia="Times New Roman" w:hAnsiTheme="majorBidi" w:cstheme="majorBidi"/>
              </w:rPr>
            </w:pPr>
            <w:r w:rsidRPr="00B92144">
              <w:rPr>
                <w:rFonts w:asciiTheme="majorBidi" w:eastAsia="Times New Roman" w:hAnsiTheme="majorBidi" w:cstheme="majorBidi"/>
              </w:rPr>
              <w:t>0.28</w:t>
            </w:r>
          </w:p>
        </w:tc>
      </w:tr>
      <w:tr w:rsidR="005D748D" w:rsidRPr="00B92144" w14:paraId="37E73962" w14:textId="77777777" w:rsidTr="00A56DD4">
        <w:trPr>
          <w:trHeight w:val="300"/>
          <w:jc w:val="center"/>
        </w:trPr>
        <w:tc>
          <w:tcPr>
            <w:tcW w:w="2745" w:type="dxa"/>
            <w:shd w:val="clear" w:color="auto" w:fill="auto"/>
            <w:noWrap/>
            <w:vAlign w:val="bottom"/>
            <w:hideMark/>
          </w:tcPr>
          <w:p w14:paraId="678508CF" w14:textId="746DEA76" w:rsidR="005D748D" w:rsidRPr="00B92144" w:rsidRDefault="00660270" w:rsidP="005D748D">
            <w:pPr>
              <w:spacing w:after="0" w:line="240" w:lineRule="auto"/>
              <w:rPr>
                <w:rFonts w:asciiTheme="majorBidi" w:eastAsia="Times New Roman" w:hAnsiTheme="majorBidi" w:cstheme="majorBidi"/>
              </w:rPr>
            </w:pPr>
            <w:r w:rsidRPr="00B92144">
              <w:rPr>
                <w:rFonts w:asciiTheme="majorBidi" w:eastAsia="Times New Roman" w:hAnsiTheme="majorBidi" w:cstheme="majorBidi"/>
              </w:rPr>
              <w:t>C</w:t>
            </w:r>
            <w:r w:rsidR="00260001" w:rsidRPr="00B92144">
              <w:rPr>
                <w:rFonts w:asciiTheme="majorBidi" w:eastAsia="Times New Roman" w:hAnsiTheme="majorBidi" w:cstheme="majorBidi"/>
              </w:rPr>
              <w:t>ons</w:t>
            </w:r>
          </w:p>
        </w:tc>
        <w:tc>
          <w:tcPr>
            <w:tcW w:w="1268" w:type="dxa"/>
            <w:shd w:val="clear" w:color="auto" w:fill="auto"/>
            <w:noWrap/>
            <w:vAlign w:val="bottom"/>
            <w:hideMark/>
          </w:tcPr>
          <w:p w14:paraId="75AFE349" w14:textId="77777777" w:rsidR="005D748D" w:rsidRPr="00B92144" w:rsidRDefault="00260001" w:rsidP="000F4DB4">
            <w:pPr>
              <w:spacing w:after="0" w:line="240" w:lineRule="auto"/>
              <w:jc w:val="center"/>
              <w:rPr>
                <w:rFonts w:asciiTheme="majorBidi" w:eastAsia="Times New Roman" w:hAnsiTheme="majorBidi" w:cstheme="majorBidi"/>
              </w:rPr>
            </w:pPr>
            <w:r w:rsidRPr="00B92144">
              <w:rPr>
                <w:rFonts w:asciiTheme="majorBidi" w:eastAsia="Times New Roman" w:hAnsiTheme="majorBidi" w:cstheme="majorBidi"/>
              </w:rPr>
              <w:t>-152.79</w:t>
            </w:r>
          </w:p>
        </w:tc>
        <w:tc>
          <w:tcPr>
            <w:tcW w:w="990" w:type="dxa"/>
            <w:shd w:val="clear" w:color="auto" w:fill="auto"/>
            <w:noWrap/>
            <w:vAlign w:val="bottom"/>
            <w:hideMark/>
          </w:tcPr>
          <w:p w14:paraId="77AF4B8C" w14:textId="77777777" w:rsidR="005D748D" w:rsidRPr="00B92144" w:rsidRDefault="00260001" w:rsidP="000F4DB4">
            <w:pPr>
              <w:spacing w:after="0" w:line="240" w:lineRule="auto"/>
              <w:jc w:val="center"/>
              <w:rPr>
                <w:rFonts w:asciiTheme="majorBidi" w:eastAsia="Times New Roman" w:hAnsiTheme="majorBidi" w:cstheme="majorBidi"/>
              </w:rPr>
            </w:pPr>
            <w:r w:rsidRPr="00B92144">
              <w:rPr>
                <w:rFonts w:asciiTheme="majorBidi" w:eastAsia="Times New Roman" w:hAnsiTheme="majorBidi" w:cstheme="majorBidi"/>
              </w:rPr>
              <w:t>0.73</w:t>
            </w:r>
          </w:p>
        </w:tc>
        <w:tc>
          <w:tcPr>
            <w:tcW w:w="1090" w:type="dxa"/>
            <w:shd w:val="clear" w:color="auto" w:fill="auto"/>
            <w:noWrap/>
            <w:vAlign w:val="bottom"/>
            <w:hideMark/>
          </w:tcPr>
          <w:p w14:paraId="1AF22695" w14:textId="77777777" w:rsidR="005D748D" w:rsidRPr="00B92144" w:rsidRDefault="00260001" w:rsidP="000F4DB4">
            <w:pPr>
              <w:spacing w:after="0" w:line="240" w:lineRule="auto"/>
              <w:jc w:val="center"/>
              <w:rPr>
                <w:rFonts w:asciiTheme="majorBidi" w:eastAsia="Times New Roman" w:hAnsiTheme="majorBidi" w:cstheme="majorBidi"/>
              </w:rPr>
            </w:pPr>
            <w:r w:rsidRPr="00B92144">
              <w:rPr>
                <w:rFonts w:asciiTheme="majorBidi" w:eastAsia="Times New Roman" w:hAnsiTheme="majorBidi" w:cstheme="majorBidi"/>
              </w:rPr>
              <w:t>0.466</w:t>
            </w:r>
          </w:p>
        </w:tc>
        <w:tc>
          <w:tcPr>
            <w:tcW w:w="360" w:type="dxa"/>
            <w:shd w:val="clear" w:color="auto" w:fill="auto"/>
            <w:noWrap/>
            <w:vAlign w:val="bottom"/>
            <w:hideMark/>
          </w:tcPr>
          <w:p w14:paraId="56BEEB2F" w14:textId="77777777" w:rsidR="005D748D" w:rsidRPr="00B92144" w:rsidRDefault="005D748D" w:rsidP="000F4DB4">
            <w:pPr>
              <w:spacing w:after="0" w:line="240" w:lineRule="auto"/>
              <w:jc w:val="center"/>
              <w:rPr>
                <w:rFonts w:asciiTheme="majorBidi" w:eastAsia="Times New Roman" w:hAnsiTheme="majorBidi" w:cstheme="majorBidi"/>
              </w:rPr>
            </w:pPr>
          </w:p>
        </w:tc>
        <w:tc>
          <w:tcPr>
            <w:tcW w:w="1158" w:type="dxa"/>
            <w:shd w:val="clear" w:color="auto" w:fill="auto"/>
            <w:noWrap/>
            <w:vAlign w:val="bottom"/>
            <w:hideMark/>
          </w:tcPr>
          <w:p w14:paraId="755147BB" w14:textId="77777777" w:rsidR="005D748D" w:rsidRPr="00B92144" w:rsidRDefault="00E4590E" w:rsidP="000F4DB4">
            <w:pPr>
              <w:spacing w:after="0" w:line="240" w:lineRule="auto"/>
              <w:jc w:val="center"/>
              <w:rPr>
                <w:rFonts w:asciiTheme="majorBidi" w:eastAsia="Times New Roman" w:hAnsiTheme="majorBidi" w:cstheme="majorBidi"/>
              </w:rPr>
            </w:pPr>
            <w:r w:rsidRPr="00B92144">
              <w:rPr>
                <w:rFonts w:asciiTheme="majorBidi" w:eastAsia="Times New Roman" w:hAnsiTheme="majorBidi" w:cstheme="majorBidi"/>
              </w:rPr>
              <w:t>0.04</w:t>
            </w:r>
          </w:p>
        </w:tc>
        <w:tc>
          <w:tcPr>
            <w:tcW w:w="1088" w:type="dxa"/>
            <w:shd w:val="clear" w:color="auto" w:fill="auto"/>
            <w:noWrap/>
            <w:vAlign w:val="bottom"/>
            <w:hideMark/>
          </w:tcPr>
          <w:p w14:paraId="4A39D315" w14:textId="77777777" w:rsidR="005D748D" w:rsidRPr="00B92144" w:rsidRDefault="00E4590E" w:rsidP="000F4DB4">
            <w:pPr>
              <w:spacing w:after="0" w:line="240" w:lineRule="auto"/>
              <w:jc w:val="center"/>
              <w:rPr>
                <w:rFonts w:asciiTheme="majorBidi" w:eastAsia="Times New Roman" w:hAnsiTheme="majorBidi" w:cstheme="majorBidi"/>
              </w:rPr>
            </w:pPr>
            <w:r w:rsidRPr="00B92144">
              <w:rPr>
                <w:rFonts w:asciiTheme="majorBidi" w:eastAsia="Times New Roman" w:hAnsiTheme="majorBidi" w:cstheme="majorBidi"/>
              </w:rPr>
              <w:t>1.40</w:t>
            </w:r>
          </w:p>
        </w:tc>
        <w:tc>
          <w:tcPr>
            <w:tcW w:w="1201" w:type="dxa"/>
            <w:shd w:val="clear" w:color="auto" w:fill="auto"/>
            <w:noWrap/>
            <w:vAlign w:val="bottom"/>
            <w:hideMark/>
          </w:tcPr>
          <w:p w14:paraId="2763BA1A" w14:textId="77777777" w:rsidR="005D748D" w:rsidRPr="00B92144" w:rsidRDefault="00E4590E" w:rsidP="000F4DB4">
            <w:pPr>
              <w:spacing w:after="0" w:line="240" w:lineRule="auto"/>
              <w:jc w:val="center"/>
              <w:rPr>
                <w:rFonts w:asciiTheme="majorBidi" w:eastAsia="Times New Roman" w:hAnsiTheme="majorBidi" w:cstheme="majorBidi"/>
              </w:rPr>
            </w:pPr>
            <w:r w:rsidRPr="00B92144">
              <w:rPr>
                <w:rFonts w:asciiTheme="majorBidi" w:eastAsia="Times New Roman" w:hAnsiTheme="majorBidi" w:cstheme="majorBidi"/>
              </w:rPr>
              <w:t>0.162</w:t>
            </w:r>
          </w:p>
        </w:tc>
      </w:tr>
      <w:tr w:rsidR="005D748D" w:rsidRPr="00B92144" w14:paraId="00B921D5" w14:textId="77777777" w:rsidTr="00A56DD4">
        <w:trPr>
          <w:trHeight w:val="300"/>
          <w:jc w:val="center"/>
        </w:trPr>
        <w:tc>
          <w:tcPr>
            <w:tcW w:w="4013" w:type="dxa"/>
            <w:gridSpan w:val="2"/>
            <w:tcBorders>
              <w:bottom w:val="single" w:sz="4" w:space="0" w:color="auto"/>
            </w:tcBorders>
            <w:shd w:val="clear" w:color="auto" w:fill="auto"/>
            <w:noWrap/>
            <w:vAlign w:val="bottom"/>
          </w:tcPr>
          <w:p w14:paraId="3C913872" w14:textId="77777777" w:rsidR="005D748D" w:rsidRPr="00B92144" w:rsidRDefault="005D748D" w:rsidP="005D748D">
            <w:pPr>
              <w:spacing w:after="0" w:line="240" w:lineRule="auto"/>
              <w:rPr>
                <w:rFonts w:asciiTheme="majorBidi" w:eastAsia="Times New Roman" w:hAnsiTheme="majorBidi" w:cstheme="majorBidi"/>
                <w:color w:val="000000"/>
              </w:rPr>
            </w:pPr>
          </w:p>
        </w:tc>
        <w:tc>
          <w:tcPr>
            <w:tcW w:w="990" w:type="dxa"/>
            <w:tcBorders>
              <w:bottom w:val="single" w:sz="4" w:space="0" w:color="auto"/>
            </w:tcBorders>
            <w:shd w:val="clear" w:color="auto" w:fill="auto"/>
            <w:noWrap/>
            <w:vAlign w:val="bottom"/>
          </w:tcPr>
          <w:p w14:paraId="2A2F5112" w14:textId="77777777" w:rsidR="005D748D" w:rsidRPr="00B92144" w:rsidRDefault="005D748D" w:rsidP="005D748D">
            <w:pPr>
              <w:spacing w:after="0" w:line="240" w:lineRule="auto"/>
              <w:jc w:val="right"/>
              <w:rPr>
                <w:rFonts w:asciiTheme="majorBidi" w:eastAsia="Times New Roman" w:hAnsiTheme="majorBidi" w:cstheme="majorBidi"/>
                <w:b/>
                <w:bCs/>
                <w:color w:val="000000"/>
              </w:rPr>
            </w:pPr>
          </w:p>
        </w:tc>
        <w:tc>
          <w:tcPr>
            <w:tcW w:w="1090" w:type="dxa"/>
            <w:tcBorders>
              <w:bottom w:val="single" w:sz="4" w:space="0" w:color="auto"/>
            </w:tcBorders>
            <w:shd w:val="clear" w:color="auto" w:fill="auto"/>
            <w:noWrap/>
            <w:vAlign w:val="bottom"/>
          </w:tcPr>
          <w:p w14:paraId="7445E957" w14:textId="77777777" w:rsidR="005D748D" w:rsidRPr="00B92144" w:rsidRDefault="005D748D" w:rsidP="005D748D">
            <w:pPr>
              <w:spacing w:after="0" w:line="240" w:lineRule="auto"/>
              <w:jc w:val="right"/>
              <w:rPr>
                <w:rFonts w:asciiTheme="majorBidi" w:eastAsia="Times New Roman" w:hAnsiTheme="majorBidi" w:cstheme="majorBidi"/>
                <w:b/>
                <w:bCs/>
                <w:color w:val="000000"/>
              </w:rPr>
            </w:pPr>
          </w:p>
        </w:tc>
        <w:tc>
          <w:tcPr>
            <w:tcW w:w="360" w:type="dxa"/>
            <w:tcBorders>
              <w:bottom w:val="single" w:sz="4" w:space="0" w:color="auto"/>
            </w:tcBorders>
            <w:shd w:val="clear" w:color="auto" w:fill="auto"/>
            <w:noWrap/>
            <w:vAlign w:val="bottom"/>
          </w:tcPr>
          <w:p w14:paraId="3915AB96" w14:textId="77777777" w:rsidR="005D748D" w:rsidRPr="00B92144" w:rsidRDefault="005D748D" w:rsidP="005D748D">
            <w:pPr>
              <w:spacing w:after="0" w:line="240" w:lineRule="auto"/>
              <w:rPr>
                <w:rFonts w:asciiTheme="majorBidi" w:eastAsia="Times New Roman" w:hAnsiTheme="majorBidi" w:cstheme="majorBidi"/>
              </w:rPr>
            </w:pPr>
          </w:p>
        </w:tc>
        <w:tc>
          <w:tcPr>
            <w:tcW w:w="1158" w:type="dxa"/>
            <w:tcBorders>
              <w:bottom w:val="single" w:sz="4" w:space="0" w:color="auto"/>
            </w:tcBorders>
            <w:shd w:val="clear" w:color="auto" w:fill="auto"/>
            <w:noWrap/>
            <w:vAlign w:val="bottom"/>
          </w:tcPr>
          <w:p w14:paraId="0F64726F" w14:textId="77777777" w:rsidR="005D748D" w:rsidRPr="00B92144" w:rsidRDefault="005D748D" w:rsidP="005D748D">
            <w:pPr>
              <w:spacing w:after="0" w:line="240" w:lineRule="auto"/>
              <w:rPr>
                <w:rFonts w:asciiTheme="majorBidi" w:eastAsia="Times New Roman" w:hAnsiTheme="majorBidi" w:cstheme="majorBidi"/>
              </w:rPr>
            </w:pPr>
          </w:p>
        </w:tc>
        <w:tc>
          <w:tcPr>
            <w:tcW w:w="1088" w:type="dxa"/>
            <w:tcBorders>
              <w:bottom w:val="single" w:sz="4" w:space="0" w:color="auto"/>
            </w:tcBorders>
            <w:shd w:val="clear" w:color="auto" w:fill="auto"/>
            <w:noWrap/>
            <w:vAlign w:val="bottom"/>
          </w:tcPr>
          <w:p w14:paraId="1B86D71B" w14:textId="77777777" w:rsidR="005D748D" w:rsidRPr="00B92144" w:rsidRDefault="005D748D" w:rsidP="005D748D">
            <w:pPr>
              <w:spacing w:after="0" w:line="240" w:lineRule="auto"/>
              <w:rPr>
                <w:rFonts w:asciiTheme="majorBidi" w:eastAsia="Times New Roman" w:hAnsiTheme="majorBidi" w:cstheme="majorBidi"/>
              </w:rPr>
            </w:pPr>
          </w:p>
        </w:tc>
        <w:tc>
          <w:tcPr>
            <w:tcW w:w="1201" w:type="dxa"/>
            <w:tcBorders>
              <w:bottom w:val="single" w:sz="4" w:space="0" w:color="auto"/>
            </w:tcBorders>
            <w:shd w:val="clear" w:color="auto" w:fill="auto"/>
            <w:noWrap/>
            <w:vAlign w:val="bottom"/>
            <w:hideMark/>
          </w:tcPr>
          <w:p w14:paraId="1EF6E4ED" w14:textId="77777777" w:rsidR="005D748D" w:rsidRPr="00B92144" w:rsidRDefault="005D748D" w:rsidP="005D748D">
            <w:pPr>
              <w:spacing w:after="0" w:line="240" w:lineRule="auto"/>
              <w:rPr>
                <w:rFonts w:asciiTheme="majorBidi" w:eastAsia="Times New Roman" w:hAnsiTheme="majorBidi" w:cstheme="majorBidi"/>
              </w:rPr>
            </w:pPr>
          </w:p>
        </w:tc>
      </w:tr>
      <w:tr w:rsidR="005D748D" w:rsidRPr="00B92144" w14:paraId="0A1CDA19" w14:textId="77777777" w:rsidTr="00A56DD4">
        <w:trPr>
          <w:trHeight w:val="300"/>
          <w:jc w:val="center"/>
        </w:trPr>
        <w:tc>
          <w:tcPr>
            <w:tcW w:w="2745" w:type="dxa"/>
            <w:tcBorders>
              <w:top w:val="single" w:sz="4" w:space="0" w:color="auto"/>
            </w:tcBorders>
            <w:shd w:val="clear" w:color="auto" w:fill="auto"/>
            <w:noWrap/>
            <w:vAlign w:val="bottom"/>
            <w:hideMark/>
          </w:tcPr>
          <w:p w14:paraId="595391AA" w14:textId="77777777" w:rsidR="005D748D" w:rsidRPr="00B92144" w:rsidRDefault="005D748D"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R2</w:t>
            </w:r>
          </w:p>
        </w:tc>
        <w:tc>
          <w:tcPr>
            <w:tcW w:w="1268" w:type="dxa"/>
            <w:tcBorders>
              <w:top w:val="single" w:sz="4" w:space="0" w:color="auto"/>
            </w:tcBorders>
            <w:shd w:val="clear" w:color="auto" w:fill="auto"/>
            <w:noWrap/>
            <w:vAlign w:val="bottom"/>
            <w:hideMark/>
          </w:tcPr>
          <w:p w14:paraId="760803D1" w14:textId="77777777" w:rsidR="005D748D" w:rsidRPr="00B92144" w:rsidRDefault="00260001"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0.4512</w:t>
            </w:r>
          </w:p>
        </w:tc>
        <w:tc>
          <w:tcPr>
            <w:tcW w:w="990" w:type="dxa"/>
            <w:tcBorders>
              <w:top w:val="single" w:sz="4" w:space="0" w:color="auto"/>
            </w:tcBorders>
            <w:shd w:val="clear" w:color="auto" w:fill="auto"/>
            <w:noWrap/>
            <w:vAlign w:val="bottom"/>
          </w:tcPr>
          <w:p w14:paraId="2C876529"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1090" w:type="dxa"/>
            <w:tcBorders>
              <w:top w:val="single" w:sz="4" w:space="0" w:color="auto"/>
            </w:tcBorders>
            <w:shd w:val="clear" w:color="auto" w:fill="auto"/>
            <w:noWrap/>
            <w:vAlign w:val="bottom"/>
          </w:tcPr>
          <w:p w14:paraId="61408FAA"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360" w:type="dxa"/>
            <w:tcBorders>
              <w:top w:val="single" w:sz="4" w:space="0" w:color="auto"/>
            </w:tcBorders>
            <w:shd w:val="clear" w:color="auto" w:fill="auto"/>
            <w:noWrap/>
            <w:vAlign w:val="bottom"/>
          </w:tcPr>
          <w:p w14:paraId="04D44853" w14:textId="77777777" w:rsidR="005D748D" w:rsidRPr="00B92144" w:rsidRDefault="005D748D" w:rsidP="005D748D">
            <w:pPr>
              <w:spacing w:after="0" w:line="240" w:lineRule="auto"/>
              <w:rPr>
                <w:rFonts w:asciiTheme="majorBidi" w:eastAsia="Times New Roman" w:hAnsiTheme="majorBidi" w:cstheme="majorBidi"/>
              </w:rPr>
            </w:pPr>
          </w:p>
        </w:tc>
        <w:tc>
          <w:tcPr>
            <w:tcW w:w="1158" w:type="dxa"/>
            <w:tcBorders>
              <w:top w:val="single" w:sz="4" w:space="0" w:color="auto"/>
            </w:tcBorders>
            <w:shd w:val="clear" w:color="auto" w:fill="auto"/>
            <w:noWrap/>
            <w:vAlign w:val="bottom"/>
          </w:tcPr>
          <w:p w14:paraId="5EE74A47" w14:textId="77777777" w:rsidR="005D748D" w:rsidRPr="00B92144" w:rsidRDefault="00E4590E" w:rsidP="005D748D">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0.293</w:t>
            </w:r>
          </w:p>
        </w:tc>
        <w:tc>
          <w:tcPr>
            <w:tcW w:w="1088" w:type="dxa"/>
            <w:tcBorders>
              <w:top w:val="single" w:sz="4" w:space="0" w:color="auto"/>
            </w:tcBorders>
            <w:shd w:val="clear" w:color="auto" w:fill="auto"/>
            <w:noWrap/>
            <w:vAlign w:val="bottom"/>
          </w:tcPr>
          <w:p w14:paraId="6A19737C"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1201" w:type="dxa"/>
            <w:tcBorders>
              <w:top w:val="single" w:sz="4" w:space="0" w:color="auto"/>
            </w:tcBorders>
            <w:shd w:val="clear" w:color="auto" w:fill="auto"/>
            <w:noWrap/>
            <w:vAlign w:val="bottom"/>
          </w:tcPr>
          <w:p w14:paraId="6D705940" w14:textId="77777777" w:rsidR="005D748D" w:rsidRPr="00B92144" w:rsidRDefault="005D748D" w:rsidP="005D748D">
            <w:pPr>
              <w:spacing w:after="0" w:line="240" w:lineRule="auto"/>
              <w:rPr>
                <w:rFonts w:asciiTheme="majorBidi" w:eastAsia="Times New Roman" w:hAnsiTheme="majorBidi" w:cstheme="majorBidi"/>
              </w:rPr>
            </w:pPr>
          </w:p>
        </w:tc>
      </w:tr>
      <w:tr w:rsidR="005D748D" w:rsidRPr="00B92144" w14:paraId="7DFDC46F" w14:textId="77777777" w:rsidTr="00A56DD4">
        <w:trPr>
          <w:trHeight w:val="300"/>
          <w:jc w:val="center"/>
        </w:trPr>
        <w:tc>
          <w:tcPr>
            <w:tcW w:w="2745" w:type="dxa"/>
            <w:shd w:val="clear" w:color="auto" w:fill="auto"/>
            <w:noWrap/>
            <w:vAlign w:val="bottom"/>
          </w:tcPr>
          <w:p w14:paraId="0FE7AFA7" w14:textId="77777777" w:rsidR="005D748D" w:rsidRPr="00B92144" w:rsidRDefault="00260001"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Chi-sq</w:t>
            </w:r>
          </w:p>
        </w:tc>
        <w:tc>
          <w:tcPr>
            <w:tcW w:w="1268" w:type="dxa"/>
            <w:shd w:val="clear" w:color="auto" w:fill="auto"/>
            <w:noWrap/>
            <w:vAlign w:val="bottom"/>
          </w:tcPr>
          <w:p w14:paraId="464A407B" w14:textId="77777777" w:rsidR="005D748D" w:rsidRPr="00B92144" w:rsidRDefault="00260001"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116.73****</w:t>
            </w:r>
          </w:p>
        </w:tc>
        <w:tc>
          <w:tcPr>
            <w:tcW w:w="990" w:type="dxa"/>
            <w:shd w:val="clear" w:color="auto" w:fill="auto"/>
            <w:noWrap/>
            <w:vAlign w:val="bottom"/>
          </w:tcPr>
          <w:p w14:paraId="29988BF9"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1090" w:type="dxa"/>
            <w:shd w:val="clear" w:color="auto" w:fill="auto"/>
            <w:noWrap/>
            <w:vAlign w:val="bottom"/>
          </w:tcPr>
          <w:p w14:paraId="5C3E8867"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360" w:type="dxa"/>
            <w:shd w:val="clear" w:color="auto" w:fill="auto"/>
            <w:noWrap/>
            <w:vAlign w:val="bottom"/>
          </w:tcPr>
          <w:p w14:paraId="6603B30E" w14:textId="77777777" w:rsidR="005D748D" w:rsidRPr="00B92144" w:rsidRDefault="005D748D" w:rsidP="005D748D">
            <w:pPr>
              <w:spacing w:after="0" w:line="240" w:lineRule="auto"/>
              <w:rPr>
                <w:rFonts w:asciiTheme="majorBidi" w:eastAsia="Times New Roman" w:hAnsiTheme="majorBidi" w:cstheme="majorBidi"/>
              </w:rPr>
            </w:pPr>
          </w:p>
        </w:tc>
        <w:tc>
          <w:tcPr>
            <w:tcW w:w="1158" w:type="dxa"/>
            <w:shd w:val="clear" w:color="auto" w:fill="auto"/>
            <w:noWrap/>
            <w:vAlign w:val="bottom"/>
          </w:tcPr>
          <w:p w14:paraId="36F8FF8C" w14:textId="77777777" w:rsidR="005D748D" w:rsidRPr="00B92144" w:rsidRDefault="00F61996" w:rsidP="005D748D">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123.25***</w:t>
            </w:r>
          </w:p>
        </w:tc>
        <w:tc>
          <w:tcPr>
            <w:tcW w:w="1088" w:type="dxa"/>
            <w:shd w:val="clear" w:color="auto" w:fill="auto"/>
            <w:noWrap/>
            <w:vAlign w:val="bottom"/>
          </w:tcPr>
          <w:p w14:paraId="09706113"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1201" w:type="dxa"/>
            <w:shd w:val="clear" w:color="auto" w:fill="auto"/>
            <w:noWrap/>
            <w:vAlign w:val="bottom"/>
          </w:tcPr>
          <w:p w14:paraId="3748C6C2" w14:textId="77777777" w:rsidR="005D748D" w:rsidRPr="00B92144" w:rsidRDefault="005D748D" w:rsidP="005D748D">
            <w:pPr>
              <w:spacing w:after="0" w:line="240" w:lineRule="auto"/>
              <w:rPr>
                <w:rFonts w:asciiTheme="majorBidi" w:eastAsia="Times New Roman" w:hAnsiTheme="majorBidi" w:cstheme="majorBidi"/>
              </w:rPr>
            </w:pPr>
          </w:p>
        </w:tc>
      </w:tr>
      <w:tr w:rsidR="005D748D" w:rsidRPr="00B92144" w14:paraId="43572541" w14:textId="77777777" w:rsidTr="00A56DD4">
        <w:trPr>
          <w:trHeight w:val="300"/>
          <w:jc w:val="center"/>
        </w:trPr>
        <w:tc>
          <w:tcPr>
            <w:tcW w:w="2745" w:type="dxa"/>
            <w:shd w:val="clear" w:color="auto" w:fill="auto"/>
            <w:noWrap/>
            <w:vAlign w:val="bottom"/>
          </w:tcPr>
          <w:p w14:paraId="0B65CCDD" w14:textId="77777777" w:rsidR="005D748D" w:rsidRPr="00B92144" w:rsidRDefault="00260001"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Sargan test (P.value)</w:t>
            </w:r>
          </w:p>
        </w:tc>
        <w:tc>
          <w:tcPr>
            <w:tcW w:w="1268" w:type="dxa"/>
            <w:shd w:val="clear" w:color="auto" w:fill="auto"/>
            <w:noWrap/>
            <w:vAlign w:val="bottom"/>
          </w:tcPr>
          <w:p w14:paraId="5B70FB8C" w14:textId="77777777" w:rsidR="005D748D" w:rsidRPr="00B92144" w:rsidRDefault="00260001"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0.175</w:t>
            </w:r>
          </w:p>
        </w:tc>
        <w:tc>
          <w:tcPr>
            <w:tcW w:w="990" w:type="dxa"/>
            <w:shd w:val="clear" w:color="auto" w:fill="auto"/>
            <w:noWrap/>
            <w:vAlign w:val="bottom"/>
          </w:tcPr>
          <w:p w14:paraId="186F0BB8"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1090" w:type="dxa"/>
            <w:shd w:val="clear" w:color="auto" w:fill="auto"/>
            <w:noWrap/>
            <w:vAlign w:val="bottom"/>
          </w:tcPr>
          <w:p w14:paraId="77214DDC"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360" w:type="dxa"/>
            <w:shd w:val="clear" w:color="auto" w:fill="auto"/>
            <w:noWrap/>
            <w:vAlign w:val="bottom"/>
          </w:tcPr>
          <w:p w14:paraId="53B4DDB8" w14:textId="77777777" w:rsidR="005D748D" w:rsidRPr="00B92144" w:rsidRDefault="005D748D" w:rsidP="005D748D">
            <w:pPr>
              <w:spacing w:after="0" w:line="240" w:lineRule="auto"/>
              <w:rPr>
                <w:rFonts w:asciiTheme="majorBidi" w:eastAsia="Times New Roman" w:hAnsiTheme="majorBidi" w:cstheme="majorBidi"/>
              </w:rPr>
            </w:pPr>
          </w:p>
        </w:tc>
        <w:tc>
          <w:tcPr>
            <w:tcW w:w="1158" w:type="dxa"/>
            <w:shd w:val="clear" w:color="auto" w:fill="auto"/>
            <w:noWrap/>
            <w:vAlign w:val="bottom"/>
          </w:tcPr>
          <w:p w14:paraId="5CAAABCA" w14:textId="77777777" w:rsidR="005D748D" w:rsidRPr="00B92144" w:rsidRDefault="00E4590E" w:rsidP="005D748D">
            <w:pPr>
              <w:spacing w:after="0" w:line="240" w:lineRule="auto"/>
              <w:jc w:val="right"/>
              <w:rPr>
                <w:rFonts w:asciiTheme="majorBidi" w:eastAsia="Times New Roman" w:hAnsiTheme="majorBidi" w:cstheme="majorBidi"/>
                <w:color w:val="000000"/>
              </w:rPr>
            </w:pPr>
            <w:r w:rsidRPr="00B92144">
              <w:rPr>
                <w:rFonts w:asciiTheme="majorBidi" w:eastAsia="Times New Roman" w:hAnsiTheme="majorBidi" w:cstheme="majorBidi"/>
                <w:color w:val="000000"/>
              </w:rPr>
              <w:t>0.023</w:t>
            </w:r>
          </w:p>
        </w:tc>
        <w:tc>
          <w:tcPr>
            <w:tcW w:w="1088" w:type="dxa"/>
            <w:shd w:val="clear" w:color="auto" w:fill="auto"/>
            <w:noWrap/>
            <w:vAlign w:val="bottom"/>
          </w:tcPr>
          <w:p w14:paraId="1A8D5D52"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1201" w:type="dxa"/>
            <w:shd w:val="clear" w:color="auto" w:fill="auto"/>
            <w:noWrap/>
            <w:vAlign w:val="bottom"/>
          </w:tcPr>
          <w:p w14:paraId="3C41CCB6" w14:textId="77777777" w:rsidR="005D748D" w:rsidRPr="00B92144" w:rsidRDefault="005D748D" w:rsidP="005D748D">
            <w:pPr>
              <w:spacing w:after="0" w:line="240" w:lineRule="auto"/>
              <w:rPr>
                <w:rFonts w:asciiTheme="majorBidi" w:eastAsia="Times New Roman" w:hAnsiTheme="majorBidi" w:cstheme="majorBidi"/>
              </w:rPr>
            </w:pPr>
          </w:p>
        </w:tc>
      </w:tr>
      <w:tr w:rsidR="005D748D" w:rsidRPr="00B92144" w14:paraId="6870C1B5" w14:textId="77777777" w:rsidTr="00A56DD4">
        <w:trPr>
          <w:trHeight w:val="300"/>
          <w:jc w:val="center"/>
        </w:trPr>
        <w:tc>
          <w:tcPr>
            <w:tcW w:w="2745" w:type="dxa"/>
            <w:shd w:val="clear" w:color="auto" w:fill="auto"/>
            <w:noWrap/>
            <w:vAlign w:val="bottom"/>
          </w:tcPr>
          <w:p w14:paraId="013CFEDE" w14:textId="77777777" w:rsidR="005D748D" w:rsidRPr="00B92144" w:rsidRDefault="005D748D" w:rsidP="005D748D">
            <w:pPr>
              <w:spacing w:after="0" w:line="240" w:lineRule="auto"/>
              <w:rPr>
                <w:rFonts w:asciiTheme="majorBidi" w:eastAsia="Times New Roman" w:hAnsiTheme="majorBidi" w:cstheme="majorBidi"/>
                <w:color w:val="000000"/>
              </w:rPr>
            </w:pPr>
          </w:p>
        </w:tc>
        <w:tc>
          <w:tcPr>
            <w:tcW w:w="1268" w:type="dxa"/>
            <w:shd w:val="clear" w:color="auto" w:fill="auto"/>
            <w:noWrap/>
            <w:vAlign w:val="bottom"/>
          </w:tcPr>
          <w:p w14:paraId="1C0A2C5E" w14:textId="77777777" w:rsidR="005D748D" w:rsidRPr="00B92144" w:rsidRDefault="005D748D" w:rsidP="005D748D">
            <w:pPr>
              <w:spacing w:after="0" w:line="240" w:lineRule="auto"/>
              <w:rPr>
                <w:rFonts w:asciiTheme="majorBidi" w:eastAsia="Times New Roman" w:hAnsiTheme="majorBidi" w:cstheme="majorBidi"/>
                <w:color w:val="000000"/>
              </w:rPr>
            </w:pPr>
          </w:p>
        </w:tc>
        <w:tc>
          <w:tcPr>
            <w:tcW w:w="990" w:type="dxa"/>
            <w:shd w:val="clear" w:color="auto" w:fill="auto"/>
            <w:noWrap/>
            <w:vAlign w:val="bottom"/>
          </w:tcPr>
          <w:p w14:paraId="4D54E1F3"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1090" w:type="dxa"/>
            <w:shd w:val="clear" w:color="auto" w:fill="auto"/>
            <w:noWrap/>
            <w:vAlign w:val="bottom"/>
          </w:tcPr>
          <w:p w14:paraId="4C6CF76A"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360" w:type="dxa"/>
            <w:shd w:val="clear" w:color="auto" w:fill="auto"/>
            <w:noWrap/>
            <w:vAlign w:val="bottom"/>
          </w:tcPr>
          <w:p w14:paraId="0B5C6E49" w14:textId="77777777" w:rsidR="005D748D" w:rsidRPr="00B92144" w:rsidRDefault="005D748D" w:rsidP="005D748D">
            <w:pPr>
              <w:spacing w:after="0" w:line="240" w:lineRule="auto"/>
              <w:rPr>
                <w:rFonts w:asciiTheme="majorBidi" w:eastAsia="Times New Roman" w:hAnsiTheme="majorBidi" w:cstheme="majorBidi"/>
              </w:rPr>
            </w:pPr>
          </w:p>
        </w:tc>
        <w:tc>
          <w:tcPr>
            <w:tcW w:w="1158" w:type="dxa"/>
            <w:shd w:val="clear" w:color="auto" w:fill="auto"/>
            <w:noWrap/>
            <w:vAlign w:val="bottom"/>
          </w:tcPr>
          <w:p w14:paraId="73FF92A6"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1088" w:type="dxa"/>
            <w:shd w:val="clear" w:color="auto" w:fill="auto"/>
            <w:noWrap/>
            <w:vAlign w:val="bottom"/>
          </w:tcPr>
          <w:p w14:paraId="2EA9E9FC"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1201" w:type="dxa"/>
            <w:shd w:val="clear" w:color="auto" w:fill="auto"/>
            <w:noWrap/>
            <w:vAlign w:val="bottom"/>
          </w:tcPr>
          <w:p w14:paraId="47822FCE" w14:textId="77777777" w:rsidR="005D748D" w:rsidRPr="00B92144" w:rsidRDefault="005D748D" w:rsidP="005D748D">
            <w:pPr>
              <w:spacing w:after="0" w:line="240" w:lineRule="auto"/>
              <w:rPr>
                <w:rFonts w:asciiTheme="majorBidi" w:eastAsia="Times New Roman" w:hAnsiTheme="majorBidi" w:cstheme="majorBidi"/>
              </w:rPr>
            </w:pPr>
          </w:p>
        </w:tc>
      </w:tr>
      <w:tr w:rsidR="005D748D" w:rsidRPr="00B92144" w14:paraId="0C1E44EC" w14:textId="77777777" w:rsidTr="00A56DD4">
        <w:trPr>
          <w:trHeight w:val="300"/>
          <w:jc w:val="center"/>
        </w:trPr>
        <w:tc>
          <w:tcPr>
            <w:tcW w:w="2745" w:type="dxa"/>
            <w:shd w:val="clear" w:color="auto" w:fill="auto"/>
            <w:noWrap/>
            <w:vAlign w:val="bottom"/>
          </w:tcPr>
          <w:p w14:paraId="48C42EB8" w14:textId="77777777" w:rsidR="005D748D" w:rsidRPr="00B92144" w:rsidRDefault="00274F11"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2SLS vs 3SLS (p.value)</w:t>
            </w:r>
          </w:p>
        </w:tc>
        <w:tc>
          <w:tcPr>
            <w:tcW w:w="1268" w:type="dxa"/>
            <w:shd w:val="clear" w:color="auto" w:fill="auto"/>
            <w:noWrap/>
            <w:vAlign w:val="bottom"/>
          </w:tcPr>
          <w:p w14:paraId="29412D40" w14:textId="77777777" w:rsidR="005D748D" w:rsidRPr="00B92144" w:rsidRDefault="005D748D" w:rsidP="005D748D">
            <w:pPr>
              <w:spacing w:after="0" w:line="240" w:lineRule="auto"/>
              <w:rPr>
                <w:rFonts w:asciiTheme="majorBidi" w:eastAsia="Times New Roman" w:hAnsiTheme="majorBidi" w:cstheme="majorBidi"/>
                <w:color w:val="000000"/>
              </w:rPr>
            </w:pPr>
          </w:p>
        </w:tc>
        <w:tc>
          <w:tcPr>
            <w:tcW w:w="990" w:type="dxa"/>
            <w:shd w:val="clear" w:color="auto" w:fill="auto"/>
            <w:noWrap/>
            <w:vAlign w:val="bottom"/>
          </w:tcPr>
          <w:p w14:paraId="4471B303"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1090" w:type="dxa"/>
            <w:shd w:val="clear" w:color="auto" w:fill="auto"/>
            <w:noWrap/>
            <w:vAlign w:val="bottom"/>
          </w:tcPr>
          <w:p w14:paraId="58ED4DDC"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360" w:type="dxa"/>
            <w:shd w:val="clear" w:color="auto" w:fill="auto"/>
            <w:noWrap/>
            <w:vAlign w:val="bottom"/>
          </w:tcPr>
          <w:p w14:paraId="22D0CD9C" w14:textId="77777777" w:rsidR="005D748D" w:rsidRPr="00B92144" w:rsidRDefault="005D748D" w:rsidP="005D748D">
            <w:pPr>
              <w:spacing w:after="0" w:line="240" w:lineRule="auto"/>
              <w:rPr>
                <w:rFonts w:asciiTheme="majorBidi" w:eastAsia="Times New Roman" w:hAnsiTheme="majorBidi" w:cstheme="majorBidi"/>
              </w:rPr>
            </w:pPr>
          </w:p>
        </w:tc>
        <w:tc>
          <w:tcPr>
            <w:tcW w:w="1158" w:type="dxa"/>
            <w:shd w:val="clear" w:color="auto" w:fill="auto"/>
            <w:noWrap/>
            <w:vAlign w:val="bottom"/>
          </w:tcPr>
          <w:p w14:paraId="3F6CA799"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1088" w:type="dxa"/>
            <w:shd w:val="clear" w:color="auto" w:fill="auto"/>
            <w:noWrap/>
            <w:vAlign w:val="bottom"/>
          </w:tcPr>
          <w:p w14:paraId="46666ED3"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1201" w:type="dxa"/>
            <w:shd w:val="clear" w:color="auto" w:fill="auto"/>
            <w:noWrap/>
            <w:vAlign w:val="bottom"/>
          </w:tcPr>
          <w:p w14:paraId="62B6711D" w14:textId="77777777" w:rsidR="005D748D" w:rsidRPr="00B92144" w:rsidRDefault="005D748D" w:rsidP="005D748D">
            <w:pPr>
              <w:spacing w:after="0" w:line="240" w:lineRule="auto"/>
              <w:rPr>
                <w:rFonts w:asciiTheme="majorBidi" w:eastAsia="Times New Roman" w:hAnsiTheme="majorBidi" w:cstheme="majorBidi"/>
              </w:rPr>
            </w:pPr>
          </w:p>
        </w:tc>
      </w:tr>
      <w:tr w:rsidR="005D748D" w:rsidRPr="00B92144" w14:paraId="59DF8FC4" w14:textId="77777777" w:rsidTr="00A56DD4">
        <w:trPr>
          <w:trHeight w:val="300"/>
          <w:jc w:val="center"/>
        </w:trPr>
        <w:tc>
          <w:tcPr>
            <w:tcW w:w="2745" w:type="dxa"/>
            <w:tcBorders>
              <w:bottom w:val="single" w:sz="4" w:space="0" w:color="auto"/>
            </w:tcBorders>
            <w:shd w:val="clear" w:color="auto" w:fill="auto"/>
            <w:noWrap/>
            <w:vAlign w:val="bottom"/>
          </w:tcPr>
          <w:p w14:paraId="0046CDFB" w14:textId="77777777" w:rsidR="005D748D" w:rsidRPr="00B92144" w:rsidRDefault="00274F11" w:rsidP="005D748D">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 xml:space="preserve">Breusch-Bagan test of independence (p.value) </w:t>
            </w:r>
          </w:p>
        </w:tc>
        <w:tc>
          <w:tcPr>
            <w:tcW w:w="1268" w:type="dxa"/>
            <w:tcBorders>
              <w:bottom w:val="single" w:sz="4" w:space="0" w:color="auto"/>
            </w:tcBorders>
            <w:shd w:val="clear" w:color="auto" w:fill="auto"/>
            <w:noWrap/>
            <w:vAlign w:val="bottom"/>
          </w:tcPr>
          <w:p w14:paraId="3758CB29" w14:textId="4B17F050" w:rsidR="005D748D" w:rsidRPr="00B92144" w:rsidRDefault="00274F11" w:rsidP="007F5D98">
            <w:pPr>
              <w:spacing w:after="0" w:line="240" w:lineRule="auto"/>
              <w:rPr>
                <w:rFonts w:asciiTheme="majorBidi" w:eastAsia="Times New Roman" w:hAnsiTheme="majorBidi" w:cstheme="majorBidi"/>
                <w:color w:val="000000"/>
              </w:rPr>
            </w:pPr>
            <w:r w:rsidRPr="00B92144">
              <w:rPr>
                <w:rFonts w:asciiTheme="majorBidi" w:eastAsia="Times New Roman" w:hAnsiTheme="majorBidi" w:cstheme="majorBidi"/>
                <w:color w:val="000000"/>
              </w:rPr>
              <w:t>0.0</w:t>
            </w:r>
            <w:r w:rsidR="007F5D98" w:rsidRPr="00B92144">
              <w:rPr>
                <w:rFonts w:asciiTheme="majorBidi" w:eastAsia="Times New Roman" w:hAnsiTheme="majorBidi" w:cstheme="majorBidi"/>
                <w:color w:val="000000"/>
              </w:rPr>
              <w:t>2</w:t>
            </w:r>
          </w:p>
        </w:tc>
        <w:tc>
          <w:tcPr>
            <w:tcW w:w="990" w:type="dxa"/>
            <w:tcBorders>
              <w:bottom w:val="single" w:sz="4" w:space="0" w:color="auto"/>
            </w:tcBorders>
            <w:shd w:val="clear" w:color="auto" w:fill="auto"/>
            <w:noWrap/>
            <w:vAlign w:val="bottom"/>
          </w:tcPr>
          <w:p w14:paraId="6476A77B"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1090" w:type="dxa"/>
            <w:tcBorders>
              <w:bottom w:val="single" w:sz="4" w:space="0" w:color="auto"/>
            </w:tcBorders>
            <w:shd w:val="clear" w:color="auto" w:fill="auto"/>
            <w:noWrap/>
            <w:vAlign w:val="bottom"/>
          </w:tcPr>
          <w:p w14:paraId="3703FBC4"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360" w:type="dxa"/>
            <w:tcBorders>
              <w:bottom w:val="single" w:sz="4" w:space="0" w:color="auto"/>
            </w:tcBorders>
            <w:shd w:val="clear" w:color="auto" w:fill="auto"/>
            <w:noWrap/>
            <w:vAlign w:val="bottom"/>
          </w:tcPr>
          <w:p w14:paraId="2EDE5F21" w14:textId="77777777" w:rsidR="005D748D" w:rsidRPr="00B92144" w:rsidRDefault="005D748D" w:rsidP="005D748D">
            <w:pPr>
              <w:spacing w:after="0" w:line="240" w:lineRule="auto"/>
              <w:rPr>
                <w:rFonts w:asciiTheme="majorBidi" w:eastAsia="Times New Roman" w:hAnsiTheme="majorBidi" w:cstheme="majorBidi"/>
              </w:rPr>
            </w:pPr>
          </w:p>
        </w:tc>
        <w:tc>
          <w:tcPr>
            <w:tcW w:w="1158" w:type="dxa"/>
            <w:tcBorders>
              <w:bottom w:val="single" w:sz="4" w:space="0" w:color="auto"/>
            </w:tcBorders>
            <w:shd w:val="clear" w:color="auto" w:fill="auto"/>
            <w:noWrap/>
            <w:vAlign w:val="bottom"/>
          </w:tcPr>
          <w:p w14:paraId="23F42F0F"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1088" w:type="dxa"/>
            <w:tcBorders>
              <w:bottom w:val="single" w:sz="4" w:space="0" w:color="auto"/>
            </w:tcBorders>
            <w:shd w:val="clear" w:color="auto" w:fill="auto"/>
            <w:noWrap/>
            <w:vAlign w:val="bottom"/>
          </w:tcPr>
          <w:p w14:paraId="69BE2385" w14:textId="77777777" w:rsidR="005D748D" w:rsidRPr="00B92144" w:rsidRDefault="005D748D" w:rsidP="005D748D">
            <w:pPr>
              <w:spacing w:after="0" w:line="240" w:lineRule="auto"/>
              <w:jc w:val="right"/>
              <w:rPr>
                <w:rFonts w:asciiTheme="majorBidi" w:eastAsia="Times New Roman" w:hAnsiTheme="majorBidi" w:cstheme="majorBidi"/>
                <w:color w:val="000000"/>
              </w:rPr>
            </w:pPr>
          </w:p>
        </w:tc>
        <w:tc>
          <w:tcPr>
            <w:tcW w:w="1201" w:type="dxa"/>
            <w:tcBorders>
              <w:bottom w:val="single" w:sz="4" w:space="0" w:color="auto"/>
            </w:tcBorders>
            <w:shd w:val="clear" w:color="auto" w:fill="auto"/>
            <w:noWrap/>
            <w:vAlign w:val="bottom"/>
          </w:tcPr>
          <w:p w14:paraId="3E6593B0" w14:textId="77777777" w:rsidR="005D748D" w:rsidRPr="00B92144" w:rsidRDefault="005D748D" w:rsidP="005D748D">
            <w:pPr>
              <w:spacing w:after="0" w:line="240" w:lineRule="auto"/>
              <w:rPr>
                <w:rFonts w:asciiTheme="majorBidi" w:eastAsia="Times New Roman" w:hAnsiTheme="majorBidi" w:cstheme="majorBidi"/>
              </w:rPr>
            </w:pPr>
          </w:p>
        </w:tc>
      </w:tr>
    </w:tbl>
    <w:p w14:paraId="723CE048" w14:textId="77777777" w:rsidR="0071253E" w:rsidRPr="00B92144" w:rsidRDefault="0071253E" w:rsidP="0071253E">
      <w:pPr>
        <w:spacing w:after="0"/>
        <w:rPr>
          <w:rFonts w:asciiTheme="majorBidi" w:hAnsiTheme="majorBidi" w:cstheme="majorBidi"/>
          <w:sz w:val="18"/>
          <w:szCs w:val="18"/>
        </w:rPr>
      </w:pPr>
      <w:r w:rsidRPr="00B92144">
        <w:rPr>
          <w:rFonts w:asciiTheme="majorBidi" w:hAnsiTheme="majorBidi" w:cstheme="majorBidi"/>
          <w:sz w:val="18"/>
          <w:szCs w:val="18"/>
        </w:rPr>
        <w:t>*, **, and *** indicate significance at 10%, 5%, and 1% level.</w:t>
      </w:r>
    </w:p>
    <w:p w14:paraId="709B4152" w14:textId="791AECC1" w:rsidR="00D86EB2" w:rsidRPr="00B92144" w:rsidRDefault="00D86EB2" w:rsidP="00D86EB2">
      <w:pPr>
        <w:spacing w:line="360" w:lineRule="auto"/>
        <w:jc w:val="both"/>
        <w:rPr>
          <w:rFonts w:asciiTheme="majorBidi" w:hAnsiTheme="majorBidi" w:cstheme="majorBidi"/>
          <w:sz w:val="24"/>
          <w:szCs w:val="24"/>
        </w:rPr>
      </w:pPr>
    </w:p>
    <w:p w14:paraId="18F9B1C2" w14:textId="3E252CE1" w:rsidR="00E142D7" w:rsidRPr="00B92144" w:rsidRDefault="00E142D7" w:rsidP="00D86EB2">
      <w:pPr>
        <w:spacing w:line="360" w:lineRule="auto"/>
        <w:jc w:val="both"/>
        <w:rPr>
          <w:rFonts w:asciiTheme="majorBidi" w:hAnsiTheme="majorBidi" w:cstheme="majorBidi"/>
          <w:sz w:val="24"/>
          <w:szCs w:val="24"/>
        </w:rPr>
      </w:pPr>
    </w:p>
    <w:p w14:paraId="33377F91" w14:textId="7325B09E" w:rsidR="00E142D7" w:rsidRPr="00B92144" w:rsidRDefault="00E142D7" w:rsidP="00D86EB2">
      <w:pPr>
        <w:spacing w:line="360" w:lineRule="auto"/>
        <w:jc w:val="both"/>
        <w:rPr>
          <w:rFonts w:asciiTheme="majorBidi" w:hAnsiTheme="majorBidi" w:cstheme="majorBidi"/>
          <w:sz w:val="24"/>
          <w:szCs w:val="24"/>
        </w:rPr>
      </w:pPr>
    </w:p>
    <w:p w14:paraId="07F5A087" w14:textId="751C09B8" w:rsidR="00E142D7" w:rsidRPr="00B92144" w:rsidRDefault="00E142D7" w:rsidP="00D86EB2">
      <w:pPr>
        <w:spacing w:line="360" w:lineRule="auto"/>
        <w:jc w:val="both"/>
        <w:rPr>
          <w:rFonts w:asciiTheme="majorBidi" w:hAnsiTheme="majorBidi" w:cstheme="majorBidi"/>
          <w:sz w:val="24"/>
          <w:szCs w:val="24"/>
        </w:rPr>
      </w:pPr>
    </w:p>
    <w:p w14:paraId="4FADDE44" w14:textId="5C34AB72" w:rsidR="00E142D7" w:rsidRPr="00B92144" w:rsidRDefault="00E142D7" w:rsidP="00D86EB2">
      <w:pPr>
        <w:spacing w:line="360" w:lineRule="auto"/>
        <w:jc w:val="both"/>
        <w:rPr>
          <w:rFonts w:asciiTheme="majorBidi" w:hAnsiTheme="majorBidi" w:cstheme="majorBidi"/>
          <w:sz w:val="24"/>
          <w:szCs w:val="24"/>
        </w:rPr>
      </w:pPr>
    </w:p>
    <w:p w14:paraId="6BA21EF6" w14:textId="458AA872" w:rsidR="00E142D7" w:rsidRPr="00B92144" w:rsidRDefault="00E142D7" w:rsidP="00D86EB2">
      <w:pPr>
        <w:spacing w:line="360" w:lineRule="auto"/>
        <w:jc w:val="both"/>
        <w:rPr>
          <w:rFonts w:asciiTheme="majorBidi" w:hAnsiTheme="majorBidi" w:cstheme="majorBidi"/>
          <w:sz w:val="24"/>
          <w:szCs w:val="24"/>
        </w:rPr>
      </w:pPr>
    </w:p>
    <w:p w14:paraId="736CF899" w14:textId="368A07F5" w:rsidR="00E142D7" w:rsidRPr="00B92144" w:rsidRDefault="00E142D7" w:rsidP="00D86EB2">
      <w:pPr>
        <w:spacing w:line="360" w:lineRule="auto"/>
        <w:jc w:val="both"/>
        <w:rPr>
          <w:rFonts w:asciiTheme="majorBidi" w:hAnsiTheme="majorBidi" w:cstheme="majorBidi"/>
          <w:sz w:val="24"/>
          <w:szCs w:val="24"/>
        </w:rPr>
      </w:pPr>
    </w:p>
    <w:p w14:paraId="68601DF0" w14:textId="2A52F791" w:rsidR="00E142D7" w:rsidRPr="00B92144" w:rsidRDefault="00A40C04" w:rsidP="00A40C04">
      <w:pPr>
        <w:spacing w:line="240" w:lineRule="auto"/>
        <w:rPr>
          <w:rFonts w:asciiTheme="majorBidi" w:hAnsiTheme="majorBidi" w:cstheme="majorBidi"/>
          <w:b/>
          <w:bCs/>
          <w:sz w:val="24"/>
          <w:szCs w:val="24"/>
        </w:rPr>
      </w:pPr>
      <w:r w:rsidRPr="00B92144">
        <w:rPr>
          <w:rFonts w:asciiTheme="majorBidi" w:hAnsiTheme="majorBidi" w:cstheme="majorBidi"/>
          <w:b/>
          <w:bCs/>
          <w:sz w:val="24"/>
          <w:szCs w:val="24"/>
        </w:rPr>
        <w:t>Risk disclosure index</w:t>
      </w:r>
    </w:p>
    <w:tbl>
      <w:tblPr>
        <w:tblW w:w="5980" w:type="dxa"/>
        <w:tblCellMar>
          <w:left w:w="70" w:type="dxa"/>
          <w:right w:w="70" w:type="dxa"/>
        </w:tblCellMar>
        <w:tblLook w:val="04A0" w:firstRow="1" w:lastRow="0" w:firstColumn="1" w:lastColumn="0" w:noHBand="0" w:noVBand="1"/>
      </w:tblPr>
      <w:tblGrid>
        <w:gridCol w:w="960"/>
        <w:gridCol w:w="5020"/>
      </w:tblGrid>
      <w:tr w:rsidR="00A40C04" w:rsidRPr="00B92144" w14:paraId="64F1E5E3" w14:textId="77777777" w:rsidTr="00A40C04">
        <w:trPr>
          <w:trHeight w:val="300"/>
        </w:trPr>
        <w:tc>
          <w:tcPr>
            <w:tcW w:w="960" w:type="dxa"/>
            <w:tcBorders>
              <w:top w:val="single" w:sz="4" w:space="0" w:color="auto"/>
              <w:left w:val="single" w:sz="4" w:space="0" w:color="auto"/>
              <w:bottom w:val="single" w:sz="4" w:space="0" w:color="auto"/>
              <w:right w:val="nil"/>
            </w:tcBorders>
            <w:shd w:val="clear" w:color="000000" w:fill="C4BD97"/>
            <w:noWrap/>
            <w:vAlign w:val="bottom"/>
            <w:hideMark/>
          </w:tcPr>
          <w:p w14:paraId="3A3A8DF1"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w:t>
            </w:r>
          </w:p>
        </w:tc>
        <w:tc>
          <w:tcPr>
            <w:tcW w:w="5020"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14:paraId="73642BD1" w14:textId="77777777" w:rsidR="00A40C04" w:rsidRPr="00B92144" w:rsidRDefault="00A40C04" w:rsidP="00A40C04">
            <w:pPr>
              <w:spacing w:after="0" w:line="240" w:lineRule="auto"/>
              <w:rPr>
                <w:rFonts w:asciiTheme="majorBidi" w:eastAsia="Times New Roman" w:hAnsiTheme="majorBidi" w:cstheme="majorBidi"/>
                <w:b/>
                <w:bCs/>
                <w:color w:val="000000"/>
                <w:lang w:val="fr-FR" w:eastAsia="fr-FR"/>
              </w:rPr>
            </w:pPr>
            <w:r w:rsidRPr="00B92144">
              <w:rPr>
                <w:rFonts w:asciiTheme="majorBidi" w:eastAsia="Times New Roman" w:hAnsiTheme="majorBidi" w:cstheme="majorBidi"/>
                <w:b/>
                <w:bCs/>
                <w:color w:val="000000"/>
                <w:lang w:val="fr-FR" w:eastAsia="fr-FR"/>
              </w:rPr>
              <w:t>Capital structure and adequacy</w:t>
            </w:r>
          </w:p>
        </w:tc>
      </w:tr>
      <w:tr w:rsidR="00A40C04" w:rsidRPr="00B92144" w14:paraId="1D0B24B9"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2F0D2423"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1</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630110F"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xml:space="preserve">Capital structure </w:t>
            </w:r>
          </w:p>
        </w:tc>
      </w:tr>
      <w:tr w:rsidR="00A40C04" w:rsidRPr="00B92144" w14:paraId="57C11034"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4F8C907E"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2</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E900FF5"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Changes in capital structure</w:t>
            </w:r>
          </w:p>
        </w:tc>
      </w:tr>
      <w:tr w:rsidR="00A40C04" w:rsidRPr="00B92144" w14:paraId="432AC047"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249791CE"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3</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5C1496D"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Capital instruments</w:t>
            </w:r>
          </w:p>
        </w:tc>
      </w:tr>
      <w:tr w:rsidR="00A40C04" w:rsidRPr="00B92144" w14:paraId="0463C1D4"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5A1F29ED"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4</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8984388" w14:textId="77777777" w:rsidR="00A40C04" w:rsidRPr="00B92144" w:rsidRDefault="00A40C04" w:rsidP="00A40C04">
            <w:pPr>
              <w:spacing w:after="0" w:line="240" w:lineRule="auto"/>
              <w:rPr>
                <w:rFonts w:asciiTheme="majorBidi" w:eastAsia="Times New Roman" w:hAnsiTheme="majorBidi" w:cstheme="majorBidi"/>
                <w:color w:val="000000"/>
                <w:lang w:eastAsia="fr-FR"/>
              </w:rPr>
            </w:pPr>
            <w:r w:rsidRPr="00B92144">
              <w:rPr>
                <w:rFonts w:asciiTheme="majorBidi" w:eastAsia="Times New Roman" w:hAnsiTheme="majorBidi" w:cstheme="majorBidi"/>
                <w:color w:val="000000"/>
                <w:lang w:eastAsia="fr-FR"/>
              </w:rPr>
              <w:t xml:space="preserve">Capital adequacy    – tier 1 &amp; 2 capital and ratios </w:t>
            </w:r>
          </w:p>
        </w:tc>
      </w:tr>
      <w:tr w:rsidR="00A40C04" w:rsidRPr="00B92144" w14:paraId="3F25135F"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020F9A97"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5</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BAA4BA7"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Equity Risk</w:t>
            </w:r>
          </w:p>
        </w:tc>
      </w:tr>
      <w:tr w:rsidR="00A40C04" w:rsidRPr="00B92144" w14:paraId="4AD0A4B9"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0C64FBDB"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6</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91EB9F5"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xml:space="preserve">Contingency planning </w:t>
            </w:r>
          </w:p>
        </w:tc>
      </w:tr>
      <w:tr w:rsidR="00A40C04" w:rsidRPr="00B92144" w14:paraId="66175F32"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414C3A4E"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7</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46587CC"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xml:space="preserve">Capital management strategy </w:t>
            </w:r>
          </w:p>
        </w:tc>
      </w:tr>
      <w:tr w:rsidR="00A40C04" w:rsidRPr="00B92144" w14:paraId="025A1613"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29ABE2F2"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8</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22E3954"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xml:space="preserve">Future capital plans </w:t>
            </w:r>
          </w:p>
        </w:tc>
      </w:tr>
      <w:tr w:rsidR="00A40C04" w:rsidRPr="00B92144" w14:paraId="3C503C04" w14:textId="77777777" w:rsidTr="00A40C04">
        <w:trPr>
          <w:trHeight w:val="300"/>
        </w:trPr>
        <w:tc>
          <w:tcPr>
            <w:tcW w:w="960" w:type="dxa"/>
            <w:tcBorders>
              <w:top w:val="nil"/>
              <w:left w:val="single" w:sz="4" w:space="0" w:color="auto"/>
              <w:bottom w:val="single" w:sz="4" w:space="0" w:color="auto"/>
              <w:right w:val="nil"/>
            </w:tcBorders>
            <w:shd w:val="clear" w:color="000000" w:fill="C4BD97"/>
            <w:noWrap/>
            <w:vAlign w:val="bottom"/>
            <w:hideMark/>
          </w:tcPr>
          <w:p w14:paraId="550D801D"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w:t>
            </w:r>
          </w:p>
        </w:tc>
        <w:tc>
          <w:tcPr>
            <w:tcW w:w="5020" w:type="dxa"/>
            <w:tcBorders>
              <w:top w:val="nil"/>
              <w:left w:val="single" w:sz="4" w:space="0" w:color="auto"/>
              <w:bottom w:val="single" w:sz="4" w:space="0" w:color="auto"/>
              <w:right w:val="single" w:sz="4" w:space="0" w:color="auto"/>
            </w:tcBorders>
            <w:shd w:val="clear" w:color="000000" w:fill="C4BD97"/>
            <w:noWrap/>
            <w:vAlign w:val="bottom"/>
            <w:hideMark/>
          </w:tcPr>
          <w:p w14:paraId="01F8AEA2" w14:textId="77777777" w:rsidR="00A40C04" w:rsidRPr="00B92144" w:rsidRDefault="00A40C04" w:rsidP="00A40C04">
            <w:pPr>
              <w:spacing w:after="0" w:line="240" w:lineRule="auto"/>
              <w:rPr>
                <w:rFonts w:asciiTheme="majorBidi" w:eastAsia="Times New Roman" w:hAnsiTheme="majorBidi" w:cstheme="majorBidi"/>
                <w:b/>
                <w:bCs/>
                <w:color w:val="000000"/>
                <w:lang w:val="fr-FR" w:eastAsia="fr-FR"/>
              </w:rPr>
            </w:pPr>
            <w:r w:rsidRPr="00B92144">
              <w:rPr>
                <w:rFonts w:asciiTheme="majorBidi" w:eastAsia="Times New Roman" w:hAnsiTheme="majorBidi" w:cstheme="majorBidi"/>
                <w:b/>
                <w:bCs/>
                <w:color w:val="000000"/>
                <w:lang w:val="fr-FR" w:eastAsia="fr-FR"/>
              </w:rPr>
              <w:t>Financial risk</w:t>
            </w:r>
          </w:p>
        </w:tc>
      </w:tr>
      <w:tr w:rsidR="00A40C04" w:rsidRPr="00B92144" w14:paraId="74AF252B"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6D1B4403"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9</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A0D20C6"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Pricing Risk</w:t>
            </w:r>
          </w:p>
        </w:tc>
      </w:tr>
      <w:tr w:rsidR="00A40C04" w:rsidRPr="00B92144" w14:paraId="361D1EA5"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7E31C945"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10</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7035693"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Liquidity</w:t>
            </w:r>
          </w:p>
        </w:tc>
      </w:tr>
      <w:tr w:rsidR="00A40C04" w:rsidRPr="00B92144" w14:paraId="32DEC631"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162D603C"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11</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5D18B6D"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xml:space="preserve">Credit </w:t>
            </w:r>
          </w:p>
        </w:tc>
      </w:tr>
      <w:tr w:rsidR="00A40C04" w:rsidRPr="00B92144" w14:paraId="689D7410"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2766075D"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12</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0355228"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Changes in Interest Rates</w:t>
            </w:r>
          </w:p>
        </w:tc>
      </w:tr>
      <w:tr w:rsidR="00A40C04" w:rsidRPr="00B92144" w14:paraId="5A2F0238"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7B7A781B"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13</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45E8C09"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Credit Risk Exposure</w:t>
            </w:r>
          </w:p>
        </w:tc>
      </w:tr>
      <w:tr w:rsidR="00A40C04" w:rsidRPr="00B92144" w14:paraId="69B48445"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58750D16"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14</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D83F0AB"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Insurance Risk</w:t>
            </w:r>
          </w:p>
        </w:tc>
      </w:tr>
      <w:tr w:rsidR="00A40C04" w:rsidRPr="00B92144" w14:paraId="2E4D276A"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4D433517"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15</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6588E05"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Market Risk</w:t>
            </w:r>
          </w:p>
        </w:tc>
      </w:tr>
      <w:tr w:rsidR="00A40C04" w:rsidRPr="00B92144" w14:paraId="4797F394"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60EDDFED"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16</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0B47FCF"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Interest Rate</w:t>
            </w:r>
          </w:p>
        </w:tc>
      </w:tr>
      <w:tr w:rsidR="00A40C04" w:rsidRPr="00B92144" w14:paraId="27729EAA"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2B684444"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17</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A0FB3D3"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xml:space="preserve">Exchange Rate </w:t>
            </w:r>
          </w:p>
        </w:tc>
      </w:tr>
      <w:tr w:rsidR="00A40C04" w:rsidRPr="00B92144" w14:paraId="67E07D7C"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733DA0A5"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18</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E48BF52"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Sensitivity Analysis</w:t>
            </w:r>
          </w:p>
        </w:tc>
      </w:tr>
      <w:tr w:rsidR="00A40C04" w:rsidRPr="00B92144" w14:paraId="37126C02" w14:textId="77777777" w:rsidTr="00A40C04">
        <w:trPr>
          <w:trHeight w:val="300"/>
        </w:trPr>
        <w:tc>
          <w:tcPr>
            <w:tcW w:w="960" w:type="dxa"/>
            <w:tcBorders>
              <w:top w:val="nil"/>
              <w:left w:val="single" w:sz="4" w:space="0" w:color="auto"/>
              <w:bottom w:val="single" w:sz="4" w:space="0" w:color="auto"/>
              <w:right w:val="nil"/>
            </w:tcBorders>
            <w:shd w:val="clear" w:color="000000" w:fill="C4BD97"/>
            <w:noWrap/>
            <w:vAlign w:val="bottom"/>
            <w:hideMark/>
          </w:tcPr>
          <w:p w14:paraId="2A3AEFF1"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w:t>
            </w:r>
          </w:p>
        </w:tc>
        <w:tc>
          <w:tcPr>
            <w:tcW w:w="5020" w:type="dxa"/>
            <w:tcBorders>
              <w:top w:val="nil"/>
              <w:left w:val="single" w:sz="4" w:space="0" w:color="auto"/>
              <w:bottom w:val="single" w:sz="4" w:space="0" w:color="auto"/>
              <w:right w:val="single" w:sz="4" w:space="0" w:color="auto"/>
            </w:tcBorders>
            <w:shd w:val="clear" w:color="000000" w:fill="C4BD97"/>
            <w:noWrap/>
            <w:vAlign w:val="bottom"/>
            <w:hideMark/>
          </w:tcPr>
          <w:p w14:paraId="3213A7A0" w14:textId="77777777" w:rsidR="00A40C04" w:rsidRPr="00B92144" w:rsidRDefault="00A40C04" w:rsidP="00A40C04">
            <w:pPr>
              <w:spacing w:after="0" w:line="240" w:lineRule="auto"/>
              <w:rPr>
                <w:rFonts w:asciiTheme="majorBidi" w:eastAsia="Times New Roman" w:hAnsiTheme="majorBidi" w:cstheme="majorBidi"/>
                <w:b/>
                <w:bCs/>
                <w:color w:val="000000"/>
                <w:lang w:val="fr-FR" w:eastAsia="fr-FR"/>
              </w:rPr>
            </w:pPr>
            <w:r w:rsidRPr="00B92144">
              <w:rPr>
                <w:rFonts w:asciiTheme="majorBidi" w:eastAsia="Times New Roman" w:hAnsiTheme="majorBidi" w:cstheme="majorBidi"/>
                <w:b/>
                <w:bCs/>
                <w:color w:val="000000"/>
                <w:lang w:val="fr-FR" w:eastAsia="fr-FR"/>
              </w:rPr>
              <w:t>Operational risk</w:t>
            </w:r>
          </w:p>
        </w:tc>
      </w:tr>
      <w:tr w:rsidR="00A40C04" w:rsidRPr="00B92144" w14:paraId="53E46B20"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58C65C1F"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19</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CC8F178"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Operational risk management</w:t>
            </w:r>
          </w:p>
        </w:tc>
      </w:tr>
      <w:tr w:rsidR="00A40C04" w:rsidRPr="00B92144" w14:paraId="3A9B375D" w14:textId="77777777" w:rsidTr="00A40C04">
        <w:trPr>
          <w:trHeight w:val="315"/>
        </w:trPr>
        <w:tc>
          <w:tcPr>
            <w:tcW w:w="960" w:type="dxa"/>
            <w:tcBorders>
              <w:top w:val="nil"/>
              <w:left w:val="single" w:sz="4" w:space="0" w:color="auto"/>
              <w:bottom w:val="single" w:sz="4" w:space="0" w:color="auto"/>
              <w:right w:val="nil"/>
            </w:tcBorders>
            <w:shd w:val="clear" w:color="auto" w:fill="auto"/>
            <w:noWrap/>
            <w:vAlign w:val="bottom"/>
            <w:hideMark/>
          </w:tcPr>
          <w:p w14:paraId="7CEE7EFE" w14:textId="77777777" w:rsidR="00A40C04" w:rsidRPr="00B92144" w:rsidRDefault="00A40C04" w:rsidP="00A40C04">
            <w:pPr>
              <w:spacing w:after="0" w:line="240" w:lineRule="auto"/>
              <w:jc w:val="right"/>
              <w:rPr>
                <w:rFonts w:asciiTheme="majorBidi" w:eastAsia="Times New Roman" w:hAnsiTheme="majorBidi" w:cstheme="majorBidi"/>
                <w:color w:val="000000"/>
                <w:sz w:val="16"/>
                <w:szCs w:val="16"/>
                <w:lang w:val="fr-FR" w:eastAsia="fr-FR"/>
              </w:rPr>
            </w:pPr>
            <w:r w:rsidRPr="00B92144">
              <w:rPr>
                <w:rFonts w:asciiTheme="majorBidi" w:eastAsia="Times New Roman" w:hAnsiTheme="majorBidi" w:cstheme="majorBidi"/>
                <w:color w:val="000000"/>
                <w:sz w:val="16"/>
                <w:szCs w:val="16"/>
                <w:lang w:val="fr-FR" w:eastAsia="fr-FR"/>
              </w:rPr>
              <w:t>20</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48AC457" w14:textId="77777777" w:rsidR="00A40C04" w:rsidRPr="00B92144" w:rsidRDefault="00A40C04" w:rsidP="00A40C04">
            <w:pPr>
              <w:spacing w:after="0" w:line="240" w:lineRule="auto"/>
              <w:rPr>
                <w:rFonts w:asciiTheme="majorBidi" w:eastAsia="Times New Roman" w:hAnsiTheme="majorBidi" w:cstheme="majorBidi"/>
                <w:color w:val="000000"/>
                <w:sz w:val="16"/>
                <w:szCs w:val="16"/>
                <w:lang w:eastAsia="fr-FR"/>
              </w:rPr>
            </w:pPr>
            <w:r w:rsidRPr="00B92144">
              <w:rPr>
                <w:rFonts w:asciiTheme="majorBidi" w:eastAsia="Times New Roman" w:hAnsiTheme="majorBidi" w:cstheme="majorBidi"/>
                <w:color w:val="000000"/>
                <w:sz w:val="16"/>
                <w:szCs w:val="16"/>
                <w:lang w:eastAsia="fr-FR"/>
              </w:rPr>
              <w:t>Operational value-at-risk (VaR/economic capital/Pillar 2 capital)</w:t>
            </w:r>
          </w:p>
        </w:tc>
      </w:tr>
      <w:tr w:rsidR="00A40C04" w:rsidRPr="00B92144" w14:paraId="4D793748"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6FA7CAFE"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21</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32354CF"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Internal audit function/</w:t>
            </w:r>
          </w:p>
        </w:tc>
      </w:tr>
      <w:tr w:rsidR="00A40C04" w:rsidRPr="00B92144" w14:paraId="42130461"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3E4A93D5"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22</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E162194"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Internal control system</w:t>
            </w:r>
          </w:p>
        </w:tc>
      </w:tr>
      <w:tr w:rsidR="00A40C04" w:rsidRPr="00B92144" w14:paraId="02017A2C"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6E9BE05E"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23</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CFB5BE6" w14:textId="77777777" w:rsidR="00A40C04" w:rsidRPr="00B92144" w:rsidRDefault="00A40C04" w:rsidP="00A40C04">
            <w:pPr>
              <w:spacing w:after="0" w:line="240" w:lineRule="auto"/>
              <w:rPr>
                <w:rFonts w:asciiTheme="majorBidi" w:eastAsia="Times New Roman" w:hAnsiTheme="majorBidi" w:cstheme="majorBidi"/>
                <w:color w:val="000000"/>
                <w:lang w:eastAsia="fr-FR"/>
              </w:rPr>
            </w:pPr>
            <w:r w:rsidRPr="00B92144">
              <w:rPr>
                <w:rFonts w:asciiTheme="majorBidi" w:eastAsia="Times New Roman" w:hAnsiTheme="majorBidi" w:cstheme="majorBidi"/>
                <w:color w:val="000000"/>
                <w:lang w:eastAsia="fr-FR"/>
              </w:rPr>
              <w:t>Business Disruption and Systems Failures</w:t>
            </w:r>
          </w:p>
        </w:tc>
      </w:tr>
      <w:tr w:rsidR="00A40C04" w:rsidRPr="00B92144" w14:paraId="7F944C37"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0DB8A7F4"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24</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00FF771"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Legal risks</w:t>
            </w:r>
          </w:p>
        </w:tc>
      </w:tr>
      <w:tr w:rsidR="00A40C04" w:rsidRPr="00B92144" w14:paraId="2F9B30CF"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773CD396"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25</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38E27D6"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Compliance risk</w:t>
            </w:r>
          </w:p>
        </w:tc>
      </w:tr>
      <w:tr w:rsidR="00A40C04" w:rsidRPr="00B92144" w14:paraId="7744255E"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6FAC369C"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26</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CB7EE77"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Fraud risk (internal/external)</w:t>
            </w:r>
          </w:p>
        </w:tc>
      </w:tr>
      <w:tr w:rsidR="00A40C04" w:rsidRPr="00B92144" w14:paraId="5A850581"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0C5A74B2"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27</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53B99B9"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Damage to Physical Assets</w:t>
            </w:r>
          </w:p>
        </w:tc>
      </w:tr>
      <w:tr w:rsidR="00A40C04" w:rsidRPr="00B92144" w14:paraId="4387F65C"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3C3101A7"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28</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F192AB3" w14:textId="77777777" w:rsidR="00A40C04" w:rsidRPr="00B92144" w:rsidRDefault="00A40C04" w:rsidP="00A40C04">
            <w:pPr>
              <w:spacing w:after="0" w:line="240" w:lineRule="auto"/>
              <w:rPr>
                <w:rFonts w:asciiTheme="majorBidi" w:eastAsia="Times New Roman" w:hAnsiTheme="majorBidi" w:cstheme="majorBidi"/>
                <w:color w:val="000000"/>
                <w:lang w:eastAsia="fr-FR"/>
              </w:rPr>
            </w:pPr>
            <w:r w:rsidRPr="00B92144">
              <w:rPr>
                <w:rFonts w:asciiTheme="majorBidi" w:eastAsia="Times New Roman" w:hAnsiTheme="majorBidi" w:cstheme="majorBidi"/>
                <w:color w:val="000000"/>
                <w:lang w:eastAsia="fr-FR"/>
              </w:rPr>
              <w:t>Employment Practices and Workplace Safety</w:t>
            </w:r>
          </w:p>
        </w:tc>
      </w:tr>
      <w:tr w:rsidR="00A40C04" w:rsidRPr="00B92144" w14:paraId="6D3BAA36" w14:textId="77777777" w:rsidTr="00A40C04">
        <w:trPr>
          <w:trHeight w:val="300"/>
        </w:trPr>
        <w:tc>
          <w:tcPr>
            <w:tcW w:w="960" w:type="dxa"/>
            <w:tcBorders>
              <w:top w:val="nil"/>
              <w:left w:val="single" w:sz="4" w:space="0" w:color="auto"/>
              <w:bottom w:val="single" w:sz="4" w:space="0" w:color="auto"/>
              <w:right w:val="nil"/>
            </w:tcBorders>
            <w:shd w:val="clear" w:color="000000" w:fill="C4BD97"/>
            <w:noWrap/>
            <w:vAlign w:val="bottom"/>
            <w:hideMark/>
          </w:tcPr>
          <w:p w14:paraId="5202FF63" w14:textId="77777777" w:rsidR="00A40C04" w:rsidRPr="00B92144" w:rsidRDefault="00A40C04" w:rsidP="00A40C04">
            <w:pPr>
              <w:spacing w:after="0" w:line="240" w:lineRule="auto"/>
              <w:rPr>
                <w:rFonts w:asciiTheme="majorBidi" w:eastAsia="Times New Roman" w:hAnsiTheme="majorBidi" w:cstheme="majorBidi"/>
                <w:color w:val="000000"/>
                <w:lang w:eastAsia="fr-FR"/>
              </w:rPr>
            </w:pPr>
            <w:r w:rsidRPr="00B92144">
              <w:rPr>
                <w:rFonts w:asciiTheme="majorBidi" w:eastAsia="Times New Roman" w:hAnsiTheme="majorBidi" w:cstheme="majorBidi"/>
                <w:color w:val="000000"/>
                <w:lang w:eastAsia="fr-FR"/>
              </w:rPr>
              <w:t> </w:t>
            </w:r>
          </w:p>
        </w:tc>
        <w:tc>
          <w:tcPr>
            <w:tcW w:w="5020" w:type="dxa"/>
            <w:tcBorders>
              <w:top w:val="nil"/>
              <w:left w:val="single" w:sz="4" w:space="0" w:color="auto"/>
              <w:bottom w:val="single" w:sz="4" w:space="0" w:color="auto"/>
              <w:right w:val="single" w:sz="4" w:space="0" w:color="auto"/>
            </w:tcBorders>
            <w:shd w:val="clear" w:color="000000" w:fill="C4BD97"/>
            <w:noWrap/>
            <w:vAlign w:val="bottom"/>
            <w:hideMark/>
          </w:tcPr>
          <w:p w14:paraId="580C5C3E" w14:textId="77777777" w:rsidR="00A40C04" w:rsidRPr="00B92144" w:rsidRDefault="00A40C04" w:rsidP="00A40C04">
            <w:pPr>
              <w:spacing w:after="0" w:line="240" w:lineRule="auto"/>
              <w:rPr>
                <w:rFonts w:asciiTheme="majorBidi" w:eastAsia="Times New Roman" w:hAnsiTheme="majorBidi" w:cstheme="majorBidi"/>
                <w:b/>
                <w:bCs/>
                <w:color w:val="000000"/>
                <w:lang w:val="fr-FR" w:eastAsia="fr-FR"/>
              </w:rPr>
            </w:pPr>
            <w:r w:rsidRPr="00B92144">
              <w:rPr>
                <w:rFonts w:asciiTheme="majorBidi" w:eastAsia="Times New Roman" w:hAnsiTheme="majorBidi" w:cstheme="majorBidi"/>
                <w:b/>
                <w:bCs/>
                <w:color w:val="000000"/>
                <w:lang w:val="fr-FR" w:eastAsia="fr-FR"/>
              </w:rPr>
              <w:t>Financial instruments</w:t>
            </w:r>
          </w:p>
        </w:tc>
      </w:tr>
      <w:tr w:rsidR="00A40C04" w:rsidRPr="00B92144" w14:paraId="4BA1AB3E"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24FDC4D7"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29</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675433F"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Derivatives</w:t>
            </w:r>
          </w:p>
        </w:tc>
      </w:tr>
      <w:tr w:rsidR="00A40C04" w:rsidRPr="00B92144" w14:paraId="3DD87DFC"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14333DD2"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30</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CD76208"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Fair value</w:t>
            </w:r>
          </w:p>
        </w:tc>
      </w:tr>
      <w:tr w:rsidR="00A40C04" w:rsidRPr="00B92144" w14:paraId="2EF04707"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3566056A"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31</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5EA7752" w14:textId="77777777" w:rsidR="00A40C04" w:rsidRPr="00B92144" w:rsidRDefault="00A40C04" w:rsidP="00A40C04">
            <w:pPr>
              <w:spacing w:after="0" w:line="240" w:lineRule="auto"/>
              <w:rPr>
                <w:rFonts w:asciiTheme="majorBidi" w:eastAsia="Times New Roman" w:hAnsiTheme="majorBidi" w:cstheme="majorBidi"/>
                <w:color w:val="000000"/>
                <w:lang w:eastAsia="fr-FR"/>
              </w:rPr>
            </w:pPr>
            <w:r w:rsidRPr="00B92144">
              <w:rPr>
                <w:rFonts w:asciiTheme="majorBidi" w:eastAsia="Times New Roman" w:hAnsiTheme="majorBidi" w:cstheme="majorBidi"/>
                <w:color w:val="000000"/>
                <w:lang w:eastAsia="fr-FR"/>
              </w:rPr>
              <w:t>Cumulative change in Fair value</w:t>
            </w:r>
          </w:p>
        </w:tc>
      </w:tr>
      <w:tr w:rsidR="00A40C04" w:rsidRPr="00B92144" w14:paraId="06992CE1"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52E1A0E6"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32</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4E66ABA"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Hedging Description</w:t>
            </w:r>
          </w:p>
        </w:tc>
      </w:tr>
      <w:tr w:rsidR="00A40C04" w:rsidRPr="00B92144" w14:paraId="114BA551"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3D5B55E8"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33</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3FB7886" w14:textId="1AC7EDF8"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Cash flow Hedge</w:t>
            </w:r>
          </w:p>
        </w:tc>
      </w:tr>
      <w:tr w:rsidR="00A40C04" w:rsidRPr="00B92144" w14:paraId="716F5B50" w14:textId="77777777" w:rsidTr="00A40C04">
        <w:trPr>
          <w:trHeight w:val="300"/>
        </w:trPr>
        <w:tc>
          <w:tcPr>
            <w:tcW w:w="960" w:type="dxa"/>
            <w:tcBorders>
              <w:top w:val="nil"/>
              <w:left w:val="single" w:sz="4" w:space="0" w:color="auto"/>
              <w:bottom w:val="single" w:sz="4" w:space="0" w:color="auto"/>
              <w:right w:val="nil"/>
            </w:tcBorders>
            <w:shd w:val="clear" w:color="000000" w:fill="C4BD97"/>
            <w:noWrap/>
            <w:vAlign w:val="bottom"/>
            <w:hideMark/>
          </w:tcPr>
          <w:p w14:paraId="1E11D8FD"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w:t>
            </w:r>
          </w:p>
        </w:tc>
        <w:tc>
          <w:tcPr>
            <w:tcW w:w="5020" w:type="dxa"/>
            <w:tcBorders>
              <w:top w:val="nil"/>
              <w:left w:val="single" w:sz="4" w:space="0" w:color="auto"/>
              <w:bottom w:val="single" w:sz="4" w:space="0" w:color="auto"/>
              <w:right w:val="single" w:sz="4" w:space="0" w:color="auto"/>
            </w:tcBorders>
            <w:shd w:val="clear" w:color="000000" w:fill="C4BD97"/>
            <w:noWrap/>
            <w:vAlign w:val="bottom"/>
            <w:hideMark/>
          </w:tcPr>
          <w:p w14:paraId="2DBE1D1B" w14:textId="3C6110E7" w:rsidR="00A40C04" w:rsidRPr="00B92144" w:rsidRDefault="00A40C04" w:rsidP="00A40C04">
            <w:pPr>
              <w:spacing w:after="0" w:line="240" w:lineRule="auto"/>
              <w:rPr>
                <w:rFonts w:asciiTheme="majorBidi" w:eastAsia="Times New Roman" w:hAnsiTheme="majorBidi" w:cstheme="majorBidi"/>
                <w:b/>
                <w:bCs/>
                <w:color w:val="000000"/>
                <w:lang w:val="fr-FR" w:eastAsia="fr-FR"/>
              </w:rPr>
            </w:pPr>
            <w:r w:rsidRPr="00B92144">
              <w:rPr>
                <w:rFonts w:asciiTheme="majorBidi" w:eastAsia="Times New Roman" w:hAnsiTheme="majorBidi" w:cstheme="majorBidi"/>
                <w:b/>
                <w:bCs/>
                <w:color w:val="000000"/>
                <w:lang w:val="fr-FR" w:eastAsia="fr-FR"/>
              </w:rPr>
              <w:t xml:space="preserve"> Reserves</w:t>
            </w:r>
          </w:p>
        </w:tc>
      </w:tr>
      <w:tr w:rsidR="00A40C04" w:rsidRPr="00B92144" w14:paraId="43B54087"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580F0957"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34</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3E6436B"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Reserves</w:t>
            </w:r>
          </w:p>
        </w:tc>
      </w:tr>
      <w:tr w:rsidR="00A40C04" w:rsidRPr="00B92144" w14:paraId="02F00E9C"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1B796106"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35</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A8BDED3"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Statutory Reserves</w:t>
            </w:r>
          </w:p>
        </w:tc>
      </w:tr>
      <w:tr w:rsidR="00A40C04" w:rsidRPr="00B92144" w14:paraId="4B57F014"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4E6D34DD"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36</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E91D2FC"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Legal Reserves</w:t>
            </w:r>
          </w:p>
        </w:tc>
      </w:tr>
      <w:tr w:rsidR="00A40C04" w:rsidRPr="00B92144" w14:paraId="54D7700E" w14:textId="77777777" w:rsidTr="00A40C04">
        <w:trPr>
          <w:trHeight w:val="300"/>
        </w:trPr>
        <w:tc>
          <w:tcPr>
            <w:tcW w:w="960" w:type="dxa"/>
            <w:tcBorders>
              <w:top w:val="nil"/>
              <w:left w:val="single" w:sz="4" w:space="0" w:color="auto"/>
              <w:bottom w:val="single" w:sz="4" w:space="0" w:color="auto"/>
              <w:right w:val="nil"/>
            </w:tcBorders>
            <w:shd w:val="clear" w:color="000000" w:fill="C4BD97"/>
            <w:noWrap/>
            <w:vAlign w:val="bottom"/>
            <w:hideMark/>
          </w:tcPr>
          <w:p w14:paraId="07A203A3"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w:t>
            </w:r>
          </w:p>
        </w:tc>
        <w:tc>
          <w:tcPr>
            <w:tcW w:w="5020" w:type="dxa"/>
            <w:tcBorders>
              <w:top w:val="nil"/>
              <w:left w:val="single" w:sz="4" w:space="0" w:color="auto"/>
              <w:bottom w:val="single" w:sz="4" w:space="0" w:color="auto"/>
              <w:right w:val="single" w:sz="4" w:space="0" w:color="auto"/>
            </w:tcBorders>
            <w:shd w:val="clear" w:color="000000" w:fill="C4BD97"/>
            <w:noWrap/>
            <w:vAlign w:val="bottom"/>
            <w:hideMark/>
          </w:tcPr>
          <w:p w14:paraId="6D724BEB" w14:textId="77777777" w:rsidR="00A40C04" w:rsidRPr="00B92144" w:rsidRDefault="00A40C04" w:rsidP="00A40C04">
            <w:pPr>
              <w:spacing w:after="0" w:line="240" w:lineRule="auto"/>
              <w:rPr>
                <w:rFonts w:asciiTheme="majorBidi" w:eastAsia="Times New Roman" w:hAnsiTheme="majorBidi" w:cstheme="majorBidi"/>
                <w:b/>
                <w:bCs/>
                <w:color w:val="000000"/>
                <w:lang w:val="fr-FR" w:eastAsia="fr-FR"/>
              </w:rPr>
            </w:pPr>
            <w:r w:rsidRPr="00B92144">
              <w:rPr>
                <w:rFonts w:asciiTheme="majorBidi" w:eastAsia="Times New Roman" w:hAnsiTheme="majorBidi" w:cstheme="majorBidi"/>
                <w:b/>
                <w:bCs/>
                <w:color w:val="000000"/>
                <w:lang w:val="fr-FR" w:eastAsia="fr-FR"/>
              </w:rPr>
              <w:t>Segment Information</w:t>
            </w:r>
          </w:p>
        </w:tc>
      </w:tr>
      <w:tr w:rsidR="00A40C04" w:rsidRPr="00B92144" w14:paraId="533F22D4"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67F2A253"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37</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24A30CD"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Geographical Concentration</w:t>
            </w:r>
          </w:p>
        </w:tc>
      </w:tr>
      <w:tr w:rsidR="00A40C04" w:rsidRPr="00B92144" w14:paraId="6F86BF29"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3828109C"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38</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411F23B"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Customer Concentration</w:t>
            </w:r>
          </w:p>
        </w:tc>
      </w:tr>
      <w:tr w:rsidR="00A40C04" w:rsidRPr="00B92144" w14:paraId="7828B8BE" w14:textId="77777777" w:rsidTr="00A40C04">
        <w:trPr>
          <w:trHeight w:val="300"/>
        </w:trPr>
        <w:tc>
          <w:tcPr>
            <w:tcW w:w="960" w:type="dxa"/>
            <w:tcBorders>
              <w:top w:val="nil"/>
              <w:left w:val="single" w:sz="4" w:space="0" w:color="auto"/>
              <w:bottom w:val="single" w:sz="4" w:space="0" w:color="auto"/>
              <w:right w:val="nil"/>
            </w:tcBorders>
            <w:shd w:val="clear" w:color="000000" w:fill="C4BD97"/>
            <w:noWrap/>
            <w:vAlign w:val="bottom"/>
            <w:hideMark/>
          </w:tcPr>
          <w:p w14:paraId="1F60804E"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w:t>
            </w:r>
          </w:p>
        </w:tc>
        <w:tc>
          <w:tcPr>
            <w:tcW w:w="5020" w:type="dxa"/>
            <w:tcBorders>
              <w:top w:val="nil"/>
              <w:left w:val="single" w:sz="4" w:space="0" w:color="auto"/>
              <w:bottom w:val="single" w:sz="4" w:space="0" w:color="auto"/>
              <w:right w:val="single" w:sz="4" w:space="0" w:color="auto"/>
            </w:tcBorders>
            <w:shd w:val="clear" w:color="000000" w:fill="C4BD97"/>
            <w:noWrap/>
            <w:vAlign w:val="bottom"/>
            <w:hideMark/>
          </w:tcPr>
          <w:p w14:paraId="54270647" w14:textId="77777777" w:rsidR="00A40C04" w:rsidRPr="00B92144" w:rsidRDefault="00A40C04" w:rsidP="00A40C04">
            <w:pPr>
              <w:spacing w:after="0" w:line="240" w:lineRule="auto"/>
              <w:rPr>
                <w:rFonts w:asciiTheme="majorBidi" w:eastAsia="Times New Roman" w:hAnsiTheme="majorBidi" w:cstheme="majorBidi"/>
                <w:b/>
                <w:bCs/>
                <w:color w:val="000000"/>
                <w:lang w:val="fr-FR" w:eastAsia="fr-FR"/>
              </w:rPr>
            </w:pPr>
            <w:r w:rsidRPr="00B92144">
              <w:rPr>
                <w:rFonts w:asciiTheme="majorBidi" w:eastAsia="Times New Roman" w:hAnsiTheme="majorBidi" w:cstheme="majorBidi"/>
                <w:b/>
                <w:bCs/>
                <w:color w:val="000000"/>
                <w:lang w:val="fr-FR" w:eastAsia="fr-FR"/>
              </w:rPr>
              <w:t xml:space="preserve"> Accounting and presentation policies</w:t>
            </w:r>
          </w:p>
        </w:tc>
      </w:tr>
      <w:tr w:rsidR="00A40C04" w:rsidRPr="00B92144" w14:paraId="44C2D91E"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4D4440E4"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39</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E7A4C02"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Risk Management</w:t>
            </w:r>
          </w:p>
        </w:tc>
      </w:tr>
      <w:tr w:rsidR="00A40C04" w:rsidRPr="00B92144" w14:paraId="60399D77"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02103F6D"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40</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45DDED0"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xml:space="preserve">Objective of Holding Derivatives </w:t>
            </w:r>
          </w:p>
        </w:tc>
      </w:tr>
      <w:tr w:rsidR="00A40C04" w:rsidRPr="00B92144" w14:paraId="3819C355"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1D5ACF26"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41</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FC9B461"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xml:space="preserve">Estimates </w:t>
            </w:r>
          </w:p>
        </w:tc>
      </w:tr>
      <w:tr w:rsidR="00A40C04" w:rsidRPr="00B92144" w14:paraId="72CA14DA"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4F676267"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42</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C36F10B"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Collateral Assets</w:t>
            </w:r>
          </w:p>
        </w:tc>
      </w:tr>
      <w:tr w:rsidR="00A40C04" w:rsidRPr="00B92144" w14:paraId="6B711158"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4D8ED193"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43</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B0AE145"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xml:space="preserve">Financial Assets Impairment </w:t>
            </w:r>
          </w:p>
        </w:tc>
      </w:tr>
      <w:tr w:rsidR="00A40C04" w:rsidRPr="00B92144" w14:paraId="377A30FD"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6BB351C8"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44</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9554663"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Assets Impairment</w:t>
            </w:r>
          </w:p>
        </w:tc>
      </w:tr>
      <w:tr w:rsidR="00A40C04" w:rsidRPr="00B92144" w14:paraId="57F2F488"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65B61866"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45</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5D2EDA1"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Contingent Liabilities</w:t>
            </w:r>
          </w:p>
        </w:tc>
      </w:tr>
      <w:tr w:rsidR="00A40C04" w:rsidRPr="00B92144" w14:paraId="07BD78E8"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1E9BE458"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46</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D93BCC3"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Contingent Assets</w:t>
            </w:r>
          </w:p>
        </w:tc>
      </w:tr>
      <w:tr w:rsidR="00A40C04" w:rsidRPr="00B92144" w14:paraId="2297ABF8"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0AD41D9F"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47</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6811F3A" w14:textId="77777777" w:rsidR="00A40C04" w:rsidRPr="00B92144" w:rsidRDefault="00A40C04" w:rsidP="00A40C04">
            <w:pPr>
              <w:spacing w:after="0" w:line="240" w:lineRule="auto"/>
              <w:rPr>
                <w:rFonts w:asciiTheme="majorBidi" w:eastAsia="Times New Roman" w:hAnsiTheme="majorBidi" w:cstheme="majorBidi"/>
                <w:color w:val="000000"/>
                <w:lang w:eastAsia="fr-FR"/>
              </w:rPr>
            </w:pPr>
            <w:r w:rsidRPr="00B92144">
              <w:rPr>
                <w:rFonts w:asciiTheme="majorBidi" w:eastAsia="Times New Roman" w:hAnsiTheme="majorBidi" w:cstheme="majorBidi"/>
                <w:color w:val="000000"/>
                <w:lang w:eastAsia="fr-FR"/>
              </w:rPr>
              <w:t>Lower of Cost or Market</w:t>
            </w:r>
          </w:p>
        </w:tc>
      </w:tr>
      <w:tr w:rsidR="00A40C04" w:rsidRPr="00B92144" w14:paraId="69035D4C"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2FAD0FE7"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48</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D47DD59"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Contingency</w:t>
            </w:r>
          </w:p>
        </w:tc>
      </w:tr>
      <w:tr w:rsidR="00A40C04" w:rsidRPr="00B92144" w14:paraId="3E486E08" w14:textId="77777777" w:rsidTr="00A40C04">
        <w:trPr>
          <w:trHeight w:val="300"/>
        </w:trPr>
        <w:tc>
          <w:tcPr>
            <w:tcW w:w="960" w:type="dxa"/>
            <w:tcBorders>
              <w:top w:val="nil"/>
              <w:left w:val="single" w:sz="4" w:space="0" w:color="auto"/>
              <w:bottom w:val="single" w:sz="4" w:space="0" w:color="auto"/>
              <w:right w:val="nil"/>
            </w:tcBorders>
            <w:shd w:val="clear" w:color="000000" w:fill="C4BD97"/>
            <w:noWrap/>
            <w:vAlign w:val="bottom"/>
            <w:hideMark/>
          </w:tcPr>
          <w:p w14:paraId="411F0EC4"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w:t>
            </w:r>
          </w:p>
        </w:tc>
        <w:tc>
          <w:tcPr>
            <w:tcW w:w="5020" w:type="dxa"/>
            <w:tcBorders>
              <w:top w:val="nil"/>
              <w:left w:val="single" w:sz="4" w:space="0" w:color="auto"/>
              <w:bottom w:val="single" w:sz="4" w:space="0" w:color="auto"/>
              <w:right w:val="single" w:sz="4" w:space="0" w:color="auto"/>
            </w:tcBorders>
            <w:shd w:val="clear" w:color="000000" w:fill="C4BD97"/>
            <w:noWrap/>
            <w:vAlign w:val="bottom"/>
            <w:hideMark/>
          </w:tcPr>
          <w:p w14:paraId="5F864D18" w14:textId="77777777" w:rsidR="00A40C04" w:rsidRPr="00B92144" w:rsidRDefault="00A40C04" w:rsidP="00A40C04">
            <w:pPr>
              <w:spacing w:after="0" w:line="240" w:lineRule="auto"/>
              <w:rPr>
                <w:rFonts w:asciiTheme="majorBidi" w:eastAsia="Times New Roman" w:hAnsiTheme="majorBidi" w:cstheme="majorBidi"/>
                <w:b/>
                <w:bCs/>
                <w:color w:val="000000"/>
                <w:lang w:val="fr-FR" w:eastAsia="fr-FR"/>
              </w:rPr>
            </w:pPr>
            <w:r w:rsidRPr="00B92144">
              <w:rPr>
                <w:rFonts w:asciiTheme="majorBidi" w:eastAsia="Times New Roman" w:hAnsiTheme="majorBidi" w:cstheme="majorBidi"/>
                <w:b/>
                <w:bCs/>
                <w:color w:val="000000"/>
                <w:lang w:val="fr-FR" w:eastAsia="fr-FR"/>
              </w:rPr>
              <w:t xml:space="preserve"> General risks information</w:t>
            </w:r>
          </w:p>
        </w:tc>
      </w:tr>
      <w:tr w:rsidR="00A40C04" w:rsidRPr="00B92144" w14:paraId="6952643B"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7BB1FA5A"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49</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5DE398A"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Concentration of Credit Risk</w:t>
            </w:r>
          </w:p>
        </w:tc>
      </w:tr>
      <w:tr w:rsidR="00A40C04" w:rsidRPr="00B92144" w14:paraId="4020889B"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18DC2A71"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50</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154DFF5"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Customer Satisfaction</w:t>
            </w:r>
          </w:p>
        </w:tc>
      </w:tr>
      <w:tr w:rsidR="00A40C04" w:rsidRPr="00B92144" w14:paraId="16A1E068"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3B256A8A"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51</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5750DDF"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High Competition</w:t>
            </w:r>
          </w:p>
        </w:tc>
      </w:tr>
      <w:tr w:rsidR="00A40C04" w:rsidRPr="00B92144" w14:paraId="3830612C"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5B2AB8B1"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52</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0FC4003"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Commodity</w:t>
            </w:r>
          </w:p>
        </w:tc>
      </w:tr>
      <w:tr w:rsidR="00A40C04" w:rsidRPr="00B92144" w14:paraId="274CF5D6"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330CA3A9"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53</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6EF5999"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Natural Disasters</w:t>
            </w:r>
          </w:p>
        </w:tc>
      </w:tr>
      <w:tr w:rsidR="00A40C04" w:rsidRPr="00B92144" w14:paraId="3361D149"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4E7FCF82"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54</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84893FB"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Communications</w:t>
            </w:r>
          </w:p>
        </w:tc>
      </w:tr>
      <w:tr w:rsidR="00A40C04" w:rsidRPr="00B92144" w14:paraId="62CFFF3F"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4AA6B3D6"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55</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84DFC2B"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Outsourcing</w:t>
            </w:r>
          </w:p>
        </w:tc>
      </w:tr>
      <w:tr w:rsidR="00A40C04" w:rsidRPr="00B92144" w14:paraId="76A9D05A"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607FF704"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56</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8343A35"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 xml:space="preserve">Reputation </w:t>
            </w:r>
          </w:p>
        </w:tc>
      </w:tr>
      <w:tr w:rsidR="00A40C04" w:rsidRPr="00B92144" w14:paraId="06540AAD"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6BAB0960"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57</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B938B4F"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Competition</w:t>
            </w:r>
          </w:p>
        </w:tc>
      </w:tr>
      <w:tr w:rsidR="00A40C04" w:rsidRPr="00B92144" w14:paraId="0B09D58A"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612A526E"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58</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FA94005"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Weather Conditions</w:t>
            </w:r>
          </w:p>
        </w:tc>
      </w:tr>
      <w:tr w:rsidR="00A40C04" w:rsidRPr="00B92144" w14:paraId="4F7C80BB"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1351BAD2" w14:textId="77777777" w:rsidR="00A40C04" w:rsidRPr="00B92144" w:rsidRDefault="00A40C04" w:rsidP="00A40C04">
            <w:pPr>
              <w:spacing w:after="0" w:line="240" w:lineRule="auto"/>
              <w:jc w:val="right"/>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59</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178B9CB" w14:textId="77777777" w:rsidR="00A40C04" w:rsidRPr="00B92144" w:rsidRDefault="00A40C04" w:rsidP="00A40C04">
            <w:pPr>
              <w:spacing w:after="0" w:line="240" w:lineRule="auto"/>
              <w:rPr>
                <w:rFonts w:asciiTheme="majorBidi" w:eastAsia="Times New Roman" w:hAnsiTheme="majorBidi" w:cstheme="majorBidi"/>
                <w:color w:val="000000"/>
                <w:lang w:val="fr-FR" w:eastAsia="fr-FR"/>
              </w:rPr>
            </w:pPr>
            <w:r w:rsidRPr="00B92144">
              <w:rPr>
                <w:rFonts w:asciiTheme="majorBidi" w:eastAsia="Times New Roman" w:hAnsiTheme="majorBidi" w:cstheme="majorBidi"/>
                <w:color w:val="000000"/>
                <w:lang w:val="fr-FR" w:eastAsia="fr-FR"/>
              </w:rPr>
              <w:t>Change in Technology</w:t>
            </w:r>
          </w:p>
        </w:tc>
      </w:tr>
      <w:tr w:rsidR="00A40C04" w:rsidRPr="00B92144" w14:paraId="3A74BDC3" w14:textId="77777777" w:rsidTr="00A40C04">
        <w:trPr>
          <w:trHeight w:val="300"/>
        </w:trPr>
        <w:tc>
          <w:tcPr>
            <w:tcW w:w="960" w:type="dxa"/>
            <w:tcBorders>
              <w:top w:val="nil"/>
              <w:left w:val="single" w:sz="4" w:space="0" w:color="auto"/>
              <w:bottom w:val="single" w:sz="4" w:space="0" w:color="auto"/>
              <w:right w:val="nil"/>
            </w:tcBorders>
            <w:shd w:val="clear" w:color="000000" w:fill="C4BD97"/>
            <w:noWrap/>
            <w:vAlign w:val="bottom"/>
            <w:hideMark/>
          </w:tcPr>
          <w:p w14:paraId="678E9949" w14:textId="77777777" w:rsidR="00A40C04" w:rsidRPr="00B92144" w:rsidRDefault="00A40C04" w:rsidP="00A40C04">
            <w:pPr>
              <w:spacing w:after="0" w:line="240" w:lineRule="auto"/>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 </w:t>
            </w:r>
          </w:p>
        </w:tc>
        <w:tc>
          <w:tcPr>
            <w:tcW w:w="5020" w:type="dxa"/>
            <w:tcBorders>
              <w:top w:val="nil"/>
              <w:left w:val="single" w:sz="4" w:space="0" w:color="auto"/>
              <w:bottom w:val="single" w:sz="4" w:space="0" w:color="auto"/>
              <w:right w:val="single" w:sz="4" w:space="0" w:color="auto"/>
            </w:tcBorders>
            <w:shd w:val="clear" w:color="000000" w:fill="C4BD97"/>
            <w:noWrap/>
            <w:vAlign w:val="bottom"/>
            <w:hideMark/>
          </w:tcPr>
          <w:p w14:paraId="649B7217" w14:textId="77777777" w:rsidR="00A40C04" w:rsidRPr="00B92144" w:rsidRDefault="00A40C04" w:rsidP="00A40C04">
            <w:pPr>
              <w:spacing w:after="0" w:line="240" w:lineRule="auto"/>
              <w:rPr>
                <w:rFonts w:asciiTheme="majorBidi" w:eastAsia="Times New Roman" w:hAnsiTheme="majorBidi" w:cstheme="majorBidi"/>
                <w:b/>
                <w:bCs/>
                <w:lang w:eastAsia="fr-FR"/>
              </w:rPr>
            </w:pPr>
            <w:r w:rsidRPr="00B92144">
              <w:rPr>
                <w:rFonts w:asciiTheme="majorBidi" w:eastAsia="Times New Roman" w:hAnsiTheme="majorBidi" w:cstheme="majorBidi"/>
                <w:b/>
                <w:bCs/>
                <w:lang w:eastAsia="fr-FR"/>
              </w:rPr>
              <w:t>Specific risks information for Islamic Banks</w:t>
            </w:r>
          </w:p>
        </w:tc>
      </w:tr>
      <w:tr w:rsidR="00A40C04" w:rsidRPr="00B92144" w14:paraId="791D7F0E"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2BA0C0C7" w14:textId="77777777" w:rsidR="00A40C04" w:rsidRPr="00B92144" w:rsidRDefault="00A40C04" w:rsidP="00A40C04">
            <w:pPr>
              <w:spacing w:after="0" w:line="240" w:lineRule="auto"/>
              <w:jc w:val="right"/>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60</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1104B17" w14:textId="77777777" w:rsidR="00A40C04" w:rsidRPr="00B92144" w:rsidRDefault="00A40C04" w:rsidP="00A40C04">
            <w:pPr>
              <w:spacing w:after="0" w:line="240" w:lineRule="auto"/>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Rate of return risk</w:t>
            </w:r>
          </w:p>
        </w:tc>
      </w:tr>
      <w:tr w:rsidR="00A40C04" w:rsidRPr="00B92144" w14:paraId="446B42CE"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7BA023C9" w14:textId="77777777" w:rsidR="00A40C04" w:rsidRPr="00B92144" w:rsidRDefault="00A40C04" w:rsidP="00A40C04">
            <w:pPr>
              <w:spacing w:after="0" w:line="240" w:lineRule="auto"/>
              <w:jc w:val="right"/>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61</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989BED8" w14:textId="77777777" w:rsidR="00A40C04" w:rsidRPr="00B92144" w:rsidRDefault="00A40C04" w:rsidP="00A40C04">
            <w:pPr>
              <w:spacing w:after="0" w:line="240" w:lineRule="auto"/>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Shariah non-compliance risk</w:t>
            </w:r>
          </w:p>
        </w:tc>
      </w:tr>
      <w:tr w:rsidR="00A40C04" w:rsidRPr="00B92144" w14:paraId="49F2F74F"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61EEA69C" w14:textId="77777777" w:rsidR="00A40C04" w:rsidRPr="00B92144" w:rsidRDefault="00A40C04" w:rsidP="00A40C04">
            <w:pPr>
              <w:spacing w:after="0" w:line="240" w:lineRule="auto"/>
              <w:jc w:val="right"/>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62</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B7A9D58" w14:textId="77777777" w:rsidR="00A40C04" w:rsidRPr="00B92144" w:rsidRDefault="00A40C04" w:rsidP="00A40C04">
            <w:pPr>
              <w:spacing w:after="0" w:line="240" w:lineRule="auto"/>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Displaced commercial risk</w:t>
            </w:r>
          </w:p>
        </w:tc>
      </w:tr>
      <w:tr w:rsidR="00A40C04" w:rsidRPr="00B92144" w14:paraId="28D4573B"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09067056" w14:textId="77777777" w:rsidR="00A40C04" w:rsidRPr="00B92144" w:rsidRDefault="00A40C04" w:rsidP="00A40C04">
            <w:pPr>
              <w:spacing w:after="0" w:line="240" w:lineRule="auto"/>
              <w:jc w:val="right"/>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63</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7105687" w14:textId="77777777" w:rsidR="00A40C04" w:rsidRPr="00B92144" w:rsidRDefault="00A40C04" w:rsidP="00A40C04">
            <w:pPr>
              <w:spacing w:after="0" w:line="240" w:lineRule="auto"/>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Equity investment risk</w:t>
            </w:r>
          </w:p>
        </w:tc>
      </w:tr>
      <w:tr w:rsidR="00A40C04" w:rsidRPr="00B92144" w14:paraId="2AA395DA"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75233245" w14:textId="77777777" w:rsidR="00A40C04" w:rsidRPr="00B92144" w:rsidRDefault="00A40C04" w:rsidP="00A40C04">
            <w:pPr>
              <w:spacing w:after="0" w:line="240" w:lineRule="auto"/>
              <w:jc w:val="right"/>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64</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24C77FA" w14:textId="77777777" w:rsidR="00A40C04" w:rsidRPr="00B92144" w:rsidRDefault="00A40C04" w:rsidP="00A40C04">
            <w:pPr>
              <w:spacing w:after="0" w:line="240" w:lineRule="auto"/>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Inventory risk</w:t>
            </w:r>
          </w:p>
        </w:tc>
      </w:tr>
      <w:tr w:rsidR="00A40C04" w:rsidRPr="00B92144" w14:paraId="3950997A"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60B8927A" w14:textId="77777777" w:rsidR="00A40C04" w:rsidRPr="00B92144" w:rsidRDefault="00A40C04" w:rsidP="00A40C04">
            <w:pPr>
              <w:spacing w:after="0" w:line="240" w:lineRule="auto"/>
              <w:jc w:val="right"/>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65</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3D83AB3" w14:textId="77777777" w:rsidR="00A40C04" w:rsidRPr="00B92144" w:rsidRDefault="00A40C04" w:rsidP="00A40C04">
            <w:pPr>
              <w:spacing w:after="0" w:line="240" w:lineRule="auto"/>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Market risk</w:t>
            </w:r>
          </w:p>
        </w:tc>
      </w:tr>
      <w:tr w:rsidR="00A40C04" w:rsidRPr="00B92144" w14:paraId="551810C1"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641CBCDA" w14:textId="77777777" w:rsidR="00A40C04" w:rsidRPr="00B92144" w:rsidRDefault="00A40C04" w:rsidP="00A40C04">
            <w:pPr>
              <w:spacing w:after="0" w:line="240" w:lineRule="auto"/>
              <w:jc w:val="right"/>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66</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D85E7BD" w14:textId="77777777" w:rsidR="00A40C04" w:rsidRPr="00B92144" w:rsidRDefault="00A40C04" w:rsidP="00A40C04">
            <w:pPr>
              <w:spacing w:after="0" w:line="240" w:lineRule="auto"/>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Fiduciary risk</w:t>
            </w:r>
          </w:p>
        </w:tc>
      </w:tr>
      <w:tr w:rsidR="00A40C04" w:rsidRPr="00B92144" w14:paraId="07AD7EDB" w14:textId="77777777" w:rsidTr="00A40C04">
        <w:trPr>
          <w:trHeight w:val="300"/>
        </w:trPr>
        <w:tc>
          <w:tcPr>
            <w:tcW w:w="960" w:type="dxa"/>
            <w:tcBorders>
              <w:top w:val="nil"/>
              <w:left w:val="single" w:sz="4" w:space="0" w:color="auto"/>
              <w:bottom w:val="single" w:sz="4" w:space="0" w:color="auto"/>
              <w:right w:val="nil"/>
            </w:tcBorders>
            <w:shd w:val="clear" w:color="000000" w:fill="C4BD97"/>
            <w:noWrap/>
            <w:vAlign w:val="bottom"/>
            <w:hideMark/>
          </w:tcPr>
          <w:p w14:paraId="1747A6D0" w14:textId="77777777" w:rsidR="00A40C04" w:rsidRPr="00B92144" w:rsidRDefault="00A40C04" w:rsidP="00A40C04">
            <w:pPr>
              <w:spacing w:after="0" w:line="240" w:lineRule="auto"/>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 </w:t>
            </w:r>
          </w:p>
        </w:tc>
        <w:tc>
          <w:tcPr>
            <w:tcW w:w="5020" w:type="dxa"/>
            <w:tcBorders>
              <w:top w:val="nil"/>
              <w:left w:val="single" w:sz="4" w:space="0" w:color="auto"/>
              <w:bottom w:val="single" w:sz="4" w:space="0" w:color="auto"/>
              <w:right w:val="single" w:sz="4" w:space="0" w:color="auto"/>
            </w:tcBorders>
            <w:shd w:val="clear" w:color="000000" w:fill="C4BD97"/>
            <w:noWrap/>
            <w:vAlign w:val="bottom"/>
            <w:hideMark/>
          </w:tcPr>
          <w:p w14:paraId="32D74637" w14:textId="77777777" w:rsidR="00A40C04" w:rsidRPr="00B92144" w:rsidRDefault="00A40C04" w:rsidP="00A40C04">
            <w:pPr>
              <w:spacing w:after="0" w:line="240" w:lineRule="auto"/>
              <w:rPr>
                <w:rFonts w:asciiTheme="majorBidi" w:eastAsia="Times New Roman" w:hAnsiTheme="majorBidi" w:cstheme="majorBidi"/>
                <w:b/>
                <w:bCs/>
                <w:lang w:eastAsia="fr-FR"/>
              </w:rPr>
            </w:pPr>
            <w:r w:rsidRPr="00B92144">
              <w:rPr>
                <w:rFonts w:asciiTheme="majorBidi" w:eastAsia="Times New Roman" w:hAnsiTheme="majorBidi" w:cstheme="majorBidi"/>
                <w:b/>
                <w:bCs/>
                <w:lang w:eastAsia="fr-FR"/>
              </w:rPr>
              <w:t xml:space="preserve"> Specific Reserve for Islamic bank </w:t>
            </w:r>
          </w:p>
        </w:tc>
      </w:tr>
      <w:tr w:rsidR="00A40C04" w:rsidRPr="00B92144" w14:paraId="7E79C5D7"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25E846FD" w14:textId="77777777" w:rsidR="00A40C04" w:rsidRPr="00B92144" w:rsidRDefault="00A40C04" w:rsidP="00A40C04">
            <w:pPr>
              <w:spacing w:after="0" w:line="240" w:lineRule="auto"/>
              <w:jc w:val="right"/>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68</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AF830EC" w14:textId="77777777" w:rsidR="00A40C04" w:rsidRPr="00B92144" w:rsidRDefault="00A40C04" w:rsidP="00A40C04">
            <w:pPr>
              <w:spacing w:after="0" w:line="240" w:lineRule="auto"/>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PER</w:t>
            </w:r>
          </w:p>
        </w:tc>
      </w:tr>
      <w:tr w:rsidR="00A40C04" w:rsidRPr="00B92144" w14:paraId="1015AB22" w14:textId="77777777" w:rsidTr="00A40C04">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20A7CFD4" w14:textId="77777777" w:rsidR="00A40C04" w:rsidRPr="00B92144" w:rsidRDefault="00A40C04" w:rsidP="00A40C04">
            <w:pPr>
              <w:spacing w:after="0" w:line="240" w:lineRule="auto"/>
              <w:jc w:val="right"/>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69</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0DCC245" w14:textId="77777777" w:rsidR="00A40C04" w:rsidRPr="00B92144" w:rsidRDefault="00A40C04" w:rsidP="00A40C04">
            <w:pPr>
              <w:spacing w:after="0" w:line="240" w:lineRule="auto"/>
              <w:rPr>
                <w:rFonts w:asciiTheme="majorBidi" w:eastAsia="Times New Roman" w:hAnsiTheme="majorBidi" w:cstheme="majorBidi"/>
                <w:lang w:val="fr-FR" w:eastAsia="fr-FR"/>
              </w:rPr>
            </w:pPr>
            <w:r w:rsidRPr="00B92144">
              <w:rPr>
                <w:rFonts w:asciiTheme="majorBidi" w:eastAsia="Times New Roman" w:hAnsiTheme="majorBidi" w:cstheme="majorBidi"/>
                <w:lang w:val="fr-FR" w:eastAsia="fr-FR"/>
              </w:rPr>
              <w:t>IRR</w:t>
            </w:r>
          </w:p>
        </w:tc>
      </w:tr>
    </w:tbl>
    <w:p w14:paraId="13E9CC6B" w14:textId="77777777" w:rsidR="00A40C04" w:rsidRPr="00B92144" w:rsidRDefault="00A40C04" w:rsidP="00D86EB2">
      <w:pPr>
        <w:spacing w:line="360" w:lineRule="auto"/>
        <w:jc w:val="both"/>
        <w:rPr>
          <w:rFonts w:asciiTheme="majorBidi" w:hAnsiTheme="majorBidi" w:cstheme="majorBidi"/>
          <w:sz w:val="24"/>
          <w:szCs w:val="24"/>
        </w:rPr>
      </w:pPr>
    </w:p>
    <w:sectPr w:rsidR="00A40C04" w:rsidRPr="00B921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3750" w14:textId="77777777" w:rsidR="001A6027" w:rsidRDefault="001A6027" w:rsidP="00D753EB">
      <w:pPr>
        <w:spacing w:after="0" w:line="240" w:lineRule="auto"/>
      </w:pPr>
      <w:r>
        <w:separator/>
      </w:r>
    </w:p>
  </w:endnote>
  <w:endnote w:type="continuationSeparator" w:id="0">
    <w:p w14:paraId="54F60151" w14:textId="77777777" w:rsidR="001A6027" w:rsidRDefault="001A6027" w:rsidP="00D7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F7D3" w14:textId="77777777" w:rsidR="006951C0" w:rsidRDefault="00695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699061"/>
      <w:docPartObj>
        <w:docPartGallery w:val="Page Numbers (Bottom of Page)"/>
        <w:docPartUnique/>
      </w:docPartObj>
    </w:sdtPr>
    <w:sdtEndPr/>
    <w:sdtContent>
      <w:p w14:paraId="135792D2" w14:textId="21978549" w:rsidR="00B32783" w:rsidRDefault="00B32783">
        <w:pPr>
          <w:pStyle w:val="Footer"/>
          <w:jc w:val="right"/>
        </w:pPr>
        <w:r>
          <w:fldChar w:fldCharType="begin"/>
        </w:r>
        <w:r>
          <w:instrText>PAGE   \* MERGEFORMAT</w:instrText>
        </w:r>
        <w:r>
          <w:fldChar w:fldCharType="separate"/>
        </w:r>
        <w:r w:rsidR="00612D3C" w:rsidRPr="00612D3C">
          <w:rPr>
            <w:noProof/>
            <w:lang w:val="fr-FR"/>
          </w:rPr>
          <w:t>34</w:t>
        </w:r>
        <w:r>
          <w:fldChar w:fldCharType="end"/>
        </w:r>
      </w:p>
    </w:sdtContent>
  </w:sdt>
  <w:p w14:paraId="077A92D3" w14:textId="77777777" w:rsidR="00B32783" w:rsidRDefault="00B32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47CF" w14:textId="77777777" w:rsidR="006951C0" w:rsidRDefault="00695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8D32" w14:textId="77777777" w:rsidR="001A6027" w:rsidRDefault="001A6027" w:rsidP="00D753EB">
      <w:pPr>
        <w:spacing w:after="0" w:line="240" w:lineRule="auto"/>
      </w:pPr>
      <w:r>
        <w:separator/>
      </w:r>
    </w:p>
  </w:footnote>
  <w:footnote w:type="continuationSeparator" w:id="0">
    <w:p w14:paraId="6A4BF8E4" w14:textId="77777777" w:rsidR="001A6027" w:rsidRDefault="001A6027" w:rsidP="00D753EB">
      <w:pPr>
        <w:spacing w:after="0" w:line="240" w:lineRule="auto"/>
      </w:pPr>
      <w:r>
        <w:continuationSeparator/>
      </w:r>
    </w:p>
  </w:footnote>
  <w:footnote w:id="1">
    <w:p w14:paraId="010AD87E" w14:textId="26F6F3F4" w:rsidR="00B32783" w:rsidRPr="00C51CB5" w:rsidRDefault="00B32783" w:rsidP="00D753EB">
      <w:pPr>
        <w:pStyle w:val="FootnoteText"/>
        <w:spacing w:line="360" w:lineRule="auto"/>
        <w:jc w:val="both"/>
        <w:rPr>
          <w:rFonts w:ascii="Times New Roman" w:hAnsi="Times New Roman" w:cs="Times New Roman"/>
        </w:rPr>
      </w:pPr>
      <w:r w:rsidRPr="00C51CB5">
        <w:rPr>
          <w:rStyle w:val="FootnoteReference"/>
          <w:rFonts w:ascii="Times New Roman" w:hAnsi="Times New Roman" w:cs="Times New Roman"/>
        </w:rPr>
        <w:footnoteRef/>
      </w:r>
      <w:r w:rsidRPr="00C51CB5">
        <w:rPr>
          <w:rFonts w:ascii="Times New Roman" w:hAnsi="Times New Roman" w:cs="Times New Roman"/>
        </w:rPr>
        <w:t xml:space="preserve"> The main advantage of 3SLS estimation techniques is that the model allows, not only for simultaneity among the </w:t>
      </w:r>
      <w:r>
        <w:rPr>
          <w:rFonts w:ascii="Times New Roman" w:hAnsi="Times New Roman" w:cs="Times New Roman"/>
        </w:rPr>
        <w:t>ED</w:t>
      </w:r>
      <w:r w:rsidRPr="00C51CB5">
        <w:rPr>
          <w:rFonts w:ascii="Times New Roman" w:hAnsi="Times New Roman" w:cs="Times New Roman"/>
        </w:rPr>
        <w:t xml:space="preserve"> and FP, but also for correlations among the error components. Therefore, it is believ</w:t>
      </w:r>
      <w:r>
        <w:rPr>
          <w:rFonts w:ascii="Times New Roman" w:hAnsi="Times New Roman" w:cs="Times New Roman"/>
        </w:rPr>
        <w:t>ed</w:t>
      </w:r>
      <w:r w:rsidRPr="00C51CB5">
        <w:rPr>
          <w:rFonts w:ascii="Times New Roman" w:hAnsi="Times New Roman" w:cs="Times New Roman"/>
        </w:rPr>
        <w:t xml:space="preserve"> that 3SLS estimators can be more efficient than two-stage least square (2SLS) estimators.</w:t>
      </w:r>
    </w:p>
  </w:footnote>
  <w:footnote w:id="2">
    <w:p w14:paraId="18200E27" w14:textId="6AF99C1F" w:rsidR="00B32783" w:rsidRPr="002060A2" w:rsidRDefault="00B32783" w:rsidP="00D753EB">
      <w:pPr>
        <w:pStyle w:val="FootnoteText"/>
        <w:spacing w:line="360" w:lineRule="auto"/>
        <w:jc w:val="both"/>
        <w:rPr>
          <w:rFonts w:ascii="Times New Roman" w:hAnsi="Times New Roman" w:cs="Times New Roman"/>
        </w:rPr>
      </w:pPr>
      <w:r w:rsidRPr="002060A2">
        <w:rPr>
          <w:rStyle w:val="FootnoteReference"/>
          <w:rFonts w:ascii="Times New Roman" w:hAnsi="Times New Roman" w:cs="Times New Roman"/>
        </w:rPr>
        <w:footnoteRef/>
      </w:r>
      <w:r w:rsidRPr="002060A2">
        <w:rPr>
          <w:rFonts w:ascii="Times New Roman" w:hAnsi="Times New Roman" w:cs="Times New Roman"/>
        </w:rPr>
        <w:t xml:space="preserve"> We test for the serial correlation in residuals using both the Breusch–Godfrey–Lagrange Multiplier and Durbin–Watson tests. The results of the two</w:t>
      </w:r>
      <w:r>
        <w:rPr>
          <w:rFonts w:ascii="Times New Roman" w:hAnsi="Times New Roman" w:cs="Times New Roman"/>
        </w:rPr>
        <w:t xml:space="preserve"> </w:t>
      </w:r>
      <w:r w:rsidRPr="002060A2">
        <w:rPr>
          <w:rFonts w:ascii="Times New Roman" w:hAnsi="Times New Roman" w:cs="Times New Roman"/>
        </w:rPr>
        <w:t>tests show that the residuals are not serially correlated.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09DD" w14:textId="77777777" w:rsidR="006951C0" w:rsidRDefault="00695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80ED" w14:textId="77777777" w:rsidR="006951C0" w:rsidRDefault="00695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9397" w14:textId="77777777" w:rsidR="006951C0" w:rsidRDefault="00695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D85"/>
    <w:multiLevelType w:val="hybridMultilevel"/>
    <w:tmpl w:val="1D00D2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57282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853E2F"/>
    <w:multiLevelType w:val="hybridMultilevel"/>
    <w:tmpl w:val="8CCC0A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C019C4"/>
    <w:multiLevelType w:val="hybridMultilevel"/>
    <w:tmpl w:val="43E2BA5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033CE0"/>
    <w:multiLevelType w:val="multilevel"/>
    <w:tmpl w:val="171290E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C73676"/>
    <w:multiLevelType w:val="hybridMultilevel"/>
    <w:tmpl w:val="204685C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C734F0"/>
    <w:multiLevelType w:val="hybridMultilevel"/>
    <w:tmpl w:val="43E2BA5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4481104"/>
    <w:multiLevelType w:val="hybridMultilevel"/>
    <w:tmpl w:val="AB86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8734149">
    <w:abstractNumId w:val="0"/>
  </w:num>
  <w:num w:numId="2" w16cid:durableId="252473608">
    <w:abstractNumId w:val="6"/>
  </w:num>
  <w:num w:numId="3" w16cid:durableId="1372997239">
    <w:abstractNumId w:val="5"/>
  </w:num>
  <w:num w:numId="4" w16cid:durableId="603076557">
    <w:abstractNumId w:val="7"/>
  </w:num>
  <w:num w:numId="5" w16cid:durableId="33892534">
    <w:abstractNumId w:val="3"/>
  </w:num>
  <w:num w:numId="6" w16cid:durableId="1485582104">
    <w:abstractNumId w:val="2"/>
  </w:num>
  <w:num w:numId="7" w16cid:durableId="1762681799">
    <w:abstractNumId w:val="1"/>
  </w:num>
  <w:num w:numId="8" w16cid:durableId="829639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F6"/>
    <w:rsid w:val="00000322"/>
    <w:rsid w:val="00000415"/>
    <w:rsid w:val="000005D8"/>
    <w:rsid w:val="000074C9"/>
    <w:rsid w:val="0001126E"/>
    <w:rsid w:val="00011575"/>
    <w:rsid w:val="00011903"/>
    <w:rsid w:val="00011F78"/>
    <w:rsid w:val="000144E0"/>
    <w:rsid w:val="00015898"/>
    <w:rsid w:val="00015A2B"/>
    <w:rsid w:val="00015FBE"/>
    <w:rsid w:val="00016493"/>
    <w:rsid w:val="00020775"/>
    <w:rsid w:val="00020842"/>
    <w:rsid w:val="00020A03"/>
    <w:rsid w:val="0002149A"/>
    <w:rsid w:val="00022EB5"/>
    <w:rsid w:val="00023B18"/>
    <w:rsid w:val="0002481E"/>
    <w:rsid w:val="00024E56"/>
    <w:rsid w:val="00025299"/>
    <w:rsid w:val="00025BF1"/>
    <w:rsid w:val="00026923"/>
    <w:rsid w:val="00026BE6"/>
    <w:rsid w:val="0003297A"/>
    <w:rsid w:val="00033710"/>
    <w:rsid w:val="00035545"/>
    <w:rsid w:val="000361FC"/>
    <w:rsid w:val="000363E1"/>
    <w:rsid w:val="00036411"/>
    <w:rsid w:val="00036B54"/>
    <w:rsid w:val="00036D6D"/>
    <w:rsid w:val="000417F0"/>
    <w:rsid w:val="00042BF3"/>
    <w:rsid w:val="000446E3"/>
    <w:rsid w:val="00044992"/>
    <w:rsid w:val="00044AB4"/>
    <w:rsid w:val="00044B4F"/>
    <w:rsid w:val="0004606A"/>
    <w:rsid w:val="000463C9"/>
    <w:rsid w:val="00046CCA"/>
    <w:rsid w:val="00046CF9"/>
    <w:rsid w:val="00046FB6"/>
    <w:rsid w:val="000503E1"/>
    <w:rsid w:val="00051E9E"/>
    <w:rsid w:val="00051EA6"/>
    <w:rsid w:val="00051FD5"/>
    <w:rsid w:val="00052117"/>
    <w:rsid w:val="000524A5"/>
    <w:rsid w:val="00052BEB"/>
    <w:rsid w:val="00052C0C"/>
    <w:rsid w:val="00053B5B"/>
    <w:rsid w:val="00053B92"/>
    <w:rsid w:val="0005407B"/>
    <w:rsid w:val="00054EC3"/>
    <w:rsid w:val="00055FA2"/>
    <w:rsid w:val="000560BA"/>
    <w:rsid w:val="00056AF6"/>
    <w:rsid w:val="00056F1F"/>
    <w:rsid w:val="00057D3A"/>
    <w:rsid w:val="00057FF4"/>
    <w:rsid w:val="000604E3"/>
    <w:rsid w:val="0006061E"/>
    <w:rsid w:val="00061195"/>
    <w:rsid w:val="000625F3"/>
    <w:rsid w:val="00062C53"/>
    <w:rsid w:val="00063FAE"/>
    <w:rsid w:val="00064877"/>
    <w:rsid w:val="00065FB1"/>
    <w:rsid w:val="000662A2"/>
    <w:rsid w:val="000668A8"/>
    <w:rsid w:val="000703FA"/>
    <w:rsid w:val="00070C86"/>
    <w:rsid w:val="00071247"/>
    <w:rsid w:val="000713E3"/>
    <w:rsid w:val="00071ACD"/>
    <w:rsid w:val="00072D09"/>
    <w:rsid w:val="00072F49"/>
    <w:rsid w:val="00074056"/>
    <w:rsid w:val="00074BF0"/>
    <w:rsid w:val="0007619F"/>
    <w:rsid w:val="00077E8C"/>
    <w:rsid w:val="000807FF"/>
    <w:rsid w:val="00080AD0"/>
    <w:rsid w:val="0008126F"/>
    <w:rsid w:val="00081D4A"/>
    <w:rsid w:val="000824C4"/>
    <w:rsid w:val="0008298C"/>
    <w:rsid w:val="00083278"/>
    <w:rsid w:val="00083B2C"/>
    <w:rsid w:val="0008445F"/>
    <w:rsid w:val="00084619"/>
    <w:rsid w:val="00085CF7"/>
    <w:rsid w:val="00086B93"/>
    <w:rsid w:val="00087C0D"/>
    <w:rsid w:val="00087D7E"/>
    <w:rsid w:val="0009047C"/>
    <w:rsid w:val="00090914"/>
    <w:rsid w:val="00092F95"/>
    <w:rsid w:val="00093709"/>
    <w:rsid w:val="0009443F"/>
    <w:rsid w:val="000947E9"/>
    <w:rsid w:val="00094BFE"/>
    <w:rsid w:val="0009551D"/>
    <w:rsid w:val="000958E9"/>
    <w:rsid w:val="00096804"/>
    <w:rsid w:val="000969FD"/>
    <w:rsid w:val="00096E4B"/>
    <w:rsid w:val="000976FC"/>
    <w:rsid w:val="000A20E7"/>
    <w:rsid w:val="000A3B29"/>
    <w:rsid w:val="000A596E"/>
    <w:rsid w:val="000A7DC1"/>
    <w:rsid w:val="000B0BE5"/>
    <w:rsid w:val="000B14CF"/>
    <w:rsid w:val="000B18E5"/>
    <w:rsid w:val="000B1EAC"/>
    <w:rsid w:val="000B36E2"/>
    <w:rsid w:val="000B50FD"/>
    <w:rsid w:val="000B5139"/>
    <w:rsid w:val="000B5697"/>
    <w:rsid w:val="000B5E73"/>
    <w:rsid w:val="000B6C6D"/>
    <w:rsid w:val="000B7D7B"/>
    <w:rsid w:val="000C0060"/>
    <w:rsid w:val="000C01BE"/>
    <w:rsid w:val="000C0EFA"/>
    <w:rsid w:val="000C14E1"/>
    <w:rsid w:val="000C1F21"/>
    <w:rsid w:val="000C2481"/>
    <w:rsid w:val="000C2718"/>
    <w:rsid w:val="000C3252"/>
    <w:rsid w:val="000C343E"/>
    <w:rsid w:val="000C44F0"/>
    <w:rsid w:val="000C52F2"/>
    <w:rsid w:val="000C5747"/>
    <w:rsid w:val="000C5BE3"/>
    <w:rsid w:val="000C6C62"/>
    <w:rsid w:val="000C7C23"/>
    <w:rsid w:val="000D0217"/>
    <w:rsid w:val="000D1055"/>
    <w:rsid w:val="000D1FBA"/>
    <w:rsid w:val="000D2558"/>
    <w:rsid w:val="000D2F6C"/>
    <w:rsid w:val="000D2FCE"/>
    <w:rsid w:val="000D66BE"/>
    <w:rsid w:val="000D6772"/>
    <w:rsid w:val="000D6AA5"/>
    <w:rsid w:val="000D6FB8"/>
    <w:rsid w:val="000D78BB"/>
    <w:rsid w:val="000E1962"/>
    <w:rsid w:val="000E23F9"/>
    <w:rsid w:val="000E2D3E"/>
    <w:rsid w:val="000E377B"/>
    <w:rsid w:val="000E4839"/>
    <w:rsid w:val="000E4910"/>
    <w:rsid w:val="000E4EB0"/>
    <w:rsid w:val="000E53FE"/>
    <w:rsid w:val="000E5F37"/>
    <w:rsid w:val="000E6E44"/>
    <w:rsid w:val="000E72D9"/>
    <w:rsid w:val="000F048E"/>
    <w:rsid w:val="000F27E2"/>
    <w:rsid w:val="000F2CA4"/>
    <w:rsid w:val="000F3B1D"/>
    <w:rsid w:val="000F3C5D"/>
    <w:rsid w:val="000F4573"/>
    <w:rsid w:val="000F4C06"/>
    <w:rsid w:val="000F4DB4"/>
    <w:rsid w:val="000F5760"/>
    <w:rsid w:val="000F737E"/>
    <w:rsid w:val="000F7839"/>
    <w:rsid w:val="0010002B"/>
    <w:rsid w:val="0010067B"/>
    <w:rsid w:val="0010135D"/>
    <w:rsid w:val="00101FCA"/>
    <w:rsid w:val="00102167"/>
    <w:rsid w:val="001021BC"/>
    <w:rsid w:val="001022B3"/>
    <w:rsid w:val="0010383A"/>
    <w:rsid w:val="00103B41"/>
    <w:rsid w:val="0010428A"/>
    <w:rsid w:val="0010491A"/>
    <w:rsid w:val="001062F7"/>
    <w:rsid w:val="00106779"/>
    <w:rsid w:val="00106858"/>
    <w:rsid w:val="00110278"/>
    <w:rsid w:val="0011035E"/>
    <w:rsid w:val="001104B9"/>
    <w:rsid w:val="001106AF"/>
    <w:rsid w:val="00111752"/>
    <w:rsid w:val="00113BC2"/>
    <w:rsid w:val="001159CB"/>
    <w:rsid w:val="0011660B"/>
    <w:rsid w:val="001167B6"/>
    <w:rsid w:val="00116BE8"/>
    <w:rsid w:val="0011794B"/>
    <w:rsid w:val="001208C6"/>
    <w:rsid w:val="001213D9"/>
    <w:rsid w:val="00121CE3"/>
    <w:rsid w:val="00121D2E"/>
    <w:rsid w:val="00122472"/>
    <w:rsid w:val="001226C2"/>
    <w:rsid w:val="00123FCA"/>
    <w:rsid w:val="00124BDB"/>
    <w:rsid w:val="00124F54"/>
    <w:rsid w:val="001250C5"/>
    <w:rsid w:val="0012521B"/>
    <w:rsid w:val="0012755B"/>
    <w:rsid w:val="00130168"/>
    <w:rsid w:val="001303D7"/>
    <w:rsid w:val="00133649"/>
    <w:rsid w:val="00134D34"/>
    <w:rsid w:val="0013570F"/>
    <w:rsid w:val="00135743"/>
    <w:rsid w:val="001358E1"/>
    <w:rsid w:val="00135D14"/>
    <w:rsid w:val="00135E5C"/>
    <w:rsid w:val="00136A98"/>
    <w:rsid w:val="00137465"/>
    <w:rsid w:val="00140719"/>
    <w:rsid w:val="00140986"/>
    <w:rsid w:val="00140B13"/>
    <w:rsid w:val="00141657"/>
    <w:rsid w:val="00141D55"/>
    <w:rsid w:val="00141FC6"/>
    <w:rsid w:val="00142B09"/>
    <w:rsid w:val="001431BA"/>
    <w:rsid w:val="00143331"/>
    <w:rsid w:val="00143DD6"/>
    <w:rsid w:val="0014462C"/>
    <w:rsid w:val="001457E3"/>
    <w:rsid w:val="0014583E"/>
    <w:rsid w:val="00145E7E"/>
    <w:rsid w:val="00147031"/>
    <w:rsid w:val="00147095"/>
    <w:rsid w:val="00147885"/>
    <w:rsid w:val="00147AB4"/>
    <w:rsid w:val="00147FFB"/>
    <w:rsid w:val="001518B4"/>
    <w:rsid w:val="001518B5"/>
    <w:rsid w:val="00154467"/>
    <w:rsid w:val="00154656"/>
    <w:rsid w:val="001570CC"/>
    <w:rsid w:val="00162D1E"/>
    <w:rsid w:val="00162E79"/>
    <w:rsid w:val="00162FDC"/>
    <w:rsid w:val="001633E7"/>
    <w:rsid w:val="00163E13"/>
    <w:rsid w:val="001640DA"/>
    <w:rsid w:val="00164E78"/>
    <w:rsid w:val="00166143"/>
    <w:rsid w:val="00166AF2"/>
    <w:rsid w:val="001673AD"/>
    <w:rsid w:val="001718B7"/>
    <w:rsid w:val="001735E8"/>
    <w:rsid w:val="001737B1"/>
    <w:rsid w:val="0017412B"/>
    <w:rsid w:val="00174CD1"/>
    <w:rsid w:val="00175E4E"/>
    <w:rsid w:val="0017631E"/>
    <w:rsid w:val="00176478"/>
    <w:rsid w:val="0017666B"/>
    <w:rsid w:val="00176DB0"/>
    <w:rsid w:val="0017732F"/>
    <w:rsid w:val="00177B91"/>
    <w:rsid w:val="00177CFD"/>
    <w:rsid w:val="001803AA"/>
    <w:rsid w:val="00181169"/>
    <w:rsid w:val="00181807"/>
    <w:rsid w:val="00181A7D"/>
    <w:rsid w:val="00181E79"/>
    <w:rsid w:val="00183785"/>
    <w:rsid w:val="00183C4C"/>
    <w:rsid w:val="00184294"/>
    <w:rsid w:val="001846A1"/>
    <w:rsid w:val="001847B9"/>
    <w:rsid w:val="00184DDB"/>
    <w:rsid w:val="0018562A"/>
    <w:rsid w:val="00185EBF"/>
    <w:rsid w:val="0018635B"/>
    <w:rsid w:val="001867E6"/>
    <w:rsid w:val="00186842"/>
    <w:rsid w:val="001869F2"/>
    <w:rsid w:val="0018707D"/>
    <w:rsid w:val="001902E0"/>
    <w:rsid w:val="00191259"/>
    <w:rsid w:val="001918F6"/>
    <w:rsid w:val="00191CDB"/>
    <w:rsid w:val="001932F2"/>
    <w:rsid w:val="00194436"/>
    <w:rsid w:val="001946FA"/>
    <w:rsid w:val="001947D0"/>
    <w:rsid w:val="00195F65"/>
    <w:rsid w:val="00196EB4"/>
    <w:rsid w:val="00197449"/>
    <w:rsid w:val="001A010A"/>
    <w:rsid w:val="001A0D10"/>
    <w:rsid w:val="001A0F6D"/>
    <w:rsid w:val="001A19F3"/>
    <w:rsid w:val="001A1F1B"/>
    <w:rsid w:val="001A281E"/>
    <w:rsid w:val="001A3D4E"/>
    <w:rsid w:val="001A3E9F"/>
    <w:rsid w:val="001A52FF"/>
    <w:rsid w:val="001A59D3"/>
    <w:rsid w:val="001A5CA3"/>
    <w:rsid w:val="001A5E35"/>
    <w:rsid w:val="001A6027"/>
    <w:rsid w:val="001A6B0F"/>
    <w:rsid w:val="001A7772"/>
    <w:rsid w:val="001A7D60"/>
    <w:rsid w:val="001B00D2"/>
    <w:rsid w:val="001B0692"/>
    <w:rsid w:val="001B07B8"/>
    <w:rsid w:val="001B14EA"/>
    <w:rsid w:val="001B1BA5"/>
    <w:rsid w:val="001B41E7"/>
    <w:rsid w:val="001B4440"/>
    <w:rsid w:val="001B46E9"/>
    <w:rsid w:val="001B5CD8"/>
    <w:rsid w:val="001B6D4B"/>
    <w:rsid w:val="001B6F5A"/>
    <w:rsid w:val="001C00AB"/>
    <w:rsid w:val="001C0D83"/>
    <w:rsid w:val="001C1EB2"/>
    <w:rsid w:val="001C3089"/>
    <w:rsid w:val="001C3748"/>
    <w:rsid w:val="001C40AF"/>
    <w:rsid w:val="001C4178"/>
    <w:rsid w:val="001C47D2"/>
    <w:rsid w:val="001C5B55"/>
    <w:rsid w:val="001C6189"/>
    <w:rsid w:val="001C6FC5"/>
    <w:rsid w:val="001D0727"/>
    <w:rsid w:val="001D1B18"/>
    <w:rsid w:val="001D1E3B"/>
    <w:rsid w:val="001D2A3A"/>
    <w:rsid w:val="001D2BA6"/>
    <w:rsid w:val="001D2BB7"/>
    <w:rsid w:val="001D4441"/>
    <w:rsid w:val="001D4951"/>
    <w:rsid w:val="001D5242"/>
    <w:rsid w:val="001D5350"/>
    <w:rsid w:val="001D7610"/>
    <w:rsid w:val="001D7CF0"/>
    <w:rsid w:val="001E072E"/>
    <w:rsid w:val="001E0B15"/>
    <w:rsid w:val="001E1D53"/>
    <w:rsid w:val="001E33A0"/>
    <w:rsid w:val="001E439F"/>
    <w:rsid w:val="001E4AF1"/>
    <w:rsid w:val="001E5662"/>
    <w:rsid w:val="001E7A3C"/>
    <w:rsid w:val="001E7B09"/>
    <w:rsid w:val="001E7EF3"/>
    <w:rsid w:val="001F0B52"/>
    <w:rsid w:val="001F1AE5"/>
    <w:rsid w:val="001F2D1E"/>
    <w:rsid w:val="001F3499"/>
    <w:rsid w:val="001F4852"/>
    <w:rsid w:val="001F4A08"/>
    <w:rsid w:val="001F4BB4"/>
    <w:rsid w:val="001F4D3D"/>
    <w:rsid w:val="001F65C2"/>
    <w:rsid w:val="00202137"/>
    <w:rsid w:val="00202F46"/>
    <w:rsid w:val="002035FA"/>
    <w:rsid w:val="00203F85"/>
    <w:rsid w:val="00204CA5"/>
    <w:rsid w:val="00205167"/>
    <w:rsid w:val="002052AF"/>
    <w:rsid w:val="0020581D"/>
    <w:rsid w:val="0020696F"/>
    <w:rsid w:val="00206DF4"/>
    <w:rsid w:val="00207AF7"/>
    <w:rsid w:val="002105FD"/>
    <w:rsid w:val="00211044"/>
    <w:rsid w:val="00211436"/>
    <w:rsid w:val="002114A7"/>
    <w:rsid w:val="00211CDE"/>
    <w:rsid w:val="002136A5"/>
    <w:rsid w:val="00215CD4"/>
    <w:rsid w:val="00215ED6"/>
    <w:rsid w:val="00216B6D"/>
    <w:rsid w:val="002229B7"/>
    <w:rsid w:val="002232CC"/>
    <w:rsid w:val="002235AA"/>
    <w:rsid w:val="002241AB"/>
    <w:rsid w:val="002247F7"/>
    <w:rsid w:val="002254EE"/>
    <w:rsid w:val="002261FF"/>
    <w:rsid w:val="00226986"/>
    <w:rsid w:val="00231809"/>
    <w:rsid w:val="00231F78"/>
    <w:rsid w:val="00232259"/>
    <w:rsid w:val="00232FC4"/>
    <w:rsid w:val="00233377"/>
    <w:rsid w:val="002339C0"/>
    <w:rsid w:val="00234BC5"/>
    <w:rsid w:val="00234F4F"/>
    <w:rsid w:val="00235344"/>
    <w:rsid w:val="00235707"/>
    <w:rsid w:val="00235DF0"/>
    <w:rsid w:val="00236F40"/>
    <w:rsid w:val="0023743A"/>
    <w:rsid w:val="00237535"/>
    <w:rsid w:val="0023759B"/>
    <w:rsid w:val="00240B12"/>
    <w:rsid w:val="00240F98"/>
    <w:rsid w:val="0024170B"/>
    <w:rsid w:val="00241799"/>
    <w:rsid w:val="00241C10"/>
    <w:rsid w:val="00242974"/>
    <w:rsid w:val="00242BB8"/>
    <w:rsid w:val="002433F0"/>
    <w:rsid w:val="00243B70"/>
    <w:rsid w:val="00243CD0"/>
    <w:rsid w:val="00244825"/>
    <w:rsid w:val="002450E4"/>
    <w:rsid w:val="00245268"/>
    <w:rsid w:val="002457D5"/>
    <w:rsid w:val="00245DF0"/>
    <w:rsid w:val="002479FE"/>
    <w:rsid w:val="002503B2"/>
    <w:rsid w:val="00250831"/>
    <w:rsid w:val="00252458"/>
    <w:rsid w:val="002528B1"/>
    <w:rsid w:val="00253285"/>
    <w:rsid w:val="00253F16"/>
    <w:rsid w:val="00253F90"/>
    <w:rsid w:val="00254A1C"/>
    <w:rsid w:val="00254DC8"/>
    <w:rsid w:val="002560F6"/>
    <w:rsid w:val="00256445"/>
    <w:rsid w:val="0025709C"/>
    <w:rsid w:val="002571F9"/>
    <w:rsid w:val="00260001"/>
    <w:rsid w:val="00260C18"/>
    <w:rsid w:val="00260F5C"/>
    <w:rsid w:val="0026132F"/>
    <w:rsid w:val="0026170E"/>
    <w:rsid w:val="00261FEA"/>
    <w:rsid w:val="00262325"/>
    <w:rsid w:val="00262599"/>
    <w:rsid w:val="0026272D"/>
    <w:rsid w:val="002647C2"/>
    <w:rsid w:val="00265E1C"/>
    <w:rsid w:val="002670A6"/>
    <w:rsid w:val="002672A5"/>
    <w:rsid w:val="00267320"/>
    <w:rsid w:val="00271066"/>
    <w:rsid w:val="00272AB8"/>
    <w:rsid w:val="0027312F"/>
    <w:rsid w:val="00273AE1"/>
    <w:rsid w:val="00274786"/>
    <w:rsid w:val="002747AD"/>
    <w:rsid w:val="00274F11"/>
    <w:rsid w:val="00275672"/>
    <w:rsid w:val="00275880"/>
    <w:rsid w:val="002760E5"/>
    <w:rsid w:val="002761CC"/>
    <w:rsid w:val="00277896"/>
    <w:rsid w:val="00277E2A"/>
    <w:rsid w:val="0028009F"/>
    <w:rsid w:val="00281A22"/>
    <w:rsid w:val="00282552"/>
    <w:rsid w:val="00285562"/>
    <w:rsid w:val="00285C2E"/>
    <w:rsid w:val="00286DB6"/>
    <w:rsid w:val="00287E0D"/>
    <w:rsid w:val="002907F5"/>
    <w:rsid w:val="00291449"/>
    <w:rsid w:val="002939FF"/>
    <w:rsid w:val="002941EE"/>
    <w:rsid w:val="00294223"/>
    <w:rsid w:val="0029425B"/>
    <w:rsid w:val="00294865"/>
    <w:rsid w:val="00295132"/>
    <w:rsid w:val="00296182"/>
    <w:rsid w:val="002A19B3"/>
    <w:rsid w:val="002A1EF2"/>
    <w:rsid w:val="002A2147"/>
    <w:rsid w:val="002A3310"/>
    <w:rsid w:val="002A34A6"/>
    <w:rsid w:val="002A3873"/>
    <w:rsid w:val="002A3D9A"/>
    <w:rsid w:val="002A429D"/>
    <w:rsid w:val="002A471F"/>
    <w:rsid w:val="002A49A7"/>
    <w:rsid w:val="002A4D64"/>
    <w:rsid w:val="002A4E98"/>
    <w:rsid w:val="002A4FA0"/>
    <w:rsid w:val="002A5152"/>
    <w:rsid w:val="002A622E"/>
    <w:rsid w:val="002A692E"/>
    <w:rsid w:val="002A6A6E"/>
    <w:rsid w:val="002A6B3F"/>
    <w:rsid w:val="002A6B97"/>
    <w:rsid w:val="002A6DD0"/>
    <w:rsid w:val="002A7002"/>
    <w:rsid w:val="002A7E2C"/>
    <w:rsid w:val="002A7FAA"/>
    <w:rsid w:val="002B03D5"/>
    <w:rsid w:val="002B097F"/>
    <w:rsid w:val="002B0D51"/>
    <w:rsid w:val="002B19BF"/>
    <w:rsid w:val="002B1D7B"/>
    <w:rsid w:val="002B3C67"/>
    <w:rsid w:val="002B46A5"/>
    <w:rsid w:val="002B5407"/>
    <w:rsid w:val="002B59CA"/>
    <w:rsid w:val="002B6182"/>
    <w:rsid w:val="002B6988"/>
    <w:rsid w:val="002C0AAA"/>
    <w:rsid w:val="002C18B2"/>
    <w:rsid w:val="002C37C6"/>
    <w:rsid w:val="002C3C3E"/>
    <w:rsid w:val="002C43F8"/>
    <w:rsid w:val="002C5442"/>
    <w:rsid w:val="002C57AF"/>
    <w:rsid w:val="002C5994"/>
    <w:rsid w:val="002C69BB"/>
    <w:rsid w:val="002C78FB"/>
    <w:rsid w:val="002C7E9A"/>
    <w:rsid w:val="002D094F"/>
    <w:rsid w:val="002D137C"/>
    <w:rsid w:val="002D1B25"/>
    <w:rsid w:val="002D25D3"/>
    <w:rsid w:val="002D2DFF"/>
    <w:rsid w:val="002D48FF"/>
    <w:rsid w:val="002D4CC3"/>
    <w:rsid w:val="002E08F5"/>
    <w:rsid w:val="002E098C"/>
    <w:rsid w:val="002E1896"/>
    <w:rsid w:val="002E5305"/>
    <w:rsid w:val="002E5A34"/>
    <w:rsid w:val="002E5B9F"/>
    <w:rsid w:val="002E6104"/>
    <w:rsid w:val="002E6145"/>
    <w:rsid w:val="002E6608"/>
    <w:rsid w:val="002E6D97"/>
    <w:rsid w:val="002E797A"/>
    <w:rsid w:val="002F0B58"/>
    <w:rsid w:val="002F254C"/>
    <w:rsid w:val="002F2FDD"/>
    <w:rsid w:val="002F3E8B"/>
    <w:rsid w:val="002F54F9"/>
    <w:rsid w:val="002F55A5"/>
    <w:rsid w:val="002F5A95"/>
    <w:rsid w:val="002F6678"/>
    <w:rsid w:val="002F76EB"/>
    <w:rsid w:val="00301253"/>
    <w:rsid w:val="00301801"/>
    <w:rsid w:val="00302600"/>
    <w:rsid w:val="00302926"/>
    <w:rsid w:val="00302C77"/>
    <w:rsid w:val="00303B20"/>
    <w:rsid w:val="0030453F"/>
    <w:rsid w:val="00304F12"/>
    <w:rsid w:val="003052D7"/>
    <w:rsid w:val="00305C4B"/>
    <w:rsid w:val="00305C81"/>
    <w:rsid w:val="003060CE"/>
    <w:rsid w:val="0030660E"/>
    <w:rsid w:val="00306C0B"/>
    <w:rsid w:val="003121FB"/>
    <w:rsid w:val="003132A5"/>
    <w:rsid w:val="003138E1"/>
    <w:rsid w:val="003151B3"/>
    <w:rsid w:val="003159BF"/>
    <w:rsid w:val="003168F5"/>
    <w:rsid w:val="00317511"/>
    <w:rsid w:val="00317E52"/>
    <w:rsid w:val="00317F6A"/>
    <w:rsid w:val="003202FE"/>
    <w:rsid w:val="00320C89"/>
    <w:rsid w:val="0032179A"/>
    <w:rsid w:val="003217E2"/>
    <w:rsid w:val="003217EF"/>
    <w:rsid w:val="003219DB"/>
    <w:rsid w:val="00321EE7"/>
    <w:rsid w:val="003224D1"/>
    <w:rsid w:val="00324414"/>
    <w:rsid w:val="003259D0"/>
    <w:rsid w:val="00325B3A"/>
    <w:rsid w:val="00325BDF"/>
    <w:rsid w:val="00325EF1"/>
    <w:rsid w:val="00325F4F"/>
    <w:rsid w:val="0033023F"/>
    <w:rsid w:val="003325D4"/>
    <w:rsid w:val="00333922"/>
    <w:rsid w:val="00333A12"/>
    <w:rsid w:val="00333E02"/>
    <w:rsid w:val="003347D9"/>
    <w:rsid w:val="00334B31"/>
    <w:rsid w:val="00335688"/>
    <w:rsid w:val="00336C95"/>
    <w:rsid w:val="00337185"/>
    <w:rsid w:val="00337C0B"/>
    <w:rsid w:val="00337F55"/>
    <w:rsid w:val="00340138"/>
    <w:rsid w:val="003411FC"/>
    <w:rsid w:val="003413B2"/>
    <w:rsid w:val="00343B63"/>
    <w:rsid w:val="003445AD"/>
    <w:rsid w:val="00344E32"/>
    <w:rsid w:val="003457DE"/>
    <w:rsid w:val="0034609E"/>
    <w:rsid w:val="003462B4"/>
    <w:rsid w:val="003463E1"/>
    <w:rsid w:val="003464D1"/>
    <w:rsid w:val="003467F9"/>
    <w:rsid w:val="003475CE"/>
    <w:rsid w:val="003478E6"/>
    <w:rsid w:val="00347AC1"/>
    <w:rsid w:val="003505F9"/>
    <w:rsid w:val="00351BA9"/>
    <w:rsid w:val="003529AE"/>
    <w:rsid w:val="00352CC4"/>
    <w:rsid w:val="00353401"/>
    <w:rsid w:val="00353607"/>
    <w:rsid w:val="00354BEE"/>
    <w:rsid w:val="003555DC"/>
    <w:rsid w:val="00356DC4"/>
    <w:rsid w:val="0036016B"/>
    <w:rsid w:val="00360A74"/>
    <w:rsid w:val="00360ECA"/>
    <w:rsid w:val="003613B7"/>
    <w:rsid w:val="0036214B"/>
    <w:rsid w:val="003627D5"/>
    <w:rsid w:val="00363A0E"/>
    <w:rsid w:val="0036456F"/>
    <w:rsid w:val="00364F6C"/>
    <w:rsid w:val="00365270"/>
    <w:rsid w:val="0036560D"/>
    <w:rsid w:val="00370461"/>
    <w:rsid w:val="00370CD6"/>
    <w:rsid w:val="0037119D"/>
    <w:rsid w:val="003717A7"/>
    <w:rsid w:val="00373C58"/>
    <w:rsid w:val="00375968"/>
    <w:rsid w:val="0037615D"/>
    <w:rsid w:val="00376625"/>
    <w:rsid w:val="00376803"/>
    <w:rsid w:val="003803A0"/>
    <w:rsid w:val="00380B7C"/>
    <w:rsid w:val="00380E42"/>
    <w:rsid w:val="00380F6E"/>
    <w:rsid w:val="0038115B"/>
    <w:rsid w:val="003813F4"/>
    <w:rsid w:val="0038225F"/>
    <w:rsid w:val="00382ACF"/>
    <w:rsid w:val="00384869"/>
    <w:rsid w:val="00384A2D"/>
    <w:rsid w:val="00385005"/>
    <w:rsid w:val="00385272"/>
    <w:rsid w:val="00385318"/>
    <w:rsid w:val="00386235"/>
    <w:rsid w:val="00386A62"/>
    <w:rsid w:val="003870CF"/>
    <w:rsid w:val="00387609"/>
    <w:rsid w:val="0039089E"/>
    <w:rsid w:val="00390A4F"/>
    <w:rsid w:val="00391979"/>
    <w:rsid w:val="00394CAA"/>
    <w:rsid w:val="00395646"/>
    <w:rsid w:val="003A0B30"/>
    <w:rsid w:val="003A0FCE"/>
    <w:rsid w:val="003A17AA"/>
    <w:rsid w:val="003A1D4D"/>
    <w:rsid w:val="003A1F4F"/>
    <w:rsid w:val="003A2033"/>
    <w:rsid w:val="003A25CE"/>
    <w:rsid w:val="003A2DC5"/>
    <w:rsid w:val="003A3033"/>
    <w:rsid w:val="003A3697"/>
    <w:rsid w:val="003A3AB3"/>
    <w:rsid w:val="003A4039"/>
    <w:rsid w:val="003A518F"/>
    <w:rsid w:val="003A56A7"/>
    <w:rsid w:val="003A5741"/>
    <w:rsid w:val="003A5F77"/>
    <w:rsid w:val="003A7181"/>
    <w:rsid w:val="003A76D1"/>
    <w:rsid w:val="003B1B4F"/>
    <w:rsid w:val="003B230E"/>
    <w:rsid w:val="003B3209"/>
    <w:rsid w:val="003B4673"/>
    <w:rsid w:val="003B5FB5"/>
    <w:rsid w:val="003B69E2"/>
    <w:rsid w:val="003C019D"/>
    <w:rsid w:val="003C0B39"/>
    <w:rsid w:val="003C0B80"/>
    <w:rsid w:val="003C1618"/>
    <w:rsid w:val="003C1D20"/>
    <w:rsid w:val="003C2000"/>
    <w:rsid w:val="003C2660"/>
    <w:rsid w:val="003C50C6"/>
    <w:rsid w:val="003C5CA9"/>
    <w:rsid w:val="003C6300"/>
    <w:rsid w:val="003D0CBA"/>
    <w:rsid w:val="003D1DAD"/>
    <w:rsid w:val="003D2B82"/>
    <w:rsid w:val="003D2DBD"/>
    <w:rsid w:val="003D35BF"/>
    <w:rsid w:val="003D3D0C"/>
    <w:rsid w:val="003D4750"/>
    <w:rsid w:val="003D5EAB"/>
    <w:rsid w:val="003D6C0B"/>
    <w:rsid w:val="003E0D7A"/>
    <w:rsid w:val="003E1B56"/>
    <w:rsid w:val="003E1BDC"/>
    <w:rsid w:val="003E2428"/>
    <w:rsid w:val="003E25CA"/>
    <w:rsid w:val="003E2766"/>
    <w:rsid w:val="003E5205"/>
    <w:rsid w:val="003E553D"/>
    <w:rsid w:val="003E5B42"/>
    <w:rsid w:val="003E6410"/>
    <w:rsid w:val="003E7A75"/>
    <w:rsid w:val="003F0D1C"/>
    <w:rsid w:val="003F4CFE"/>
    <w:rsid w:val="003F58F5"/>
    <w:rsid w:val="003F5FF8"/>
    <w:rsid w:val="004010E5"/>
    <w:rsid w:val="004032E4"/>
    <w:rsid w:val="00403313"/>
    <w:rsid w:val="0040394A"/>
    <w:rsid w:val="00403A4C"/>
    <w:rsid w:val="00403B06"/>
    <w:rsid w:val="00403B9E"/>
    <w:rsid w:val="00403FF7"/>
    <w:rsid w:val="00404C1E"/>
    <w:rsid w:val="00405B22"/>
    <w:rsid w:val="004069C0"/>
    <w:rsid w:val="00406F5D"/>
    <w:rsid w:val="00407DAD"/>
    <w:rsid w:val="004101DB"/>
    <w:rsid w:val="00410323"/>
    <w:rsid w:val="00410A28"/>
    <w:rsid w:val="00410BDC"/>
    <w:rsid w:val="00410EDE"/>
    <w:rsid w:val="00411718"/>
    <w:rsid w:val="00411CA6"/>
    <w:rsid w:val="004137F8"/>
    <w:rsid w:val="00414998"/>
    <w:rsid w:val="00415D4A"/>
    <w:rsid w:val="00415FDD"/>
    <w:rsid w:val="004161C4"/>
    <w:rsid w:val="00416964"/>
    <w:rsid w:val="00416F42"/>
    <w:rsid w:val="00417111"/>
    <w:rsid w:val="00417CDF"/>
    <w:rsid w:val="00417FA6"/>
    <w:rsid w:val="004202D8"/>
    <w:rsid w:val="00422311"/>
    <w:rsid w:val="004223B1"/>
    <w:rsid w:val="0042327D"/>
    <w:rsid w:val="004239A6"/>
    <w:rsid w:val="00423C34"/>
    <w:rsid w:val="00424875"/>
    <w:rsid w:val="00425711"/>
    <w:rsid w:val="00426B6D"/>
    <w:rsid w:val="00426E61"/>
    <w:rsid w:val="00427C71"/>
    <w:rsid w:val="004306F2"/>
    <w:rsid w:val="00432933"/>
    <w:rsid w:val="00432D19"/>
    <w:rsid w:val="004338DE"/>
    <w:rsid w:val="004352F8"/>
    <w:rsid w:val="004367C8"/>
    <w:rsid w:val="0043729D"/>
    <w:rsid w:val="0043755A"/>
    <w:rsid w:val="00444B06"/>
    <w:rsid w:val="004471B6"/>
    <w:rsid w:val="00450879"/>
    <w:rsid w:val="004509E1"/>
    <w:rsid w:val="004534B4"/>
    <w:rsid w:val="004540A5"/>
    <w:rsid w:val="004542DF"/>
    <w:rsid w:val="00454FC5"/>
    <w:rsid w:val="00455044"/>
    <w:rsid w:val="00455A00"/>
    <w:rsid w:val="00455B96"/>
    <w:rsid w:val="00455FAD"/>
    <w:rsid w:val="00456821"/>
    <w:rsid w:val="00461410"/>
    <w:rsid w:val="004640E8"/>
    <w:rsid w:val="004645C3"/>
    <w:rsid w:val="00464F7A"/>
    <w:rsid w:val="00465A06"/>
    <w:rsid w:val="00465CD0"/>
    <w:rsid w:val="004660A2"/>
    <w:rsid w:val="00466184"/>
    <w:rsid w:val="00466C98"/>
    <w:rsid w:val="00466DB4"/>
    <w:rsid w:val="00467162"/>
    <w:rsid w:val="00467618"/>
    <w:rsid w:val="0046787C"/>
    <w:rsid w:val="004679EB"/>
    <w:rsid w:val="00467C1C"/>
    <w:rsid w:val="00472696"/>
    <w:rsid w:val="00472A95"/>
    <w:rsid w:val="00473348"/>
    <w:rsid w:val="00473A59"/>
    <w:rsid w:val="00474207"/>
    <w:rsid w:val="0047474B"/>
    <w:rsid w:val="00474A1E"/>
    <w:rsid w:val="00474EFD"/>
    <w:rsid w:val="00475344"/>
    <w:rsid w:val="0047558A"/>
    <w:rsid w:val="00475B41"/>
    <w:rsid w:val="004767C7"/>
    <w:rsid w:val="004767EF"/>
    <w:rsid w:val="00476DB1"/>
    <w:rsid w:val="00477ADA"/>
    <w:rsid w:val="004807AA"/>
    <w:rsid w:val="00480D3E"/>
    <w:rsid w:val="00481F2B"/>
    <w:rsid w:val="00482709"/>
    <w:rsid w:val="00483E93"/>
    <w:rsid w:val="004844D5"/>
    <w:rsid w:val="0048467A"/>
    <w:rsid w:val="004850CA"/>
    <w:rsid w:val="004851FB"/>
    <w:rsid w:val="00487037"/>
    <w:rsid w:val="00487295"/>
    <w:rsid w:val="00487656"/>
    <w:rsid w:val="00487953"/>
    <w:rsid w:val="00487E7E"/>
    <w:rsid w:val="00490454"/>
    <w:rsid w:val="004904E1"/>
    <w:rsid w:val="00490E1F"/>
    <w:rsid w:val="004912F6"/>
    <w:rsid w:val="004913F1"/>
    <w:rsid w:val="00493D7B"/>
    <w:rsid w:val="0049414A"/>
    <w:rsid w:val="00494B35"/>
    <w:rsid w:val="00495043"/>
    <w:rsid w:val="004A028B"/>
    <w:rsid w:val="004A1226"/>
    <w:rsid w:val="004A2FD7"/>
    <w:rsid w:val="004A3045"/>
    <w:rsid w:val="004A34F3"/>
    <w:rsid w:val="004A3EA1"/>
    <w:rsid w:val="004A6CD7"/>
    <w:rsid w:val="004B0900"/>
    <w:rsid w:val="004B0938"/>
    <w:rsid w:val="004B0FF9"/>
    <w:rsid w:val="004B16E9"/>
    <w:rsid w:val="004B19EA"/>
    <w:rsid w:val="004B2E47"/>
    <w:rsid w:val="004B34C1"/>
    <w:rsid w:val="004B37A5"/>
    <w:rsid w:val="004B3C96"/>
    <w:rsid w:val="004B5AAA"/>
    <w:rsid w:val="004B6AD7"/>
    <w:rsid w:val="004B7245"/>
    <w:rsid w:val="004C06AC"/>
    <w:rsid w:val="004C290C"/>
    <w:rsid w:val="004C2BA9"/>
    <w:rsid w:val="004C3A7A"/>
    <w:rsid w:val="004C4B10"/>
    <w:rsid w:val="004C4C87"/>
    <w:rsid w:val="004C5454"/>
    <w:rsid w:val="004C59D1"/>
    <w:rsid w:val="004C5CC6"/>
    <w:rsid w:val="004C6BE2"/>
    <w:rsid w:val="004C710E"/>
    <w:rsid w:val="004C7D0D"/>
    <w:rsid w:val="004C7F26"/>
    <w:rsid w:val="004D0310"/>
    <w:rsid w:val="004D123D"/>
    <w:rsid w:val="004D193E"/>
    <w:rsid w:val="004D22B6"/>
    <w:rsid w:val="004D2B36"/>
    <w:rsid w:val="004D31BD"/>
    <w:rsid w:val="004D39F2"/>
    <w:rsid w:val="004D3BB9"/>
    <w:rsid w:val="004D5337"/>
    <w:rsid w:val="004D6951"/>
    <w:rsid w:val="004D737C"/>
    <w:rsid w:val="004D73D1"/>
    <w:rsid w:val="004D77FE"/>
    <w:rsid w:val="004D7FE1"/>
    <w:rsid w:val="004E02F5"/>
    <w:rsid w:val="004E07F1"/>
    <w:rsid w:val="004E244B"/>
    <w:rsid w:val="004E27CE"/>
    <w:rsid w:val="004E3BCB"/>
    <w:rsid w:val="004E4AF6"/>
    <w:rsid w:val="004E55F9"/>
    <w:rsid w:val="004E5B78"/>
    <w:rsid w:val="004E5DB1"/>
    <w:rsid w:val="004E7091"/>
    <w:rsid w:val="004E78AE"/>
    <w:rsid w:val="004F18BC"/>
    <w:rsid w:val="004F2949"/>
    <w:rsid w:val="004F3920"/>
    <w:rsid w:val="004F5082"/>
    <w:rsid w:val="004F52EC"/>
    <w:rsid w:val="004F5326"/>
    <w:rsid w:val="004F58E9"/>
    <w:rsid w:val="004F6C93"/>
    <w:rsid w:val="005003C4"/>
    <w:rsid w:val="0050121C"/>
    <w:rsid w:val="00501A35"/>
    <w:rsid w:val="00503F34"/>
    <w:rsid w:val="00504BF7"/>
    <w:rsid w:val="00505A13"/>
    <w:rsid w:val="00505BCE"/>
    <w:rsid w:val="00507711"/>
    <w:rsid w:val="00507D4E"/>
    <w:rsid w:val="005106F7"/>
    <w:rsid w:val="005113DA"/>
    <w:rsid w:val="00513DAF"/>
    <w:rsid w:val="00514AAE"/>
    <w:rsid w:val="005152AE"/>
    <w:rsid w:val="00515332"/>
    <w:rsid w:val="00515456"/>
    <w:rsid w:val="00516469"/>
    <w:rsid w:val="00516D60"/>
    <w:rsid w:val="005171CF"/>
    <w:rsid w:val="00517E6D"/>
    <w:rsid w:val="00520009"/>
    <w:rsid w:val="00520B45"/>
    <w:rsid w:val="0052226C"/>
    <w:rsid w:val="0052270D"/>
    <w:rsid w:val="00523FD9"/>
    <w:rsid w:val="00524040"/>
    <w:rsid w:val="00525E42"/>
    <w:rsid w:val="00525EF0"/>
    <w:rsid w:val="00525FF0"/>
    <w:rsid w:val="00526ADD"/>
    <w:rsid w:val="00527FFD"/>
    <w:rsid w:val="00530093"/>
    <w:rsid w:val="00530669"/>
    <w:rsid w:val="00531AC5"/>
    <w:rsid w:val="0053286B"/>
    <w:rsid w:val="00532A32"/>
    <w:rsid w:val="00532B65"/>
    <w:rsid w:val="00532C1B"/>
    <w:rsid w:val="00532EEF"/>
    <w:rsid w:val="005337FA"/>
    <w:rsid w:val="00533967"/>
    <w:rsid w:val="0053440B"/>
    <w:rsid w:val="005344C9"/>
    <w:rsid w:val="00534D88"/>
    <w:rsid w:val="0053555C"/>
    <w:rsid w:val="00535F7D"/>
    <w:rsid w:val="005360F4"/>
    <w:rsid w:val="00536BDC"/>
    <w:rsid w:val="00536D17"/>
    <w:rsid w:val="005372B7"/>
    <w:rsid w:val="005373B4"/>
    <w:rsid w:val="00537B85"/>
    <w:rsid w:val="00540179"/>
    <w:rsid w:val="005419EB"/>
    <w:rsid w:val="00541D4C"/>
    <w:rsid w:val="00542BE2"/>
    <w:rsid w:val="00542D16"/>
    <w:rsid w:val="00543319"/>
    <w:rsid w:val="00544B48"/>
    <w:rsid w:val="00545895"/>
    <w:rsid w:val="005459F0"/>
    <w:rsid w:val="00545FED"/>
    <w:rsid w:val="005463E3"/>
    <w:rsid w:val="005468F4"/>
    <w:rsid w:val="005478DD"/>
    <w:rsid w:val="00551270"/>
    <w:rsid w:val="00551A76"/>
    <w:rsid w:val="0055202F"/>
    <w:rsid w:val="00553067"/>
    <w:rsid w:val="00553220"/>
    <w:rsid w:val="00554092"/>
    <w:rsid w:val="00555B10"/>
    <w:rsid w:val="005562B6"/>
    <w:rsid w:val="005572AD"/>
    <w:rsid w:val="00557C0D"/>
    <w:rsid w:val="005608F8"/>
    <w:rsid w:val="00560985"/>
    <w:rsid w:val="005616C9"/>
    <w:rsid w:val="005630CA"/>
    <w:rsid w:val="00563B56"/>
    <w:rsid w:val="00564211"/>
    <w:rsid w:val="00565071"/>
    <w:rsid w:val="005652B5"/>
    <w:rsid w:val="0056597D"/>
    <w:rsid w:val="00565C38"/>
    <w:rsid w:val="00566117"/>
    <w:rsid w:val="005666AE"/>
    <w:rsid w:val="005669C9"/>
    <w:rsid w:val="005676A3"/>
    <w:rsid w:val="00567AF8"/>
    <w:rsid w:val="00567C52"/>
    <w:rsid w:val="00567DD0"/>
    <w:rsid w:val="0057086A"/>
    <w:rsid w:val="00570B8C"/>
    <w:rsid w:val="005713B2"/>
    <w:rsid w:val="00571B61"/>
    <w:rsid w:val="00571F7B"/>
    <w:rsid w:val="00573A8E"/>
    <w:rsid w:val="00573CA4"/>
    <w:rsid w:val="005741F5"/>
    <w:rsid w:val="00574447"/>
    <w:rsid w:val="00574498"/>
    <w:rsid w:val="00574A04"/>
    <w:rsid w:val="00574A1B"/>
    <w:rsid w:val="005751F9"/>
    <w:rsid w:val="00576E62"/>
    <w:rsid w:val="005770E5"/>
    <w:rsid w:val="00577B42"/>
    <w:rsid w:val="00577DB4"/>
    <w:rsid w:val="00580787"/>
    <w:rsid w:val="00580A74"/>
    <w:rsid w:val="00580AA7"/>
    <w:rsid w:val="00580CC5"/>
    <w:rsid w:val="00581087"/>
    <w:rsid w:val="0058129A"/>
    <w:rsid w:val="0058130E"/>
    <w:rsid w:val="00581871"/>
    <w:rsid w:val="00581E8E"/>
    <w:rsid w:val="00583674"/>
    <w:rsid w:val="0058377D"/>
    <w:rsid w:val="00583B4E"/>
    <w:rsid w:val="00583BF9"/>
    <w:rsid w:val="00584DAC"/>
    <w:rsid w:val="005859BC"/>
    <w:rsid w:val="00585AAE"/>
    <w:rsid w:val="00585C71"/>
    <w:rsid w:val="00585D5B"/>
    <w:rsid w:val="00587088"/>
    <w:rsid w:val="00587DD3"/>
    <w:rsid w:val="00591336"/>
    <w:rsid w:val="0059161C"/>
    <w:rsid w:val="00591826"/>
    <w:rsid w:val="0059485C"/>
    <w:rsid w:val="005956C6"/>
    <w:rsid w:val="00595D8E"/>
    <w:rsid w:val="005960E5"/>
    <w:rsid w:val="005961A6"/>
    <w:rsid w:val="005969EB"/>
    <w:rsid w:val="00597CE6"/>
    <w:rsid w:val="005A0CD1"/>
    <w:rsid w:val="005A3145"/>
    <w:rsid w:val="005A46FD"/>
    <w:rsid w:val="005A4764"/>
    <w:rsid w:val="005A4A53"/>
    <w:rsid w:val="005A541D"/>
    <w:rsid w:val="005A7CA9"/>
    <w:rsid w:val="005A7E05"/>
    <w:rsid w:val="005A7F75"/>
    <w:rsid w:val="005B0FA6"/>
    <w:rsid w:val="005B2ACA"/>
    <w:rsid w:val="005B3ED5"/>
    <w:rsid w:val="005B672A"/>
    <w:rsid w:val="005B70E6"/>
    <w:rsid w:val="005C1396"/>
    <w:rsid w:val="005C1491"/>
    <w:rsid w:val="005C17B3"/>
    <w:rsid w:val="005C286E"/>
    <w:rsid w:val="005C2870"/>
    <w:rsid w:val="005C2C63"/>
    <w:rsid w:val="005C3F49"/>
    <w:rsid w:val="005C62EE"/>
    <w:rsid w:val="005D07D4"/>
    <w:rsid w:val="005D098A"/>
    <w:rsid w:val="005D1543"/>
    <w:rsid w:val="005D1E72"/>
    <w:rsid w:val="005D2206"/>
    <w:rsid w:val="005D297B"/>
    <w:rsid w:val="005D30CC"/>
    <w:rsid w:val="005D3155"/>
    <w:rsid w:val="005D358F"/>
    <w:rsid w:val="005D3A66"/>
    <w:rsid w:val="005D4607"/>
    <w:rsid w:val="005D46F5"/>
    <w:rsid w:val="005D748D"/>
    <w:rsid w:val="005E0A37"/>
    <w:rsid w:val="005E1035"/>
    <w:rsid w:val="005E1098"/>
    <w:rsid w:val="005E1CE7"/>
    <w:rsid w:val="005E3EF1"/>
    <w:rsid w:val="005E485F"/>
    <w:rsid w:val="005E4F6C"/>
    <w:rsid w:val="005E6F56"/>
    <w:rsid w:val="005E7A36"/>
    <w:rsid w:val="005E7B55"/>
    <w:rsid w:val="005F00AA"/>
    <w:rsid w:val="005F1A4B"/>
    <w:rsid w:val="005F22C7"/>
    <w:rsid w:val="005F36AA"/>
    <w:rsid w:val="005F439F"/>
    <w:rsid w:val="005F44A7"/>
    <w:rsid w:val="005F50E8"/>
    <w:rsid w:val="005F5287"/>
    <w:rsid w:val="005F556A"/>
    <w:rsid w:val="005F5FD5"/>
    <w:rsid w:val="005F62FA"/>
    <w:rsid w:val="005F68AF"/>
    <w:rsid w:val="005F693B"/>
    <w:rsid w:val="005F7761"/>
    <w:rsid w:val="005F78BB"/>
    <w:rsid w:val="005F7B8C"/>
    <w:rsid w:val="00600FD4"/>
    <w:rsid w:val="00601C47"/>
    <w:rsid w:val="006025DC"/>
    <w:rsid w:val="00602E54"/>
    <w:rsid w:val="00603720"/>
    <w:rsid w:val="00603D3A"/>
    <w:rsid w:val="0060470C"/>
    <w:rsid w:val="00604DDC"/>
    <w:rsid w:val="00606F71"/>
    <w:rsid w:val="00607645"/>
    <w:rsid w:val="00607FD5"/>
    <w:rsid w:val="006103EF"/>
    <w:rsid w:val="00611B72"/>
    <w:rsid w:val="00612A11"/>
    <w:rsid w:val="00612B44"/>
    <w:rsid w:val="00612D3C"/>
    <w:rsid w:val="006130A3"/>
    <w:rsid w:val="00614158"/>
    <w:rsid w:val="006144FF"/>
    <w:rsid w:val="00616CC7"/>
    <w:rsid w:val="00617582"/>
    <w:rsid w:val="00617CB5"/>
    <w:rsid w:val="0062045B"/>
    <w:rsid w:val="006205AD"/>
    <w:rsid w:val="00620ABF"/>
    <w:rsid w:val="006216CD"/>
    <w:rsid w:val="00621B75"/>
    <w:rsid w:val="00621DBD"/>
    <w:rsid w:val="0062259D"/>
    <w:rsid w:val="006234CF"/>
    <w:rsid w:val="00624BD6"/>
    <w:rsid w:val="006250D1"/>
    <w:rsid w:val="00625116"/>
    <w:rsid w:val="0062518B"/>
    <w:rsid w:val="006254C0"/>
    <w:rsid w:val="00626080"/>
    <w:rsid w:val="00626B40"/>
    <w:rsid w:val="00626BDD"/>
    <w:rsid w:val="0062777D"/>
    <w:rsid w:val="00627B21"/>
    <w:rsid w:val="006308DF"/>
    <w:rsid w:val="00630FC5"/>
    <w:rsid w:val="006319AB"/>
    <w:rsid w:val="006323BB"/>
    <w:rsid w:val="006330F5"/>
    <w:rsid w:val="006333EF"/>
    <w:rsid w:val="00633977"/>
    <w:rsid w:val="00634480"/>
    <w:rsid w:val="00634C70"/>
    <w:rsid w:val="00634F58"/>
    <w:rsid w:val="0063545D"/>
    <w:rsid w:val="006358CD"/>
    <w:rsid w:val="00635E59"/>
    <w:rsid w:val="00636595"/>
    <w:rsid w:val="00636F17"/>
    <w:rsid w:val="00637120"/>
    <w:rsid w:val="00637D08"/>
    <w:rsid w:val="00640632"/>
    <w:rsid w:val="0064071E"/>
    <w:rsid w:val="00641103"/>
    <w:rsid w:val="006418C5"/>
    <w:rsid w:val="00642799"/>
    <w:rsid w:val="00644DB5"/>
    <w:rsid w:val="00645181"/>
    <w:rsid w:val="006451FA"/>
    <w:rsid w:val="00645815"/>
    <w:rsid w:val="00646340"/>
    <w:rsid w:val="00646451"/>
    <w:rsid w:val="00646C46"/>
    <w:rsid w:val="0065041D"/>
    <w:rsid w:val="00650704"/>
    <w:rsid w:val="00651658"/>
    <w:rsid w:val="00651B8A"/>
    <w:rsid w:val="00652C55"/>
    <w:rsid w:val="00654DFD"/>
    <w:rsid w:val="00654E52"/>
    <w:rsid w:val="00655629"/>
    <w:rsid w:val="00655B1D"/>
    <w:rsid w:val="006570C2"/>
    <w:rsid w:val="00657977"/>
    <w:rsid w:val="00660270"/>
    <w:rsid w:val="00661075"/>
    <w:rsid w:val="00661523"/>
    <w:rsid w:val="00665E45"/>
    <w:rsid w:val="00670833"/>
    <w:rsid w:val="00670838"/>
    <w:rsid w:val="006709C0"/>
    <w:rsid w:val="0067127F"/>
    <w:rsid w:val="00672348"/>
    <w:rsid w:val="00672B57"/>
    <w:rsid w:val="00673391"/>
    <w:rsid w:val="006733B6"/>
    <w:rsid w:val="00673B74"/>
    <w:rsid w:val="006764C8"/>
    <w:rsid w:val="00676B0E"/>
    <w:rsid w:val="00676BC9"/>
    <w:rsid w:val="00677188"/>
    <w:rsid w:val="00677750"/>
    <w:rsid w:val="00677BA4"/>
    <w:rsid w:val="00677F7B"/>
    <w:rsid w:val="0068070B"/>
    <w:rsid w:val="006813D7"/>
    <w:rsid w:val="00681E54"/>
    <w:rsid w:val="00681F94"/>
    <w:rsid w:val="00683C87"/>
    <w:rsid w:val="00684270"/>
    <w:rsid w:val="0068487C"/>
    <w:rsid w:val="00684C6E"/>
    <w:rsid w:val="00685110"/>
    <w:rsid w:val="00685B62"/>
    <w:rsid w:val="00685C09"/>
    <w:rsid w:val="00685FFA"/>
    <w:rsid w:val="00686659"/>
    <w:rsid w:val="00686AE8"/>
    <w:rsid w:val="006915A8"/>
    <w:rsid w:val="00691CDB"/>
    <w:rsid w:val="00692376"/>
    <w:rsid w:val="00695104"/>
    <w:rsid w:val="006951C0"/>
    <w:rsid w:val="00695318"/>
    <w:rsid w:val="0069639D"/>
    <w:rsid w:val="006970AF"/>
    <w:rsid w:val="006A0187"/>
    <w:rsid w:val="006A02F8"/>
    <w:rsid w:val="006A157E"/>
    <w:rsid w:val="006A20B3"/>
    <w:rsid w:val="006A2333"/>
    <w:rsid w:val="006A3C3D"/>
    <w:rsid w:val="006A4C82"/>
    <w:rsid w:val="006A529A"/>
    <w:rsid w:val="006A59F9"/>
    <w:rsid w:val="006A6153"/>
    <w:rsid w:val="006A6EFA"/>
    <w:rsid w:val="006A78D7"/>
    <w:rsid w:val="006B281E"/>
    <w:rsid w:val="006B2E29"/>
    <w:rsid w:val="006B3A10"/>
    <w:rsid w:val="006B3C79"/>
    <w:rsid w:val="006B3D17"/>
    <w:rsid w:val="006B3FEC"/>
    <w:rsid w:val="006B507F"/>
    <w:rsid w:val="006B54DD"/>
    <w:rsid w:val="006B58F4"/>
    <w:rsid w:val="006B5921"/>
    <w:rsid w:val="006B621C"/>
    <w:rsid w:val="006C054F"/>
    <w:rsid w:val="006C0B03"/>
    <w:rsid w:val="006C2E67"/>
    <w:rsid w:val="006C30F3"/>
    <w:rsid w:val="006C3A99"/>
    <w:rsid w:val="006C3D78"/>
    <w:rsid w:val="006C4AA3"/>
    <w:rsid w:val="006C4DDC"/>
    <w:rsid w:val="006C50F4"/>
    <w:rsid w:val="006C5384"/>
    <w:rsid w:val="006D0F99"/>
    <w:rsid w:val="006D134C"/>
    <w:rsid w:val="006D1F78"/>
    <w:rsid w:val="006D22F8"/>
    <w:rsid w:val="006D2348"/>
    <w:rsid w:val="006D2C18"/>
    <w:rsid w:val="006D33EE"/>
    <w:rsid w:val="006D346B"/>
    <w:rsid w:val="006D352E"/>
    <w:rsid w:val="006D3B57"/>
    <w:rsid w:val="006D5257"/>
    <w:rsid w:val="006D593E"/>
    <w:rsid w:val="006D5C5B"/>
    <w:rsid w:val="006D69B6"/>
    <w:rsid w:val="006D7B2A"/>
    <w:rsid w:val="006D7D30"/>
    <w:rsid w:val="006D7FA4"/>
    <w:rsid w:val="006E02A7"/>
    <w:rsid w:val="006E0AA7"/>
    <w:rsid w:val="006E1387"/>
    <w:rsid w:val="006E3834"/>
    <w:rsid w:val="006E3C42"/>
    <w:rsid w:val="006E3DF3"/>
    <w:rsid w:val="006E529A"/>
    <w:rsid w:val="006E5A45"/>
    <w:rsid w:val="006E6042"/>
    <w:rsid w:val="006E675D"/>
    <w:rsid w:val="006E677D"/>
    <w:rsid w:val="006E6DB1"/>
    <w:rsid w:val="006E74BC"/>
    <w:rsid w:val="006E76DE"/>
    <w:rsid w:val="006E7EA0"/>
    <w:rsid w:val="006F0928"/>
    <w:rsid w:val="006F0B72"/>
    <w:rsid w:val="006F180F"/>
    <w:rsid w:val="006F1879"/>
    <w:rsid w:val="006F296C"/>
    <w:rsid w:val="006F329F"/>
    <w:rsid w:val="006F36BF"/>
    <w:rsid w:val="006F4E6F"/>
    <w:rsid w:val="006F6BBC"/>
    <w:rsid w:val="006F7CCD"/>
    <w:rsid w:val="0070005A"/>
    <w:rsid w:val="00701ADA"/>
    <w:rsid w:val="00701B57"/>
    <w:rsid w:val="00701CDE"/>
    <w:rsid w:val="0070264C"/>
    <w:rsid w:val="0070277C"/>
    <w:rsid w:val="0070483E"/>
    <w:rsid w:val="007052D1"/>
    <w:rsid w:val="007062A9"/>
    <w:rsid w:val="00706571"/>
    <w:rsid w:val="0070752D"/>
    <w:rsid w:val="00711185"/>
    <w:rsid w:val="007116EE"/>
    <w:rsid w:val="0071253E"/>
    <w:rsid w:val="00713742"/>
    <w:rsid w:val="00714A1C"/>
    <w:rsid w:val="007154C1"/>
    <w:rsid w:val="00715929"/>
    <w:rsid w:val="0071672D"/>
    <w:rsid w:val="00717D2C"/>
    <w:rsid w:val="007206AE"/>
    <w:rsid w:val="0072123A"/>
    <w:rsid w:val="007212DA"/>
    <w:rsid w:val="00722325"/>
    <w:rsid w:val="00722749"/>
    <w:rsid w:val="0072280F"/>
    <w:rsid w:val="0072365A"/>
    <w:rsid w:val="00723DB8"/>
    <w:rsid w:val="0072409C"/>
    <w:rsid w:val="007246C4"/>
    <w:rsid w:val="00726534"/>
    <w:rsid w:val="00726A70"/>
    <w:rsid w:val="00727808"/>
    <w:rsid w:val="00727945"/>
    <w:rsid w:val="00730C55"/>
    <w:rsid w:val="007310BC"/>
    <w:rsid w:val="00731B28"/>
    <w:rsid w:val="007323BB"/>
    <w:rsid w:val="00732AA7"/>
    <w:rsid w:val="00733486"/>
    <w:rsid w:val="00733C75"/>
    <w:rsid w:val="007347BF"/>
    <w:rsid w:val="0073659F"/>
    <w:rsid w:val="007366B6"/>
    <w:rsid w:val="007377C3"/>
    <w:rsid w:val="00737AD8"/>
    <w:rsid w:val="00740A61"/>
    <w:rsid w:val="0074124B"/>
    <w:rsid w:val="0074199C"/>
    <w:rsid w:val="00744B02"/>
    <w:rsid w:val="00744F58"/>
    <w:rsid w:val="007451D3"/>
    <w:rsid w:val="00745814"/>
    <w:rsid w:val="0074689A"/>
    <w:rsid w:val="00747A6E"/>
    <w:rsid w:val="00747AED"/>
    <w:rsid w:val="00747DF6"/>
    <w:rsid w:val="0075137B"/>
    <w:rsid w:val="00752921"/>
    <w:rsid w:val="00753215"/>
    <w:rsid w:val="00753ED8"/>
    <w:rsid w:val="0075546E"/>
    <w:rsid w:val="007554DE"/>
    <w:rsid w:val="007562D1"/>
    <w:rsid w:val="0075715C"/>
    <w:rsid w:val="00760061"/>
    <w:rsid w:val="0076015E"/>
    <w:rsid w:val="0076026F"/>
    <w:rsid w:val="00760A2F"/>
    <w:rsid w:val="00760D7B"/>
    <w:rsid w:val="0076124F"/>
    <w:rsid w:val="00762334"/>
    <w:rsid w:val="00762665"/>
    <w:rsid w:val="007650B5"/>
    <w:rsid w:val="0076785C"/>
    <w:rsid w:val="00767C13"/>
    <w:rsid w:val="007714FF"/>
    <w:rsid w:val="00771857"/>
    <w:rsid w:val="007721F6"/>
    <w:rsid w:val="00773C4C"/>
    <w:rsid w:val="00774FB6"/>
    <w:rsid w:val="0077578A"/>
    <w:rsid w:val="00775CDC"/>
    <w:rsid w:val="00776597"/>
    <w:rsid w:val="00776FDD"/>
    <w:rsid w:val="00777004"/>
    <w:rsid w:val="007771F8"/>
    <w:rsid w:val="007776CC"/>
    <w:rsid w:val="00777A8F"/>
    <w:rsid w:val="00777D67"/>
    <w:rsid w:val="00782DF6"/>
    <w:rsid w:val="00783140"/>
    <w:rsid w:val="0078323F"/>
    <w:rsid w:val="00783577"/>
    <w:rsid w:val="00785E84"/>
    <w:rsid w:val="00787127"/>
    <w:rsid w:val="00787F45"/>
    <w:rsid w:val="007914D4"/>
    <w:rsid w:val="0079160B"/>
    <w:rsid w:val="0079216C"/>
    <w:rsid w:val="00792D20"/>
    <w:rsid w:val="007937EE"/>
    <w:rsid w:val="00793C92"/>
    <w:rsid w:val="00793F27"/>
    <w:rsid w:val="007947E8"/>
    <w:rsid w:val="0079559C"/>
    <w:rsid w:val="007957FB"/>
    <w:rsid w:val="00795DE9"/>
    <w:rsid w:val="00796B0A"/>
    <w:rsid w:val="00796F4D"/>
    <w:rsid w:val="00797CA8"/>
    <w:rsid w:val="007A040B"/>
    <w:rsid w:val="007A1A6A"/>
    <w:rsid w:val="007A21E1"/>
    <w:rsid w:val="007A236A"/>
    <w:rsid w:val="007A3426"/>
    <w:rsid w:val="007A371E"/>
    <w:rsid w:val="007A3976"/>
    <w:rsid w:val="007A5822"/>
    <w:rsid w:val="007A727C"/>
    <w:rsid w:val="007A7D82"/>
    <w:rsid w:val="007B0A6B"/>
    <w:rsid w:val="007B0E81"/>
    <w:rsid w:val="007B130D"/>
    <w:rsid w:val="007B281E"/>
    <w:rsid w:val="007B305E"/>
    <w:rsid w:val="007B325A"/>
    <w:rsid w:val="007B3E3E"/>
    <w:rsid w:val="007B4C92"/>
    <w:rsid w:val="007B5D96"/>
    <w:rsid w:val="007B5E89"/>
    <w:rsid w:val="007B5FB6"/>
    <w:rsid w:val="007B6D96"/>
    <w:rsid w:val="007C01F1"/>
    <w:rsid w:val="007C0684"/>
    <w:rsid w:val="007C18BA"/>
    <w:rsid w:val="007C197D"/>
    <w:rsid w:val="007C40B2"/>
    <w:rsid w:val="007C49CF"/>
    <w:rsid w:val="007C5C3D"/>
    <w:rsid w:val="007C62A6"/>
    <w:rsid w:val="007C6803"/>
    <w:rsid w:val="007D1226"/>
    <w:rsid w:val="007D14A9"/>
    <w:rsid w:val="007D19E8"/>
    <w:rsid w:val="007D64F4"/>
    <w:rsid w:val="007D6835"/>
    <w:rsid w:val="007D6D5A"/>
    <w:rsid w:val="007D7625"/>
    <w:rsid w:val="007E03BA"/>
    <w:rsid w:val="007E0835"/>
    <w:rsid w:val="007E0EA6"/>
    <w:rsid w:val="007E2020"/>
    <w:rsid w:val="007E220C"/>
    <w:rsid w:val="007E3B9B"/>
    <w:rsid w:val="007E40DB"/>
    <w:rsid w:val="007E45EA"/>
    <w:rsid w:val="007E4E3F"/>
    <w:rsid w:val="007F088B"/>
    <w:rsid w:val="007F17AD"/>
    <w:rsid w:val="007F2352"/>
    <w:rsid w:val="007F2862"/>
    <w:rsid w:val="007F2E1F"/>
    <w:rsid w:val="007F3103"/>
    <w:rsid w:val="007F4044"/>
    <w:rsid w:val="007F457D"/>
    <w:rsid w:val="007F472B"/>
    <w:rsid w:val="007F4DC8"/>
    <w:rsid w:val="007F52F3"/>
    <w:rsid w:val="007F53E4"/>
    <w:rsid w:val="007F5821"/>
    <w:rsid w:val="007F5D98"/>
    <w:rsid w:val="007F6542"/>
    <w:rsid w:val="007F6D2F"/>
    <w:rsid w:val="007F7109"/>
    <w:rsid w:val="007F7230"/>
    <w:rsid w:val="007F7335"/>
    <w:rsid w:val="00800320"/>
    <w:rsid w:val="00800AD3"/>
    <w:rsid w:val="00801547"/>
    <w:rsid w:val="00801BCF"/>
    <w:rsid w:val="00802424"/>
    <w:rsid w:val="00802AB7"/>
    <w:rsid w:val="00803090"/>
    <w:rsid w:val="00804F51"/>
    <w:rsid w:val="00804FA7"/>
    <w:rsid w:val="00805B67"/>
    <w:rsid w:val="00805CCC"/>
    <w:rsid w:val="00806B6C"/>
    <w:rsid w:val="008072D4"/>
    <w:rsid w:val="00807965"/>
    <w:rsid w:val="0080796B"/>
    <w:rsid w:val="008101A4"/>
    <w:rsid w:val="00810B73"/>
    <w:rsid w:val="008117BD"/>
    <w:rsid w:val="00811958"/>
    <w:rsid w:val="00812E93"/>
    <w:rsid w:val="00812EFB"/>
    <w:rsid w:val="00813D9A"/>
    <w:rsid w:val="008145E7"/>
    <w:rsid w:val="0081461C"/>
    <w:rsid w:val="00814C9E"/>
    <w:rsid w:val="008150FE"/>
    <w:rsid w:val="00815EA4"/>
    <w:rsid w:val="00816795"/>
    <w:rsid w:val="0081798A"/>
    <w:rsid w:val="008205D9"/>
    <w:rsid w:val="00820D56"/>
    <w:rsid w:val="00821609"/>
    <w:rsid w:val="00822564"/>
    <w:rsid w:val="00822EAC"/>
    <w:rsid w:val="00823AC3"/>
    <w:rsid w:val="00823C65"/>
    <w:rsid w:val="00823EFD"/>
    <w:rsid w:val="00824A6E"/>
    <w:rsid w:val="00825B86"/>
    <w:rsid w:val="00826103"/>
    <w:rsid w:val="008262E1"/>
    <w:rsid w:val="00826F95"/>
    <w:rsid w:val="00827375"/>
    <w:rsid w:val="008300EE"/>
    <w:rsid w:val="008311C1"/>
    <w:rsid w:val="008319AC"/>
    <w:rsid w:val="00832116"/>
    <w:rsid w:val="00832B1D"/>
    <w:rsid w:val="00833556"/>
    <w:rsid w:val="00833DA7"/>
    <w:rsid w:val="00833F6D"/>
    <w:rsid w:val="00833FE8"/>
    <w:rsid w:val="008347DD"/>
    <w:rsid w:val="00834E40"/>
    <w:rsid w:val="0083512A"/>
    <w:rsid w:val="008366C4"/>
    <w:rsid w:val="00836D05"/>
    <w:rsid w:val="00837C33"/>
    <w:rsid w:val="00840DF8"/>
    <w:rsid w:val="00840FCE"/>
    <w:rsid w:val="008413F6"/>
    <w:rsid w:val="00842995"/>
    <w:rsid w:val="00842C0F"/>
    <w:rsid w:val="00842E99"/>
    <w:rsid w:val="008430AC"/>
    <w:rsid w:val="00843771"/>
    <w:rsid w:val="00843917"/>
    <w:rsid w:val="008440F9"/>
    <w:rsid w:val="00845646"/>
    <w:rsid w:val="00845BD5"/>
    <w:rsid w:val="00846BD2"/>
    <w:rsid w:val="00847660"/>
    <w:rsid w:val="00847B34"/>
    <w:rsid w:val="00847FED"/>
    <w:rsid w:val="008509A6"/>
    <w:rsid w:val="00850EA8"/>
    <w:rsid w:val="00851D2B"/>
    <w:rsid w:val="008525DB"/>
    <w:rsid w:val="008534D1"/>
    <w:rsid w:val="0085480D"/>
    <w:rsid w:val="00855DE4"/>
    <w:rsid w:val="008571CF"/>
    <w:rsid w:val="00857AD5"/>
    <w:rsid w:val="00857EB3"/>
    <w:rsid w:val="0086037D"/>
    <w:rsid w:val="00860CAA"/>
    <w:rsid w:val="008622B6"/>
    <w:rsid w:val="008625F8"/>
    <w:rsid w:val="0086295B"/>
    <w:rsid w:val="00862966"/>
    <w:rsid w:val="00863519"/>
    <w:rsid w:val="008636F0"/>
    <w:rsid w:val="0086375B"/>
    <w:rsid w:val="00864236"/>
    <w:rsid w:val="00865EE6"/>
    <w:rsid w:val="00865FEF"/>
    <w:rsid w:val="008677A6"/>
    <w:rsid w:val="00867F4A"/>
    <w:rsid w:val="00872BD2"/>
    <w:rsid w:val="00873BE0"/>
    <w:rsid w:val="008743F3"/>
    <w:rsid w:val="00874F0D"/>
    <w:rsid w:val="008755A8"/>
    <w:rsid w:val="00875D6E"/>
    <w:rsid w:val="00876846"/>
    <w:rsid w:val="008769B1"/>
    <w:rsid w:val="008777E7"/>
    <w:rsid w:val="00877BEF"/>
    <w:rsid w:val="008803C6"/>
    <w:rsid w:val="00880943"/>
    <w:rsid w:val="0088116C"/>
    <w:rsid w:val="008840E2"/>
    <w:rsid w:val="0088422A"/>
    <w:rsid w:val="0089072E"/>
    <w:rsid w:val="00891523"/>
    <w:rsid w:val="00891C1D"/>
    <w:rsid w:val="008925B6"/>
    <w:rsid w:val="00892B76"/>
    <w:rsid w:val="00892CC8"/>
    <w:rsid w:val="0089320B"/>
    <w:rsid w:val="008952DF"/>
    <w:rsid w:val="008953A4"/>
    <w:rsid w:val="0089661B"/>
    <w:rsid w:val="00897B14"/>
    <w:rsid w:val="008A0179"/>
    <w:rsid w:val="008A1786"/>
    <w:rsid w:val="008A5639"/>
    <w:rsid w:val="008A56D0"/>
    <w:rsid w:val="008A683B"/>
    <w:rsid w:val="008A6BE3"/>
    <w:rsid w:val="008A7559"/>
    <w:rsid w:val="008A7D3E"/>
    <w:rsid w:val="008B00FD"/>
    <w:rsid w:val="008B1CC5"/>
    <w:rsid w:val="008B3B8E"/>
    <w:rsid w:val="008B4E67"/>
    <w:rsid w:val="008B612F"/>
    <w:rsid w:val="008B6CB9"/>
    <w:rsid w:val="008C151D"/>
    <w:rsid w:val="008C1810"/>
    <w:rsid w:val="008C205D"/>
    <w:rsid w:val="008C23B6"/>
    <w:rsid w:val="008C26B6"/>
    <w:rsid w:val="008C3566"/>
    <w:rsid w:val="008C3E69"/>
    <w:rsid w:val="008C45D9"/>
    <w:rsid w:val="008C5DD9"/>
    <w:rsid w:val="008C62EB"/>
    <w:rsid w:val="008C68E0"/>
    <w:rsid w:val="008C6F1E"/>
    <w:rsid w:val="008C72BE"/>
    <w:rsid w:val="008C7D4D"/>
    <w:rsid w:val="008D0619"/>
    <w:rsid w:val="008D06B3"/>
    <w:rsid w:val="008D0E4A"/>
    <w:rsid w:val="008D10A8"/>
    <w:rsid w:val="008D1152"/>
    <w:rsid w:val="008D1596"/>
    <w:rsid w:val="008D1741"/>
    <w:rsid w:val="008D1B9C"/>
    <w:rsid w:val="008D292B"/>
    <w:rsid w:val="008D3071"/>
    <w:rsid w:val="008D3AD1"/>
    <w:rsid w:val="008D3E68"/>
    <w:rsid w:val="008D42ED"/>
    <w:rsid w:val="008D4C47"/>
    <w:rsid w:val="008D4E59"/>
    <w:rsid w:val="008D5DB4"/>
    <w:rsid w:val="008D67D1"/>
    <w:rsid w:val="008D7E42"/>
    <w:rsid w:val="008E06BF"/>
    <w:rsid w:val="008E0B8F"/>
    <w:rsid w:val="008E2AFD"/>
    <w:rsid w:val="008E379F"/>
    <w:rsid w:val="008E385E"/>
    <w:rsid w:val="008E3CC5"/>
    <w:rsid w:val="008E43F7"/>
    <w:rsid w:val="008E5C5A"/>
    <w:rsid w:val="008E6AD3"/>
    <w:rsid w:val="008E7482"/>
    <w:rsid w:val="008F0512"/>
    <w:rsid w:val="008F0775"/>
    <w:rsid w:val="008F17DC"/>
    <w:rsid w:val="008F2189"/>
    <w:rsid w:val="008F30B4"/>
    <w:rsid w:val="008F3AD2"/>
    <w:rsid w:val="008F3B26"/>
    <w:rsid w:val="008F4736"/>
    <w:rsid w:val="008F475A"/>
    <w:rsid w:val="008F57C9"/>
    <w:rsid w:val="008F61AE"/>
    <w:rsid w:val="008F6208"/>
    <w:rsid w:val="008F6A26"/>
    <w:rsid w:val="008F72C1"/>
    <w:rsid w:val="008F7F00"/>
    <w:rsid w:val="00900008"/>
    <w:rsid w:val="009000A0"/>
    <w:rsid w:val="009014BD"/>
    <w:rsid w:val="00901538"/>
    <w:rsid w:val="0090178B"/>
    <w:rsid w:val="00901AC4"/>
    <w:rsid w:val="00901D21"/>
    <w:rsid w:val="00902ECD"/>
    <w:rsid w:val="0090331A"/>
    <w:rsid w:val="0090340B"/>
    <w:rsid w:val="0090381F"/>
    <w:rsid w:val="009043A6"/>
    <w:rsid w:val="009045E1"/>
    <w:rsid w:val="00906A62"/>
    <w:rsid w:val="009077B6"/>
    <w:rsid w:val="00910BD5"/>
    <w:rsid w:val="00910F76"/>
    <w:rsid w:val="0091109F"/>
    <w:rsid w:val="009110E5"/>
    <w:rsid w:val="0091264E"/>
    <w:rsid w:val="00913DAE"/>
    <w:rsid w:val="00914B45"/>
    <w:rsid w:val="00915D9A"/>
    <w:rsid w:val="009165FA"/>
    <w:rsid w:val="00916638"/>
    <w:rsid w:val="00916DC3"/>
    <w:rsid w:val="009207C1"/>
    <w:rsid w:val="00920DB5"/>
    <w:rsid w:val="00920F83"/>
    <w:rsid w:val="00921512"/>
    <w:rsid w:val="009228C5"/>
    <w:rsid w:val="0092293D"/>
    <w:rsid w:val="00924744"/>
    <w:rsid w:val="009247EC"/>
    <w:rsid w:val="009274E2"/>
    <w:rsid w:val="00930C01"/>
    <w:rsid w:val="00931254"/>
    <w:rsid w:val="00931773"/>
    <w:rsid w:val="00932B15"/>
    <w:rsid w:val="00933701"/>
    <w:rsid w:val="009340D4"/>
    <w:rsid w:val="00934AE7"/>
    <w:rsid w:val="00934D2D"/>
    <w:rsid w:val="00935444"/>
    <w:rsid w:val="00941091"/>
    <w:rsid w:val="00942096"/>
    <w:rsid w:val="00942201"/>
    <w:rsid w:val="0094234A"/>
    <w:rsid w:val="0094299A"/>
    <w:rsid w:val="00942ED5"/>
    <w:rsid w:val="009438A6"/>
    <w:rsid w:val="009438B9"/>
    <w:rsid w:val="00943F51"/>
    <w:rsid w:val="009445CC"/>
    <w:rsid w:val="00944694"/>
    <w:rsid w:val="00945784"/>
    <w:rsid w:val="009459DF"/>
    <w:rsid w:val="00946FBF"/>
    <w:rsid w:val="0094732D"/>
    <w:rsid w:val="009473D9"/>
    <w:rsid w:val="009504D7"/>
    <w:rsid w:val="0095072C"/>
    <w:rsid w:val="00951CA6"/>
    <w:rsid w:val="00951CF5"/>
    <w:rsid w:val="00951D24"/>
    <w:rsid w:val="0095321A"/>
    <w:rsid w:val="00954294"/>
    <w:rsid w:val="00955282"/>
    <w:rsid w:val="009557DE"/>
    <w:rsid w:val="00960565"/>
    <w:rsid w:val="00960B73"/>
    <w:rsid w:val="0096133D"/>
    <w:rsid w:val="00961C56"/>
    <w:rsid w:val="00961EE0"/>
    <w:rsid w:val="00963505"/>
    <w:rsid w:val="00963554"/>
    <w:rsid w:val="00964D99"/>
    <w:rsid w:val="00964FDC"/>
    <w:rsid w:val="0096520D"/>
    <w:rsid w:val="0096573E"/>
    <w:rsid w:val="009658EE"/>
    <w:rsid w:val="009659C7"/>
    <w:rsid w:val="00965C0D"/>
    <w:rsid w:val="00970119"/>
    <w:rsid w:val="0097147A"/>
    <w:rsid w:val="00973C58"/>
    <w:rsid w:val="0097462C"/>
    <w:rsid w:val="00974DA7"/>
    <w:rsid w:val="009760D2"/>
    <w:rsid w:val="00976CEB"/>
    <w:rsid w:val="00976DC0"/>
    <w:rsid w:val="00977D8F"/>
    <w:rsid w:val="00980272"/>
    <w:rsid w:val="00980828"/>
    <w:rsid w:val="00980D2D"/>
    <w:rsid w:val="00980DB6"/>
    <w:rsid w:val="00981862"/>
    <w:rsid w:val="00981ADD"/>
    <w:rsid w:val="00981CA0"/>
    <w:rsid w:val="00982012"/>
    <w:rsid w:val="00982719"/>
    <w:rsid w:val="00982A7D"/>
    <w:rsid w:val="00982FD5"/>
    <w:rsid w:val="00983D6A"/>
    <w:rsid w:val="00983F1A"/>
    <w:rsid w:val="00983FE5"/>
    <w:rsid w:val="009857B7"/>
    <w:rsid w:val="009860A4"/>
    <w:rsid w:val="00986A77"/>
    <w:rsid w:val="009873D1"/>
    <w:rsid w:val="00987874"/>
    <w:rsid w:val="00987901"/>
    <w:rsid w:val="009901DB"/>
    <w:rsid w:val="00990300"/>
    <w:rsid w:val="00991B8F"/>
    <w:rsid w:val="009924F3"/>
    <w:rsid w:val="0099484E"/>
    <w:rsid w:val="00994858"/>
    <w:rsid w:val="009959A7"/>
    <w:rsid w:val="00996A84"/>
    <w:rsid w:val="00996ADD"/>
    <w:rsid w:val="00997C6E"/>
    <w:rsid w:val="009A011B"/>
    <w:rsid w:val="009A08D9"/>
    <w:rsid w:val="009A1E2C"/>
    <w:rsid w:val="009A249E"/>
    <w:rsid w:val="009A3798"/>
    <w:rsid w:val="009A4085"/>
    <w:rsid w:val="009A5218"/>
    <w:rsid w:val="009A521D"/>
    <w:rsid w:val="009A54B4"/>
    <w:rsid w:val="009A54FD"/>
    <w:rsid w:val="009A5BA6"/>
    <w:rsid w:val="009A6015"/>
    <w:rsid w:val="009A64D1"/>
    <w:rsid w:val="009A731A"/>
    <w:rsid w:val="009A77E4"/>
    <w:rsid w:val="009A783C"/>
    <w:rsid w:val="009A79CC"/>
    <w:rsid w:val="009A7B0B"/>
    <w:rsid w:val="009B04B8"/>
    <w:rsid w:val="009B136C"/>
    <w:rsid w:val="009B1A03"/>
    <w:rsid w:val="009B22AB"/>
    <w:rsid w:val="009B380C"/>
    <w:rsid w:val="009B3B26"/>
    <w:rsid w:val="009B4FBB"/>
    <w:rsid w:val="009B5691"/>
    <w:rsid w:val="009B58A0"/>
    <w:rsid w:val="009B64D4"/>
    <w:rsid w:val="009B67C6"/>
    <w:rsid w:val="009B6E6A"/>
    <w:rsid w:val="009B787C"/>
    <w:rsid w:val="009C0155"/>
    <w:rsid w:val="009C1491"/>
    <w:rsid w:val="009C1EBA"/>
    <w:rsid w:val="009C292E"/>
    <w:rsid w:val="009C2D85"/>
    <w:rsid w:val="009C2F78"/>
    <w:rsid w:val="009C332E"/>
    <w:rsid w:val="009C4002"/>
    <w:rsid w:val="009C4172"/>
    <w:rsid w:val="009C49C7"/>
    <w:rsid w:val="009C4DDD"/>
    <w:rsid w:val="009C7A6A"/>
    <w:rsid w:val="009C7C0E"/>
    <w:rsid w:val="009D079C"/>
    <w:rsid w:val="009D1EBA"/>
    <w:rsid w:val="009D236F"/>
    <w:rsid w:val="009D39D5"/>
    <w:rsid w:val="009D3F3A"/>
    <w:rsid w:val="009D4935"/>
    <w:rsid w:val="009D5267"/>
    <w:rsid w:val="009D6131"/>
    <w:rsid w:val="009D6430"/>
    <w:rsid w:val="009D674A"/>
    <w:rsid w:val="009D6C8B"/>
    <w:rsid w:val="009D70FC"/>
    <w:rsid w:val="009D71A2"/>
    <w:rsid w:val="009D781B"/>
    <w:rsid w:val="009E177A"/>
    <w:rsid w:val="009E28CC"/>
    <w:rsid w:val="009E3D81"/>
    <w:rsid w:val="009E4A17"/>
    <w:rsid w:val="009E5143"/>
    <w:rsid w:val="009E595C"/>
    <w:rsid w:val="009E600A"/>
    <w:rsid w:val="009F2D66"/>
    <w:rsid w:val="009F37FF"/>
    <w:rsid w:val="009F3A82"/>
    <w:rsid w:val="009F3B1F"/>
    <w:rsid w:val="009F4542"/>
    <w:rsid w:val="009F4C36"/>
    <w:rsid w:val="009F4F79"/>
    <w:rsid w:val="009F54D4"/>
    <w:rsid w:val="009F54F3"/>
    <w:rsid w:val="009F5B45"/>
    <w:rsid w:val="009F79DA"/>
    <w:rsid w:val="009F7C21"/>
    <w:rsid w:val="00A002D8"/>
    <w:rsid w:val="00A007D4"/>
    <w:rsid w:val="00A00B9F"/>
    <w:rsid w:val="00A031C6"/>
    <w:rsid w:val="00A0460C"/>
    <w:rsid w:val="00A04833"/>
    <w:rsid w:val="00A05469"/>
    <w:rsid w:val="00A05BEF"/>
    <w:rsid w:val="00A05FD6"/>
    <w:rsid w:val="00A06BA3"/>
    <w:rsid w:val="00A073DF"/>
    <w:rsid w:val="00A074AA"/>
    <w:rsid w:val="00A07E52"/>
    <w:rsid w:val="00A10AD6"/>
    <w:rsid w:val="00A11756"/>
    <w:rsid w:val="00A11833"/>
    <w:rsid w:val="00A11B40"/>
    <w:rsid w:val="00A125E1"/>
    <w:rsid w:val="00A12BC5"/>
    <w:rsid w:val="00A1402C"/>
    <w:rsid w:val="00A1413D"/>
    <w:rsid w:val="00A15222"/>
    <w:rsid w:val="00A16560"/>
    <w:rsid w:val="00A169B0"/>
    <w:rsid w:val="00A174E1"/>
    <w:rsid w:val="00A21006"/>
    <w:rsid w:val="00A21184"/>
    <w:rsid w:val="00A216ED"/>
    <w:rsid w:val="00A21773"/>
    <w:rsid w:val="00A22560"/>
    <w:rsid w:val="00A23278"/>
    <w:rsid w:val="00A239AB"/>
    <w:rsid w:val="00A24163"/>
    <w:rsid w:val="00A248D1"/>
    <w:rsid w:val="00A257AE"/>
    <w:rsid w:val="00A26A5C"/>
    <w:rsid w:val="00A273B5"/>
    <w:rsid w:val="00A2759D"/>
    <w:rsid w:val="00A27684"/>
    <w:rsid w:val="00A27D28"/>
    <w:rsid w:val="00A30066"/>
    <w:rsid w:val="00A30918"/>
    <w:rsid w:val="00A30C7F"/>
    <w:rsid w:val="00A316E3"/>
    <w:rsid w:val="00A336D4"/>
    <w:rsid w:val="00A33954"/>
    <w:rsid w:val="00A33F19"/>
    <w:rsid w:val="00A348DD"/>
    <w:rsid w:val="00A34E72"/>
    <w:rsid w:val="00A37765"/>
    <w:rsid w:val="00A40C04"/>
    <w:rsid w:val="00A41551"/>
    <w:rsid w:val="00A41DD1"/>
    <w:rsid w:val="00A4220C"/>
    <w:rsid w:val="00A42EE0"/>
    <w:rsid w:val="00A4341D"/>
    <w:rsid w:val="00A43589"/>
    <w:rsid w:val="00A435C5"/>
    <w:rsid w:val="00A43BFB"/>
    <w:rsid w:val="00A43EA8"/>
    <w:rsid w:val="00A44D49"/>
    <w:rsid w:val="00A46CCA"/>
    <w:rsid w:val="00A5080B"/>
    <w:rsid w:val="00A50D96"/>
    <w:rsid w:val="00A512F3"/>
    <w:rsid w:val="00A51BE4"/>
    <w:rsid w:val="00A5209C"/>
    <w:rsid w:val="00A52472"/>
    <w:rsid w:val="00A52F45"/>
    <w:rsid w:val="00A53505"/>
    <w:rsid w:val="00A53806"/>
    <w:rsid w:val="00A53B21"/>
    <w:rsid w:val="00A544A8"/>
    <w:rsid w:val="00A5460D"/>
    <w:rsid w:val="00A54DB6"/>
    <w:rsid w:val="00A55975"/>
    <w:rsid w:val="00A562CF"/>
    <w:rsid w:val="00A56527"/>
    <w:rsid w:val="00A568EB"/>
    <w:rsid w:val="00A56DD4"/>
    <w:rsid w:val="00A57D13"/>
    <w:rsid w:val="00A6081F"/>
    <w:rsid w:val="00A60ABA"/>
    <w:rsid w:val="00A616F9"/>
    <w:rsid w:val="00A61BCD"/>
    <w:rsid w:val="00A62C09"/>
    <w:rsid w:val="00A62CC6"/>
    <w:rsid w:val="00A637A9"/>
    <w:rsid w:val="00A641D9"/>
    <w:rsid w:val="00A6470C"/>
    <w:rsid w:val="00A658B9"/>
    <w:rsid w:val="00A660F9"/>
    <w:rsid w:val="00A6672B"/>
    <w:rsid w:val="00A67606"/>
    <w:rsid w:val="00A67EF2"/>
    <w:rsid w:val="00A705EB"/>
    <w:rsid w:val="00A7212E"/>
    <w:rsid w:val="00A72399"/>
    <w:rsid w:val="00A733D7"/>
    <w:rsid w:val="00A738AB"/>
    <w:rsid w:val="00A74E2D"/>
    <w:rsid w:val="00A74E40"/>
    <w:rsid w:val="00A7568D"/>
    <w:rsid w:val="00A7579E"/>
    <w:rsid w:val="00A76001"/>
    <w:rsid w:val="00A760C5"/>
    <w:rsid w:val="00A77666"/>
    <w:rsid w:val="00A80FED"/>
    <w:rsid w:val="00A81F2E"/>
    <w:rsid w:val="00A826F2"/>
    <w:rsid w:val="00A83511"/>
    <w:rsid w:val="00A83A95"/>
    <w:rsid w:val="00A84236"/>
    <w:rsid w:val="00A84365"/>
    <w:rsid w:val="00A85F68"/>
    <w:rsid w:val="00A86921"/>
    <w:rsid w:val="00A871B6"/>
    <w:rsid w:val="00A87553"/>
    <w:rsid w:val="00A876FE"/>
    <w:rsid w:val="00A878FB"/>
    <w:rsid w:val="00A87B00"/>
    <w:rsid w:val="00A90C1B"/>
    <w:rsid w:val="00A90EFD"/>
    <w:rsid w:val="00A91950"/>
    <w:rsid w:val="00A91E6A"/>
    <w:rsid w:val="00A93280"/>
    <w:rsid w:val="00A949E7"/>
    <w:rsid w:val="00A94A6C"/>
    <w:rsid w:val="00A952DF"/>
    <w:rsid w:val="00A96B27"/>
    <w:rsid w:val="00A97A16"/>
    <w:rsid w:val="00A97DE5"/>
    <w:rsid w:val="00AA0181"/>
    <w:rsid w:val="00AA0446"/>
    <w:rsid w:val="00AA08F6"/>
    <w:rsid w:val="00AA15C3"/>
    <w:rsid w:val="00AA2160"/>
    <w:rsid w:val="00AA2493"/>
    <w:rsid w:val="00AA2642"/>
    <w:rsid w:val="00AA2C2D"/>
    <w:rsid w:val="00AA4F74"/>
    <w:rsid w:val="00AA5416"/>
    <w:rsid w:val="00AA741A"/>
    <w:rsid w:val="00AA74AC"/>
    <w:rsid w:val="00AB0065"/>
    <w:rsid w:val="00AB02B2"/>
    <w:rsid w:val="00AB0334"/>
    <w:rsid w:val="00AB0497"/>
    <w:rsid w:val="00AB07C0"/>
    <w:rsid w:val="00AB0C67"/>
    <w:rsid w:val="00AB0F1B"/>
    <w:rsid w:val="00AB12BA"/>
    <w:rsid w:val="00AB191F"/>
    <w:rsid w:val="00AB3B35"/>
    <w:rsid w:val="00AB41E4"/>
    <w:rsid w:val="00AB56F0"/>
    <w:rsid w:val="00AB5BD0"/>
    <w:rsid w:val="00AB5C7B"/>
    <w:rsid w:val="00AB65CB"/>
    <w:rsid w:val="00AB65D9"/>
    <w:rsid w:val="00AB6AEF"/>
    <w:rsid w:val="00AB76EE"/>
    <w:rsid w:val="00AC0D97"/>
    <w:rsid w:val="00AC1D1D"/>
    <w:rsid w:val="00AC2E4A"/>
    <w:rsid w:val="00AC2FE0"/>
    <w:rsid w:val="00AC35B9"/>
    <w:rsid w:val="00AC479B"/>
    <w:rsid w:val="00AC490F"/>
    <w:rsid w:val="00AC582B"/>
    <w:rsid w:val="00AC635A"/>
    <w:rsid w:val="00AC6A0E"/>
    <w:rsid w:val="00AC6B6E"/>
    <w:rsid w:val="00AC7326"/>
    <w:rsid w:val="00AD087C"/>
    <w:rsid w:val="00AD0FE2"/>
    <w:rsid w:val="00AD2AF0"/>
    <w:rsid w:val="00AD2BE7"/>
    <w:rsid w:val="00AD2C4B"/>
    <w:rsid w:val="00AD2D1E"/>
    <w:rsid w:val="00AD2F74"/>
    <w:rsid w:val="00AD31B9"/>
    <w:rsid w:val="00AD35DA"/>
    <w:rsid w:val="00AD3858"/>
    <w:rsid w:val="00AD3B4C"/>
    <w:rsid w:val="00AD54CF"/>
    <w:rsid w:val="00AD54F2"/>
    <w:rsid w:val="00AD6976"/>
    <w:rsid w:val="00AD6EEB"/>
    <w:rsid w:val="00AD7879"/>
    <w:rsid w:val="00AE2CA7"/>
    <w:rsid w:val="00AE375D"/>
    <w:rsid w:val="00AE4082"/>
    <w:rsid w:val="00AE4ADD"/>
    <w:rsid w:val="00AE4CA4"/>
    <w:rsid w:val="00AE69F7"/>
    <w:rsid w:val="00AE75FF"/>
    <w:rsid w:val="00AF0897"/>
    <w:rsid w:val="00AF113B"/>
    <w:rsid w:val="00AF2396"/>
    <w:rsid w:val="00AF27BF"/>
    <w:rsid w:val="00AF4E80"/>
    <w:rsid w:val="00AF5334"/>
    <w:rsid w:val="00AF6B93"/>
    <w:rsid w:val="00AF6E8A"/>
    <w:rsid w:val="00B005B2"/>
    <w:rsid w:val="00B00837"/>
    <w:rsid w:val="00B00CF8"/>
    <w:rsid w:val="00B01472"/>
    <w:rsid w:val="00B01C04"/>
    <w:rsid w:val="00B025E8"/>
    <w:rsid w:val="00B03F32"/>
    <w:rsid w:val="00B0436C"/>
    <w:rsid w:val="00B05545"/>
    <w:rsid w:val="00B071D3"/>
    <w:rsid w:val="00B1145D"/>
    <w:rsid w:val="00B11481"/>
    <w:rsid w:val="00B122E8"/>
    <w:rsid w:val="00B125CB"/>
    <w:rsid w:val="00B12F8E"/>
    <w:rsid w:val="00B12FC3"/>
    <w:rsid w:val="00B141D2"/>
    <w:rsid w:val="00B14CB8"/>
    <w:rsid w:val="00B15D95"/>
    <w:rsid w:val="00B163EB"/>
    <w:rsid w:val="00B16AB5"/>
    <w:rsid w:val="00B20373"/>
    <w:rsid w:val="00B207FA"/>
    <w:rsid w:val="00B22926"/>
    <w:rsid w:val="00B2298D"/>
    <w:rsid w:val="00B23619"/>
    <w:rsid w:val="00B23732"/>
    <w:rsid w:val="00B23977"/>
    <w:rsid w:val="00B23B92"/>
    <w:rsid w:val="00B23D21"/>
    <w:rsid w:val="00B23E6F"/>
    <w:rsid w:val="00B24187"/>
    <w:rsid w:val="00B24924"/>
    <w:rsid w:val="00B27C97"/>
    <w:rsid w:val="00B307DE"/>
    <w:rsid w:val="00B30CEA"/>
    <w:rsid w:val="00B319F9"/>
    <w:rsid w:val="00B32783"/>
    <w:rsid w:val="00B337A8"/>
    <w:rsid w:val="00B33D60"/>
    <w:rsid w:val="00B33D8D"/>
    <w:rsid w:val="00B345FC"/>
    <w:rsid w:val="00B3493C"/>
    <w:rsid w:val="00B355D0"/>
    <w:rsid w:val="00B35CB5"/>
    <w:rsid w:val="00B35E2D"/>
    <w:rsid w:val="00B374CB"/>
    <w:rsid w:val="00B376DC"/>
    <w:rsid w:val="00B37B4F"/>
    <w:rsid w:val="00B402F1"/>
    <w:rsid w:val="00B41073"/>
    <w:rsid w:val="00B4229E"/>
    <w:rsid w:val="00B42698"/>
    <w:rsid w:val="00B4285A"/>
    <w:rsid w:val="00B43390"/>
    <w:rsid w:val="00B4369C"/>
    <w:rsid w:val="00B43994"/>
    <w:rsid w:val="00B443F1"/>
    <w:rsid w:val="00B468DA"/>
    <w:rsid w:val="00B471F4"/>
    <w:rsid w:val="00B51068"/>
    <w:rsid w:val="00B516F4"/>
    <w:rsid w:val="00B5270C"/>
    <w:rsid w:val="00B52E90"/>
    <w:rsid w:val="00B5332D"/>
    <w:rsid w:val="00B5356E"/>
    <w:rsid w:val="00B5383D"/>
    <w:rsid w:val="00B54077"/>
    <w:rsid w:val="00B54622"/>
    <w:rsid w:val="00B5516F"/>
    <w:rsid w:val="00B55ACC"/>
    <w:rsid w:val="00B562BB"/>
    <w:rsid w:val="00B5683B"/>
    <w:rsid w:val="00B60518"/>
    <w:rsid w:val="00B608F7"/>
    <w:rsid w:val="00B60E63"/>
    <w:rsid w:val="00B62122"/>
    <w:rsid w:val="00B62AFC"/>
    <w:rsid w:val="00B6370A"/>
    <w:rsid w:val="00B63E8A"/>
    <w:rsid w:val="00B63FB5"/>
    <w:rsid w:val="00B646A5"/>
    <w:rsid w:val="00B64937"/>
    <w:rsid w:val="00B66711"/>
    <w:rsid w:val="00B66718"/>
    <w:rsid w:val="00B670AD"/>
    <w:rsid w:val="00B6717D"/>
    <w:rsid w:val="00B6759F"/>
    <w:rsid w:val="00B714AC"/>
    <w:rsid w:val="00B71508"/>
    <w:rsid w:val="00B72D62"/>
    <w:rsid w:val="00B7411B"/>
    <w:rsid w:val="00B74C41"/>
    <w:rsid w:val="00B76005"/>
    <w:rsid w:val="00B7698B"/>
    <w:rsid w:val="00B77C4B"/>
    <w:rsid w:val="00B77C53"/>
    <w:rsid w:val="00B81F30"/>
    <w:rsid w:val="00B83192"/>
    <w:rsid w:val="00B836C4"/>
    <w:rsid w:val="00B83896"/>
    <w:rsid w:val="00B83DD0"/>
    <w:rsid w:val="00B84065"/>
    <w:rsid w:val="00B8422F"/>
    <w:rsid w:val="00B849D7"/>
    <w:rsid w:val="00B84F6F"/>
    <w:rsid w:val="00B86B61"/>
    <w:rsid w:val="00B86BB2"/>
    <w:rsid w:val="00B871E7"/>
    <w:rsid w:val="00B87AD1"/>
    <w:rsid w:val="00B909DF"/>
    <w:rsid w:val="00B90B4F"/>
    <w:rsid w:val="00B90E06"/>
    <w:rsid w:val="00B9116F"/>
    <w:rsid w:val="00B9136F"/>
    <w:rsid w:val="00B91F25"/>
    <w:rsid w:val="00B92144"/>
    <w:rsid w:val="00B929F2"/>
    <w:rsid w:val="00B93B3A"/>
    <w:rsid w:val="00B94975"/>
    <w:rsid w:val="00B9559E"/>
    <w:rsid w:val="00B974AD"/>
    <w:rsid w:val="00B97E6E"/>
    <w:rsid w:val="00BA0D8D"/>
    <w:rsid w:val="00BA1A87"/>
    <w:rsid w:val="00BA1B6A"/>
    <w:rsid w:val="00BA21E1"/>
    <w:rsid w:val="00BA233A"/>
    <w:rsid w:val="00BA2558"/>
    <w:rsid w:val="00BA25BD"/>
    <w:rsid w:val="00BA364E"/>
    <w:rsid w:val="00BA4234"/>
    <w:rsid w:val="00BA44D4"/>
    <w:rsid w:val="00BA4ACA"/>
    <w:rsid w:val="00BA76C6"/>
    <w:rsid w:val="00BB107A"/>
    <w:rsid w:val="00BB12B1"/>
    <w:rsid w:val="00BB370C"/>
    <w:rsid w:val="00BB3BFE"/>
    <w:rsid w:val="00BB44C7"/>
    <w:rsid w:val="00BB4559"/>
    <w:rsid w:val="00BB4750"/>
    <w:rsid w:val="00BB5C2B"/>
    <w:rsid w:val="00BB62B2"/>
    <w:rsid w:val="00BB6738"/>
    <w:rsid w:val="00BB6824"/>
    <w:rsid w:val="00BB7288"/>
    <w:rsid w:val="00BB77E8"/>
    <w:rsid w:val="00BB7EA4"/>
    <w:rsid w:val="00BC0CF8"/>
    <w:rsid w:val="00BC0E6D"/>
    <w:rsid w:val="00BC1273"/>
    <w:rsid w:val="00BC1391"/>
    <w:rsid w:val="00BC154D"/>
    <w:rsid w:val="00BC2F87"/>
    <w:rsid w:val="00BC3C41"/>
    <w:rsid w:val="00BC44BC"/>
    <w:rsid w:val="00BC5230"/>
    <w:rsid w:val="00BC5A64"/>
    <w:rsid w:val="00BC60DE"/>
    <w:rsid w:val="00BC6299"/>
    <w:rsid w:val="00BC658A"/>
    <w:rsid w:val="00BC6847"/>
    <w:rsid w:val="00BC6863"/>
    <w:rsid w:val="00BC6A3D"/>
    <w:rsid w:val="00BC6CF2"/>
    <w:rsid w:val="00BC6F6F"/>
    <w:rsid w:val="00BC77ED"/>
    <w:rsid w:val="00BC7F74"/>
    <w:rsid w:val="00BD0DB8"/>
    <w:rsid w:val="00BD0E8A"/>
    <w:rsid w:val="00BD17E0"/>
    <w:rsid w:val="00BD237F"/>
    <w:rsid w:val="00BD3241"/>
    <w:rsid w:val="00BD3D0A"/>
    <w:rsid w:val="00BD3DC0"/>
    <w:rsid w:val="00BD40C8"/>
    <w:rsid w:val="00BD462C"/>
    <w:rsid w:val="00BD4D1C"/>
    <w:rsid w:val="00BD4D53"/>
    <w:rsid w:val="00BD531E"/>
    <w:rsid w:val="00BD55FD"/>
    <w:rsid w:val="00BD57D7"/>
    <w:rsid w:val="00BD5D93"/>
    <w:rsid w:val="00BD72D8"/>
    <w:rsid w:val="00BE06DF"/>
    <w:rsid w:val="00BE0E72"/>
    <w:rsid w:val="00BE1187"/>
    <w:rsid w:val="00BE186B"/>
    <w:rsid w:val="00BE1EE0"/>
    <w:rsid w:val="00BE272B"/>
    <w:rsid w:val="00BE4A5D"/>
    <w:rsid w:val="00BE4F39"/>
    <w:rsid w:val="00BE60B5"/>
    <w:rsid w:val="00BE6B48"/>
    <w:rsid w:val="00BF0570"/>
    <w:rsid w:val="00BF0620"/>
    <w:rsid w:val="00BF0C32"/>
    <w:rsid w:val="00BF21E8"/>
    <w:rsid w:val="00BF228E"/>
    <w:rsid w:val="00BF2DB4"/>
    <w:rsid w:val="00BF38AF"/>
    <w:rsid w:val="00BF4C84"/>
    <w:rsid w:val="00BF5527"/>
    <w:rsid w:val="00BF5668"/>
    <w:rsid w:val="00C00868"/>
    <w:rsid w:val="00C0093D"/>
    <w:rsid w:val="00C0151F"/>
    <w:rsid w:val="00C019F9"/>
    <w:rsid w:val="00C033A3"/>
    <w:rsid w:val="00C03AD4"/>
    <w:rsid w:val="00C05DEF"/>
    <w:rsid w:val="00C05F0F"/>
    <w:rsid w:val="00C05F51"/>
    <w:rsid w:val="00C062B4"/>
    <w:rsid w:val="00C06C31"/>
    <w:rsid w:val="00C06D75"/>
    <w:rsid w:val="00C07FF4"/>
    <w:rsid w:val="00C104AC"/>
    <w:rsid w:val="00C11583"/>
    <w:rsid w:val="00C122DD"/>
    <w:rsid w:val="00C12A93"/>
    <w:rsid w:val="00C13DB7"/>
    <w:rsid w:val="00C13E5F"/>
    <w:rsid w:val="00C15B56"/>
    <w:rsid w:val="00C1611B"/>
    <w:rsid w:val="00C22655"/>
    <w:rsid w:val="00C25455"/>
    <w:rsid w:val="00C25FAC"/>
    <w:rsid w:val="00C30D03"/>
    <w:rsid w:val="00C30FFC"/>
    <w:rsid w:val="00C3177A"/>
    <w:rsid w:val="00C32D2B"/>
    <w:rsid w:val="00C33BA2"/>
    <w:rsid w:val="00C3478A"/>
    <w:rsid w:val="00C353A3"/>
    <w:rsid w:val="00C35939"/>
    <w:rsid w:val="00C37EF5"/>
    <w:rsid w:val="00C4106F"/>
    <w:rsid w:val="00C42470"/>
    <w:rsid w:val="00C429BF"/>
    <w:rsid w:val="00C44519"/>
    <w:rsid w:val="00C448F7"/>
    <w:rsid w:val="00C46738"/>
    <w:rsid w:val="00C47B65"/>
    <w:rsid w:val="00C518FC"/>
    <w:rsid w:val="00C52742"/>
    <w:rsid w:val="00C52841"/>
    <w:rsid w:val="00C531B7"/>
    <w:rsid w:val="00C535CB"/>
    <w:rsid w:val="00C542A6"/>
    <w:rsid w:val="00C542B7"/>
    <w:rsid w:val="00C5684D"/>
    <w:rsid w:val="00C56A0C"/>
    <w:rsid w:val="00C56F2F"/>
    <w:rsid w:val="00C57DC6"/>
    <w:rsid w:val="00C605AD"/>
    <w:rsid w:val="00C619E5"/>
    <w:rsid w:val="00C61B02"/>
    <w:rsid w:val="00C61B77"/>
    <w:rsid w:val="00C62B40"/>
    <w:rsid w:val="00C62DDD"/>
    <w:rsid w:val="00C63145"/>
    <w:rsid w:val="00C631A9"/>
    <w:rsid w:val="00C63383"/>
    <w:rsid w:val="00C65A3C"/>
    <w:rsid w:val="00C65BB5"/>
    <w:rsid w:val="00C67BA5"/>
    <w:rsid w:val="00C70119"/>
    <w:rsid w:val="00C722E4"/>
    <w:rsid w:val="00C729D1"/>
    <w:rsid w:val="00C73B43"/>
    <w:rsid w:val="00C73F87"/>
    <w:rsid w:val="00C73FA9"/>
    <w:rsid w:val="00C740F4"/>
    <w:rsid w:val="00C74186"/>
    <w:rsid w:val="00C745D8"/>
    <w:rsid w:val="00C746A4"/>
    <w:rsid w:val="00C74E24"/>
    <w:rsid w:val="00C756AB"/>
    <w:rsid w:val="00C762D1"/>
    <w:rsid w:val="00C77F93"/>
    <w:rsid w:val="00C806A4"/>
    <w:rsid w:val="00C80DE9"/>
    <w:rsid w:val="00C816F0"/>
    <w:rsid w:val="00C81786"/>
    <w:rsid w:val="00C8180A"/>
    <w:rsid w:val="00C8192D"/>
    <w:rsid w:val="00C828B6"/>
    <w:rsid w:val="00C838EA"/>
    <w:rsid w:val="00C83C06"/>
    <w:rsid w:val="00C83CED"/>
    <w:rsid w:val="00C83D4E"/>
    <w:rsid w:val="00C849D8"/>
    <w:rsid w:val="00C84B9D"/>
    <w:rsid w:val="00C84CE9"/>
    <w:rsid w:val="00C851E4"/>
    <w:rsid w:val="00C85951"/>
    <w:rsid w:val="00C86E80"/>
    <w:rsid w:val="00C87195"/>
    <w:rsid w:val="00C873D1"/>
    <w:rsid w:val="00C875C8"/>
    <w:rsid w:val="00C87950"/>
    <w:rsid w:val="00C906A5"/>
    <w:rsid w:val="00C90E44"/>
    <w:rsid w:val="00C91B46"/>
    <w:rsid w:val="00C937D7"/>
    <w:rsid w:val="00C949BD"/>
    <w:rsid w:val="00C95455"/>
    <w:rsid w:val="00C95934"/>
    <w:rsid w:val="00C963FD"/>
    <w:rsid w:val="00C9691E"/>
    <w:rsid w:val="00C97CE5"/>
    <w:rsid w:val="00C97D3B"/>
    <w:rsid w:val="00CA0173"/>
    <w:rsid w:val="00CA0BA6"/>
    <w:rsid w:val="00CA11DA"/>
    <w:rsid w:val="00CA2339"/>
    <w:rsid w:val="00CA2FAC"/>
    <w:rsid w:val="00CA367E"/>
    <w:rsid w:val="00CA494A"/>
    <w:rsid w:val="00CA5479"/>
    <w:rsid w:val="00CA625D"/>
    <w:rsid w:val="00CA676F"/>
    <w:rsid w:val="00CA6F77"/>
    <w:rsid w:val="00CA71D5"/>
    <w:rsid w:val="00CB06D2"/>
    <w:rsid w:val="00CB0ABF"/>
    <w:rsid w:val="00CB0C8D"/>
    <w:rsid w:val="00CB19CA"/>
    <w:rsid w:val="00CB255E"/>
    <w:rsid w:val="00CB2634"/>
    <w:rsid w:val="00CB2BF5"/>
    <w:rsid w:val="00CB2D3C"/>
    <w:rsid w:val="00CB3478"/>
    <w:rsid w:val="00CB38AD"/>
    <w:rsid w:val="00CB41EF"/>
    <w:rsid w:val="00CB4F9C"/>
    <w:rsid w:val="00CB51B5"/>
    <w:rsid w:val="00CB6565"/>
    <w:rsid w:val="00CB6C9B"/>
    <w:rsid w:val="00CB6CFC"/>
    <w:rsid w:val="00CC1068"/>
    <w:rsid w:val="00CC2895"/>
    <w:rsid w:val="00CC2CAB"/>
    <w:rsid w:val="00CC2DDC"/>
    <w:rsid w:val="00CC310C"/>
    <w:rsid w:val="00CC44BC"/>
    <w:rsid w:val="00CC52E4"/>
    <w:rsid w:val="00CC6BC3"/>
    <w:rsid w:val="00CC7875"/>
    <w:rsid w:val="00CC7F85"/>
    <w:rsid w:val="00CC7FD4"/>
    <w:rsid w:val="00CD0859"/>
    <w:rsid w:val="00CD13D2"/>
    <w:rsid w:val="00CD2CBB"/>
    <w:rsid w:val="00CD3B47"/>
    <w:rsid w:val="00CD524C"/>
    <w:rsid w:val="00CD6344"/>
    <w:rsid w:val="00CD6A0E"/>
    <w:rsid w:val="00CD7C29"/>
    <w:rsid w:val="00CE023F"/>
    <w:rsid w:val="00CE0D66"/>
    <w:rsid w:val="00CE301D"/>
    <w:rsid w:val="00CE3CE3"/>
    <w:rsid w:val="00CE4546"/>
    <w:rsid w:val="00CE4A80"/>
    <w:rsid w:val="00CE5B09"/>
    <w:rsid w:val="00CE676D"/>
    <w:rsid w:val="00CE69F9"/>
    <w:rsid w:val="00CE69FC"/>
    <w:rsid w:val="00CE6EE5"/>
    <w:rsid w:val="00CE7CFC"/>
    <w:rsid w:val="00CF05DF"/>
    <w:rsid w:val="00CF0916"/>
    <w:rsid w:val="00CF0B14"/>
    <w:rsid w:val="00CF1753"/>
    <w:rsid w:val="00CF19BA"/>
    <w:rsid w:val="00CF216E"/>
    <w:rsid w:val="00CF2AAA"/>
    <w:rsid w:val="00CF2FA0"/>
    <w:rsid w:val="00CF4116"/>
    <w:rsid w:val="00CF512D"/>
    <w:rsid w:val="00CF57C5"/>
    <w:rsid w:val="00CF5C08"/>
    <w:rsid w:val="00CF666E"/>
    <w:rsid w:val="00CF6AD8"/>
    <w:rsid w:val="00CF7299"/>
    <w:rsid w:val="00D02597"/>
    <w:rsid w:val="00D026F1"/>
    <w:rsid w:val="00D02CBE"/>
    <w:rsid w:val="00D03137"/>
    <w:rsid w:val="00D04597"/>
    <w:rsid w:val="00D05D75"/>
    <w:rsid w:val="00D07055"/>
    <w:rsid w:val="00D10571"/>
    <w:rsid w:val="00D10841"/>
    <w:rsid w:val="00D11FF5"/>
    <w:rsid w:val="00D1299E"/>
    <w:rsid w:val="00D12CEC"/>
    <w:rsid w:val="00D131E7"/>
    <w:rsid w:val="00D14E48"/>
    <w:rsid w:val="00D156A8"/>
    <w:rsid w:val="00D156BC"/>
    <w:rsid w:val="00D15825"/>
    <w:rsid w:val="00D158BC"/>
    <w:rsid w:val="00D158D9"/>
    <w:rsid w:val="00D15DB5"/>
    <w:rsid w:val="00D1794E"/>
    <w:rsid w:val="00D179D6"/>
    <w:rsid w:val="00D17EB6"/>
    <w:rsid w:val="00D202C8"/>
    <w:rsid w:val="00D204FD"/>
    <w:rsid w:val="00D20D9E"/>
    <w:rsid w:val="00D213FC"/>
    <w:rsid w:val="00D21CC0"/>
    <w:rsid w:val="00D224F7"/>
    <w:rsid w:val="00D22C99"/>
    <w:rsid w:val="00D22CA8"/>
    <w:rsid w:val="00D22F53"/>
    <w:rsid w:val="00D23245"/>
    <w:rsid w:val="00D2355E"/>
    <w:rsid w:val="00D237A6"/>
    <w:rsid w:val="00D238A2"/>
    <w:rsid w:val="00D2426B"/>
    <w:rsid w:val="00D24D0C"/>
    <w:rsid w:val="00D24DAD"/>
    <w:rsid w:val="00D25562"/>
    <w:rsid w:val="00D255AC"/>
    <w:rsid w:val="00D25CEF"/>
    <w:rsid w:val="00D30BCA"/>
    <w:rsid w:val="00D30E4A"/>
    <w:rsid w:val="00D3229A"/>
    <w:rsid w:val="00D32FA7"/>
    <w:rsid w:val="00D351C0"/>
    <w:rsid w:val="00D36934"/>
    <w:rsid w:val="00D369C5"/>
    <w:rsid w:val="00D37443"/>
    <w:rsid w:val="00D37D36"/>
    <w:rsid w:val="00D37DFC"/>
    <w:rsid w:val="00D40B7C"/>
    <w:rsid w:val="00D40ED4"/>
    <w:rsid w:val="00D41AD4"/>
    <w:rsid w:val="00D429AB"/>
    <w:rsid w:val="00D4483F"/>
    <w:rsid w:val="00D44C50"/>
    <w:rsid w:val="00D4651C"/>
    <w:rsid w:val="00D4673D"/>
    <w:rsid w:val="00D4687A"/>
    <w:rsid w:val="00D47B80"/>
    <w:rsid w:val="00D5122C"/>
    <w:rsid w:val="00D521CD"/>
    <w:rsid w:val="00D52D63"/>
    <w:rsid w:val="00D53D0D"/>
    <w:rsid w:val="00D54462"/>
    <w:rsid w:val="00D558A7"/>
    <w:rsid w:val="00D55A57"/>
    <w:rsid w:val="00D57D9F"/>
    <w:rsid w:val="00D613B1"/>
    <w:rsid w:val="00D6284D"/>
    <w:rsid w:val="00D62888"/>
    <w:rsid w:val="00D63527"/>
    <w:rsid w:val="00D63713"/>
    <w:rsid w:val="00D63D6C"/>
    <w:rsid w:val="00D63FBF"/>
    <w:rsid w:val="00D64734"/>
    <w:rsid w:val="00D65333"/>
    <w:rsid w:val="00D65640"/>
    <w:rsid w:val="00D65C2E"/>
    <w:rsid w:val="00D668FA"/>
    <w:rsid w:val="00D66B82"/>
    <w:rsid w:val="00D671F9"/>
    <w:rsid w:val="00D67603"/>
    <w:rsid w:val="00D6780C"/>
    <w:rsid w:val="00D70626"/>
    <w:rsid w:val="00D72290"/>
    <w:rsid w:val="00D722BF"/>
    <w:rsid w:val="00D72AC2"/>
    <w:rsid w:val="00D75004"/>
    <w:rsid w:val="00D752C0"/>
    <w:rsid w:val="00D753EB"/>
    <w:rsid w:val="00D753F4"/>
    <w:rsid w:val="00D75763"/>
    <w:rsid w:val="00D75AAE"/>
    <w:rsid w:val="00D75E95"/>
    <w:rsid w:val="00D76814"/>
    <w:rsid w:val="00D77589"/>
    <w:rsid w:val="00D77AD1"/>
    <w:rsid w:val="00D80289"/>
    <w:rsid w:val="00D80E12"/>
    <w:rsid w:val="00D80F13"/>
    <w:rsid w:val="00D82720"/>
    <w:rsid w:val="00D829E4"/>
    <w:rsid w:val="00D837DA"/>
    <w:rsid w:val="00D84BAC"/>
    <w:rsid w:val="00D85BB6"/>
    <w:rsid w:val="00D86293"/>
    <w:rsid w:val="00D86599"/>
    <w:rsid w:val="00D86EB2"/>
    <w:rsid w:val="00D87903"/>
    <w:rsid w:val="00D87D5B"/>
    <w:rsid w:val="00D90068"/>
    <w:rsid w:val="00D903AE"/>
    <w:rsid w:val="00D904A1"/>
    <w:rsid w:val="00D9213E"/>
    <w:rsid w:val="00D92165"/>
    <w:rsid w:val="00D92196"/>
    <w:rsid w:val="00D934A0"/>
    <w:rsid w:val="00D939CC"/>
    <w:rsid w:val="00D93C86"/>
    <w:rsid w:val="00D94B43"/>
    <w:rsid w:val="00D95CC0"/>
    <w:rsid w:val="00D96043"/>
    <w:rsid w:val="00D967B8"/>
    <w:rsid w:val="00D96BDA"/>
    <w:rsid w:val="00D96DEF"/>
    <w:rsid w:val="00DA0D24"/>
    <w:rsid w:val="00DA0EBC"/>
    <w:rsid w:val="00DA132C"/>
    <w:rsid w:val="00DA1E7C"/>
    <w:rsid w:val="00DA3DAB"/>
    <w:rsid w:val="00DA413C"/>
    <w:rsid w:val="00DA45B5"/>
    <w:rsid w:val="00DA4D0D"/>
    <w:rsid w:val="00DA4DCF"/>
    <w:rsid w:val="00DA534D"/>
    <w:rsid w:val="00DA64F6"/>
    <w:rsid w:val="00DB0007"/>
    <w:rsid w:val="00DB0347"/>
    <w:rsid w:val="00DB0BD3"/>
    <w:rsid w:val="00DB1090"/>
    <w:rsid w:val="00DB12CB"/>
    <w:rsid w:val="00DB168A"/>
    <w:rsid w:val="00DB366D"/>
    <w:rsid w:val="00DB39AE"/>
    <w:rsid w:val="00DB3B8D"/>
    <w:rsid w:val="00DB4600"/>
    <w:rsid w:val="00DB4A83"/>
    <w:rsid w:val="00DB56D6"/>
    <w:rsid w:val="00DB63F9"/>
    <w:rsid w:val="00DB6468"/>
    <w:rsid w:val="00DB68CF"/>
    <w:rsid w:val="00DB7120"/>
    <w:rsid w:val="00DB753C"/>
    <w:rsid w:val="00DB7625"/>
    <w:rsid w:val="00DB7AF0"/>
    <w:rsid w:val="00DC034D"/>
    <w:rsid w:val="00DC0C81"/>
    <w:rsid w:val="00DC318A"/>
    <w:rsid w:val="00DC3841"/>
    <w:rsid w:val="00DC3BA0"/>
    <w:rsid w:val="00DC3BD1"/>
    <w:rsid w:val="00DC3ED1"/>
    <w:rsid w:val="00DC5455"/>
    <w:rsid w:val="00DC6452"/>
    <w:rsid w:val="00DC755D"/>
    <w:rsid w:val="00DC760B"/>
    <w:rsid w:val="00DC7CF5"/>
    <w:rsid w:val="00DC7D1E"/>
    <w:rsid w:val="00DD10B3"/>
    <w:rsid w:val="00DD148C"/>
    <w:rsid w:val="00DD1950"/>
    <w:rsid w:val="00DD2473"/>
    <w:rsid w:val="00DD337D"/>
    <w:rsid w:val="00DD3407"/>
    <w:rsid w:val="00DD4A2D"/>
    <w:rsid w:val="00DD4B3B"/>
    <w:rsid w:val="00DD5517"/>
    <w:rsid w:val="00DD5FC1"/>
    <w:rsid w:val="00DD60B4"/>
    <w:rsid w:val="00DD6798"/>
    <w:rsid w:val="00DD6CA0"/>
    <w:rsid w:val="00DD7C84"/>
    <w:rsid w:val="00DE008A"/>
    <w:rsid w:val="00DE160C"/>
    <w:rsid w:val="00DE2358"/>
    <w:rsid w:val="00DE3E28"/>
    <w:rsid w:val="00DE44D3"/>
    <w:rsid w:val="00DE4594"/>
    <w:rsid w:val="00DE4894"/>
    <w:rsid w:val="00DE4E2D"/>
    <w:rsid w:val="00DE5EEF"/>
    <w:rsid w:val="00DE777A"/>
    <w:rsid w:val="00DE7948"/>
    <w:rsid w:val="00DF2037"/>
    <w:rsid w:val="00DF384A"/>
    <w:rsid w:val="00DF4ABA"/>
    <w:rsid w:val="00DF4C07"/>
    <w:rsid w:val="00DF696F"/>
    <w:rsid w:val="00DF70DD"/>
    <w:rsid w:val="00DF76D7"/>
    <w:rsid w:val="00DF78FC"/>
    <w:rsid w:val="00DF79A2"/>
    <w:rsid w:val="00E0041E"/>
    <w:rsid w:val="00E00C7A"/>
    <w:rsid w:val="00E00F3F"/>
    <w:rsid w:val="00E01FC9"/>
    <w:rsid w:val="00E02D59"/>
    <w:rsid w:val="00E03182"/>
    <w:rsid w:val="00E03503"/>
    <w:rsid w:val="00E03E64"/>
    <w:rsid w:val="00E03F18"/>
    <w:rsid w:val="00E048B1"/>
    <w:rsid w:val="00E05395"/>
    <w:rsid w:val="00E05652"/>
    <w:rsid w:val="00E06363"/>
    <w:rsid w:val="00E06FD2"/>
    <w:rsid w:val="00E07297"/>
    <w:rsid w:val="00E07764"/>
    <w:rsid w:val="00E07891"/>
    <w:rsid w:val="00E109F3"/>
    <w:rsid w:val="00E10DCE"/>
    <w:rsid w:val="00E1234C"/>
    <w:rsid w:val="00E13360"/>
    <w:rsid w:val="00E1348B"/>
    <w:rsid w:val="00E136F9"/>
    <w:rsid w:val="00E13B86"/>
    <w:rsid w:val="00E142D7"/>
    <w:rsid w:val="00E14432"/>
    <w:rsid w:val="00E1498D"/>
    <w:rsid w:val="00E15209"/>
    <w:rsid w:val="00E171C3"/>
    <w:rsid w:val="00E171FC"/>
    <w:rsid w:val="00E2170D"/>
    <w:rsid w:val="00E21A5E"/>
    <w:rsid w:val="00E23051"/>
    <w:rsid w:val="00E232D2"/>
    <w:rsid w:val="00E23E01"/>
    <w:rsid w:val="00E24503"/>
    <w:rsid w:val="00E257EB"/>
    <w:rsid w:val="00E25D4E"/>
    <w:rsid w:val="00E26213"/>
    <w:rsid w:val="00E26C91"/>
    <w:rsid w:val="00E27989"/>
    <w:rsid w:val="00E30214"/>
    <w:rsid w:val="00E30EAA"/>
    <w:rsid w:val="00E3113E"/>
    <w:rsid w:val="00E3138F"/>
    <w:rsid w:val="00E321D5"/>
    <w:rsid w:val="00E323E8"/>
    <w:rsid w:val="00E3247B"/>
    <w:rsid w:val="00E32549"/>
    <w:rsid w:val="00E32A5A"/>
    <w:rsid w:val="00E32C86"/>
    <w:rsid w:val="00E3345B"/>
    <w:rsid w:val="00E3374D"/>
    <w:rsid w:val="00E3381A"/>
    <w:rsid w:val="00E3594D"/>
    <w:rsid w:val="00E366B8"/>
    <w:rsid w:val="00E36FF8"/>
    <w:rsid w:val="00E40DA8"/>
    <w:rsid w:val="00E42B69"/>
    <w:rsid w:val="00E43225"/>
    <w:rsid w:val="00E4362D"/>
    <w:rsid w:val="00E43EA1"/>
    <w:rsid w:val="00E44767"/>
    <w:rsid w:val="00E45887"/>
    <w:rsid w:val="00E4590E"/>
    <w:rsid w:val="00E460A6"/>
    <w:rsid w:val="00E47E49"/>
    <w:rsid w:val="00E47EF7"/>
    <w:rsid w:val="00E50346"/>
    <w:rsid w:val="00E50416"/>
    <w:rsid w:val="00E50A72"/>
    <w:rsid w:val="00E50DB9"/>
    <w:rsid w:val="00E53297"/>
    <w:rsid w:val="00E54400"/>
    <w:rsid w:val="00E54415"/>
    <w:rsid w:val="00E5458F"/>
    <w:rsid w:val="00E548EF"/>
    <w:rsid w:val="00E559F4"/>
    <w:rsid w:val="00E55AF9"/>
    <w:rsid w:val="00E56A23"/>
    <w:rsid w:val="00E57C7B"/>
    <w:rsid w:val="00E60AC7"/>
    <w:rsid w:val="00E60AED"/>
    <w:rsid w:val="00E615CD"/>
    <w:rsid w:val="00E619D4"/>
    <w:rsid w:val="00E621F7"/>
    <w:rsid w:val="00E625BB"/>
    <w:rsid w:val="00E6341D"/>
    <w:rsid w:val="00E65CF3"/>
    <w:rsid w:val="00E66CFE"/>
    <w:rsid w:val="00E6784F"/>
    <w:rsid w:val="00E67A12"/>
    <w:rsid w:val="00E71A5B"/>
    <w:rsid w:val="00E72AA0"/>
    <w:rsid w:val="00E7357D"/>
    <w:rsid w:val="00E74113"/>
    <w:rsid w:val="00E75331"/>
    <w:rsid w:val="00E75B17"/>
    <w:rsid w:val="00E765F3"/>
    <w:rsid w:val="00E76B4B"/>
    <w:rsid w:val="00E76CDF"/>
    <w:rsid w:val="00E76E6A"/>
    <w:rsid w:val="00E77309"/>
    <w:rsid w:val="00E802A2"/>
    <w:rsid w:val="00E8071C"/>
    <w:rsid w:val="00E80C1A"/>
    <w:rsid w:val="00E82659"/>
    <w:rsid w:val="00E82AA2"/>
    <w:rsid w:val="00E82F83"/>
    <w:rsid w:val="00E8380F"/>
    <w:rsid w:val="00E841AE"/>
    <w:rsid w:val="00E84A10"/>
    <w:rsid w:val="00E85267"/>
    <w:rsid w:val="00E8601D"/>
    <w:rsid w:val="00E86BF2"/>
    <w:rsid w:val="00E87336"/>
    <w:rsid w:val="00E87BFC"/>
    <w:rsid w:val="00E90439"/>
    <w:rsid w:val="00E91FAD"/>
    <w:rsid w:val="00E92179"/>
    <w:rsid w:val="00E92741"/>
    <w:rsid w:val="00E938E3"/>
    <w:rsid w:val="00E94951"/>
    <w:rsid w:val="00E94A41"/>
    <w:rsid w:val="00E94DB1"/>
    <w:rsid w:val="00E94E36"/>
    <w:rsid w:val="00E958FB"/>
    <w:rsid w:val="00E964EC"/>
    <w:rsid w:val="00EA3AC5"/>
    <w:rsid w:val="00EA4D25"/>
    <w:rsid w:val="00EA55A7"/>
    <w:rsid w:val="00EA637C"/>
    <w:rsid w:val="00EA7002"/>
    <w:rsid w:val="00EB0747"/>
    <w:rsid w:val="00EB0D1D"/>
    <w:rsid w:val="00EB15DF"/>
    <w:rsid w:val="00EB1E19"/>
    <w:rsid w:val="00EB30A7"/>
    <w:rsid w:val="00EB3533"/>
    <w:rsid w:val="00EB3B67"/>
    <w:rsid w:val="00EB4B9E"/>
    <w:rsid w:val="00EB5AAF"/>
    <w:rsid w:val="00EB5CF9"/>
    <w:rsid w:val="00EB62FB"/>
    <w:rsid w:val="00EB7093"/>
    <w:rsid w:val="00EB765E"/>
    <w:rsid w:val="00EB7CF0"/>
    <w:rsid w:val="00EC0106"/>
    <w:rsid w:val="00EC0719"/>
    <w:rsid w:val="00EC077C"/>
    <w:rsid w:val="00EC094D"/>
    <w:rsid w:val="00EC1F5D"/>
    <w:rsid w:val="00EC25A2"/>
    <w:rsid w:val="00EC2A94"/>
    <w:rsid w:val="00EC4128"/>
    <w:rsid w:val="00EC4206"/>
    <w:rsid w:val="00EC5A12"/>
    <w:rsid w:val="00EC5AC1"/>
    <w:rsid w:val="00EC67AB"/>
    <w:rsid w:val="00ED027A"/>
    <w:rsid w:val="00ED0D3D"/>
    <w:rsid w:val="00ED27F4"/>
    <w:rsid w:val="00ED3210"/>
    <w:rsid w:val="00ED3EEA"/>
    <w:rsid w:val="00ED4582"/>
    <w:rsid w:val="00ED4D2D"/>
    <w:rsid w:val="00ED5155"/>
    <w:rsid w:val="00ED565B"/>
    <w:rsid w:val="00ED5916"/>
    <w:rsid w:val="00ED7EF1"/>
    <w:rsid w:val="00EE0AD8"/>
    <w:rsid w:val="00EE1075"/>
    <w:rsid w:val="00EE111F"/>
    <w:rsid w:val="00EE1F82"/>
    <w:rsid w:val="00EE2191"/>
    <w:rsid w:val="00EE3101"/>
    <w:rsid w:val="00EE317B"/>
    <w:rsid w:val="00EE3760"/>
    <w:rsid w:val="00EE3F9A"/>
    <w:rsid w:val="00EE48AD"/>
    <w:rsid w:val="00EE48C0"/>
    <w:rsid w:val="00EE5534"/>
    <w:rsid w:val="00EE5848"/>
    <w:rsid w:val="00EE5935"/>
    <w:rsid w:val="00EE5E39"/>
    <w:rsid w:val="00EE65FC"/>
    <w:rsid w:val="00EE6713"/>
    <w:rsid w:val="00EE742E"/>
    <w:rsid w:val="00EE7476"/>
    <w:rsid w:val="00EF0122"/>
    <w:rsid w:val="00EF2BC5"/>
    <w:rsid w:val="00EF30EA"/>
    <w:rsid w:val="00EF693D"/>
    <w:rsid w:val="00EF6BB6"/>
    <w:rsid w:val="00EF75FD"/>
    <w:rsid w:val="00EF77F9"/>
    <w:rsid w:val="00EF7871"/>
    <w:rsid w:val="00F004C6"/>
    <w:rsid w:val="00F00777"/>
    <w:rsid w:val="00F01270"/>
    <w:rsid w:val="00F01DB9"/>
    <w:rsid w:val="00F03A95"/>
    <w:rsid w:val="00F03C65"/>
    <w:rsid w:val="00F04117"/>
    <w:rsid w:val="00F04650"/>
    <w:rsid w:val="00F04816"/>
    <w:rsid w:val="00F06811"/>
    <w:rsid w:val="00F06B11"/>
    <w:rsid w:val="00F070D5"/>
    <w:rsid w:val="00F10CA1"/>
    <w:rsid w:val="00F1181F"/>
    <w:rsid w:val="00F11B05"/>
    <w:rsid w:val="00F11C8B"/>
    <w:rsid w:val="00F13AD3"/>
    <w:rsid w:val="00F142E9"/>
    <w:rsid w:val="00F144B3"/>
    <w:rsid w:val="00F14C05"/>
    <w:rsid w:val="00F14CAB"/>
    <w:rsid w:val="00F2000B"/>
    <w:rsid w:val="00F200F9"/>
    <w:rsid w:val="00F21035"/>
    <w:rsid w:val="00F21427"/>
    <w:rsid w:val="00F219FF"/>
    <w:rsid w:val="00F2345A"/>
    <w:rsid w:val="00F23769"/>
    <w:rsid w:val="00F24320"/>
    <w:rsid w:val="00F248C3"/>
    <w:rsid w:val="00F25D51"/>
    <w:rsid w:val="00F25E1B"/>
    <w:rsid w:val="00F26B1F"/>
    <w:rsid w:val="00F27BA2"/>
    <w:rsid w:val="00F3023E"/>
    <w:rsid w:val="00F30A0E"/>
    <w:rsid w:val="00F311DC"/>
    <w:rsid w:val="00F32935"/>
    <w:rsid w:val="00F34418"/>
    <w:rsid w:val="00F34DDB"/>
    <w:rsid w:val="00F35917"/>
    <w:rsid w:val="00F361D4"/>
    <w:rsid w:val="00F36BB4"/>
    <w:rsid w:val="00F36D2F"/>
    <w:rsid w:val="00F41281"/>
    <w:rsid w:val="00F41426"/>
    <w:rsid w:val="00F41ED5"/>
    <w:rsid w:val="00F42FAF"/>
    <w:rsid w:val="00F44736"/>
    <w:rsid w:val="00F449C1"/>
    <w:rsid w:val="00F44A24"/>
    <w:rsid w:val="00F4587F"/>
    <w:rsid w:val="00F46C45"/>
    <w:rsid w:val="00F47241"/>
    <w:rsid w:val="00F475A7"/>
    <w:rsid w:val="00F50215"/>
    <w:rsid w:val="00F51396"/>
    <w:rsid w:val="00F5210E"/>
    <w:rsid w:val="00F5356B"/>
    <w:rsid w:val="00F536F8"/>
    <w:rsid w:val="00F53D97"/>
    <w:rsid w:val="00F549B6"/>
    <w:rsid w:val="00F54AD0"/>
    <w:rsid w:val="00F54B52"/>
    <w:rsid w:val="00F57FF7"/>
    <w:rsid w:val="00F60620"/>
    <w:rsid w:val="00F6075B"/>
    <w:rsid w:val="00F61996"/>
    <w:rsid w:val="00F62013"/>
    <w:rsid w:val="00F63186"/>
    <w:rsid w:val="00F6404D"/>
    <w:rsid w:val="00F64C1D"/>
    <w:rsid w:val="00F64ED3"/>
    <w:rsid w:val="00F64F9F"/>
    <w:rsid w:val="00F65F01"/>
    <w:rsid w:val="00F663B9"/>
    <w:rsid w:val="00F669BB"/>
    <w:rsid w:val="00F66AE0"/>
    <w:rsid w:val="00F66D97"/>
    <w:rsid w:val="00F707D6"/>
    <w:rsid w:val="00F711C6"/>
    <w:rsid w:val="00F71E8F"/>
    <w:rsid w:val="00F721CB"/>
    <w:rsid w:val="00F725B0"/>
    <w:rsid w:val="00F7419F"/>
    <w:rsid w:val="00F75685"/>
    <w:rsid w:val="00F756A9"/>
    <w:rsid w:val="00F76B10"/>
    <w:rsid w:val="00F76D54"/>
    <w:rsid w:val="00F7721E"/>
    <w:rsid w:val="00F80982"/>
    <w:rsid w:val="00F81960"/>
    <w:rsid w:val="00F81EEA"/>
    <w:rsid w:val="00F82354"/>
    <w:rsid w:val="00F82D73"/>
    <w:rsid w:val="00F82FC9"/>
    <w:rsid w:val="00F8344C"/>
    <w:rsid w:val="00F8498B"/>
    <w:rsid w:val="00F850AD"/>
    <w:rsid w:val="00F853C7"/>
    <w:rsid w:val="00F87569"/>
    <w:rsid w:val="00F87C8D"/>
    <w:rsid w:val="00F91692"/>
    <w:rsid w:val="00F923FC"/>
    <w:rsid w:val="00F929C1"/>
    <w:rsid w:val="00F933EB"/>
    <w:rsid w:val="00F936B3"/>
    <w:rsid w:val="00F938D3"/>
    <w:rsid w:val="00F93915"/>
    <w:rsid w:val="00F95DBD"/>
    <w:rsid w:val="00F96A96"/>
    <w:rsid w:val="00F9709E"/>
    <w:rsid w:val="00F97677"/>
    <w:rsid w:val="00F97BC4"/>
    <w:rsid w:val="00FA0516"/>
    <w:rsid w:val="00FA0D3C"/>
    <w:rsid w:val="00FA1B55"/>
    <w:rsid w:val="00FA20DC"/>
    <w:rsid w:val="00FA2A72"/>
    <w:rsid w:val="00FA4617"/>
    <w:rsid w:val="00FA46CC"/>
    <w:rsid w:val="00FA4825"/>
    <w:rsid w:val="00FA4AB9"/>
    <w:rsid w:val="00FA5AB5"/>
    <w:rsid w:val="00FA73CC"/>
    <w:rsid w:val="00FB0077"/>
    <w:rsid w:val="00FB067B"/>
    <w:rsid w:val="00FB13C7"/>
    <w:rsid w:val="00FB1616"/>
    <w:rsid w:val="00FB1ABA"/>
    <w:rsid w:val="00FB1D3B"/>
    <w:rsid w:val="00FB1E5F"/>
    <w:rsid w:val="00FB2C43"/>
    <w:rsid w:val="00FB44D8"/>
    <w:rsid w:val="00FB453D"/>
    <w:rsid w:val="00FB4B88"/>
    <w:rsid w:val="00FB51A0"/>
    <w:rsid w:val="00FB6AB5"/>
    <w:rsid w:val="00FB7B63"/>
    <w:rsid w:val="00FB7E57"/>
    <w:rsid w:val="00FB7E76"/>
    <w:rsid w:val="00FC11BA"/>
    <w:rsid w:val="00FC1B16"/>
    <w:rsid w:val="00FC1BBB"/>
    <w:rsid w:val="00FC22FD"/>
    <w:rsid w:val="00FC2602"/>
    <w:rsid w:val="00FC2619"/>
    <w:rsid w:val="00FC27DF"/>
    <w:rsid w:val="00FC295B"/>
    <w:rsid w:val="00FC2988"/>
    <w:rsid w:val="00FC2A0A"/>
    <w:rsid w:val="00FC2C6E"/>
    <w:rsid w:val="00FC2D9D"/>
    <w:rsid w:val="00FC35E3"/>
    <w:rsid w:val="00FC361E"/>
    <w:rsid w:val="00FC41C5"/>
    <w:rsid w:val="00FC50A2"/>
    <w:rsid w:val="00FC5EC2"/>
    <w:rsid w:val="00FC6EE4"/>
    <w:rsid w:val="00FD0FC9"/>
    <w:rsid w:val="00FD17E3"/>
    <w:rsid w:val="00FD19CD"/>
    <w:rsid w:val="00FD3488"/>
    <w:rsid w:val="00FD34E2"/>
    <w:rsid w:val="00FD3507"/>
    <w:rsid w:val="00FD3B56"/>
    <w:rsid w:val="00FD41C6"/>
    <w:rsid w:val="00FD44A5"/>
    <w:rsid w:val="00FD4F6F"/>
    <w:rsid w:val="00FD4F8A"/>
    <w:rsid w:val="00FD5196"/>
    <w:rsid w:val="00FD60CE"/>
    <w:rsid w:val="00FD63D8"/>
    <w:rsid w:val="00FD6F2A"/>
    <w:rsid w:val="00FD74D8"/>
    <w:rsid w:val="00FE1223"/>
    <w:rsid w:val="00FE1506"/>
    <w:rsid w:val="00FE1959"/>
    <w:rsid w:val="00FE21CA"/>
    <w:rsid w:val="00FE355B"/>
    <w:rsid w:val="00FE38DE"/>
    <w:rsid w:val="00FE3BB5"/>
    <w:rsid w:val="00FE4A3F"/>
    <w:rsid w:val="00FE5473"/>
    <w:rsid w:val="00FE62C1"/>
    <w:rsid w:val="00FE7BDD"/>
    <w:rsid w:val="00FF07ED"/>
    <w:rsid w:val="00FF0D8D"/>
    <w:rsid w:val="00FF0EFA"/>
    <w:rsid w:val="00FF1066"/>
    <w:rsid w:val="00FF115B"/>
    <w:rsid w:val="00FF20AB"/>
    <w:rsid w:val="00FF403F"/>
    <w:rsid w:val="00FF4B19"/>
    <w:rsid w:val="00FF509B"/>
    <w:rsid w:val="00FF5F76"/>
    <w:rsid w:val="00FF64A2"/>
    <w:rsid w:val="00FF653A"/>
    <w:rsid w:val="00FF7C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0353"/>
  <w15:docId w15:val="{2344F557-A210-444F-948C-E6D84C3D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D4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D4B"/>
    <w:rPr>
      <w:rFonts w:ascii="Tahoma" w:hAnsi="Tahoma" w:cs="Tahoma"/>
      <w:sz w:val="16"/>
      <w:szCs w:val="16"/>
    </w:rPr>
  </w:style>
  <w:style w:type="paragraph" w:styleId="FootnoteText">
    <w:name w:val="footnote text"/>
    <w:basedOn w:val="Normal"/>
    <w:link w:val="FootnoteTextChar"/>
    <w:uiPriority w:val="99"/>
    <w:semiHidden/>
    <w:unhideWhenUsed/>
    <w:rsid w:val="00D753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3EB"/>
    <w:rPr>
      <w:sz w:val="20"/>
      <w:szCs w:val="20"/>
    </w:rPr>
  </w:style>
  <w:style w:type="character" w:styleId="FootnoteReference">
    <w:name w:val="footnote reference"/>
    <w:basedOn w:val="DefaultParagraphFont"/>
    <w:uiPriority w:val="99"/>
    <w:semiHidden/>
    <w:unhideWhenUsed/>
    <w:rsid w:val="00D753EB"/>
    <w:rPr>
      <w:vertAlign w:val="superscript"/>
    </w:rPr>
  </w:style>
  <w:style w:type="paragraph" w:styleId="Header">
    <w:name w:val="header"/>
    <w:basedOn w:val="Normal"/>
    <w:link w:val="HeaderChar"/>
    <w:uiPriority w:val="99"/>
    <w:unhideWhenUsed/>
    <w:rsid w:val="00020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775"/>
  </w:style>
  <w:style w:type="paragraph" w:styleId="Footer">
    <w:name w:val="footer"/>
    <w:basedOn w:val="Normal"/>
    <w:link w:val="FooterChar"/>
    <w:uiPriority w:val="99"/>
    <w:unhideWhenUsed/>
    <w:rsid w:val="00020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775"/>
  </w:style>
  <w:style w:type="character" w:styleId="CommentReference">
    <w:name w:val="annotation reference"/>
    <w:basedOn w:val="DefaultParagraphFont"/>
    <w:uiPriority w:val="99"/>
    <w:semiHidden/>
    <w:unhideWhenUsed/>
    <w:rsid w:val="00DA0D24"/>
    <w:rPr>
      <w:sz w:val="16"/>
      <w:szCs w:val="16"/>
    </w:rPr>
  </w:style>
  <w:style w:type="paragraph" w:styleId="CommentText">
    <w:name w:val="annotation text"/>
    <w:basedOn w:val="Normal"/>
    <w:link w:val="CommentTextChar"/>
    <w:uiPriority w:val="99"/>
    <w:semiHidden/>
    <w:unhideWhenUsed/>
    <w:rsid w:val="00DA0D24"/>
    <w:pPr>
      <w:spacing w:line="240" w:lineRule="auto"/>
    </w:pPr>
    <w:rPr>
      <w:sz w:val="20"/>
      <w:szCs w:val="20"/>
    </w:rPr>
  </w:style>
  <w:style w:type="character" w:customStyle="1" w:styleId="CommentTextChar">
    <w:name w:val="Comment Text Char"/>
    <w:basedOn w:val="DefaultParagraphFont"/>
    <w:link w:val="CommentText"/>
    <w:uiPriority w:val="99"/>
    <w:semiHidden/>
    <w:rsid w:val="00DA0D24"/>
    <w:rPr>
      <w:sz w:val="20"/>
      <w:szCs w:val="20"/>
    </w:rPr>
  </w:style>
  <w:style w:type="paragraph" w:styleId="ListParagraph">
    <w:name w:val="List Paragraph"/>
    <w:basedOn w:val="Normal"/>
    <w:uiPriority w:val="34"/>
    <w:qFormat/>
    <w:rsid w:val="002672A5"/>
    <w:pPr>
      <w:ind w:left="720"/>
      <w:contextualSpacing/>
    </w:pPr>
  </w:style>
  <w:style w:type="paragraph" w:styleId="CommentSubject">
    <w:name w:val="annotation subject"/>
    <w:basedOn w:val="CommentText"/>
    <w:next w:val="CommentText"/>
    <w:link w:val="CommentSubjectChar"/>
    <w:uiPriority w:val="99"/>
    <w:semiHidden/>
    <w:unhideWhenUsed/>
    <w:rsid w:val="00085CF7"/>
    <w:rPr>
      <w:b/>
      <w:bCs/>
    </w:rPr>
  </w:style>
  <w:style w:type="character" w:customStyle="1" w:styleId="CommentSubjectChar">
    <w:name w:val="Comment Subject Char"/>
    <w:basedOn w:val="CommentTextChar"/>
    <w:link w:val="CommentSubject"/>
    <w:uiPriority w:val="99"/>
    <w:semiHidden/>
    <w:rsid w:val="00085CF7"/>
    <w:rPr>
      <w:b/>
      <w:bCs/>
      <w:sz w:val="20"/>
      <w:szCs w:val="20"/>
    </w:rPr>
  </w:style>
  <w:style w:type="character" w:styleId="Emphasis">
    <w:name w:val="Emphasis"/>
    <w:basedOn w:val="DefaultParagraphFont"/>
    <w:uiPriority w:val="20"/>
    <w:qFormat/>
    <w:rsid w:val="00347AC1"/>
    <w:rPr>
      <w:i/>
      <w:iCs/>
    </w:rPr>
  </w:style>
  <w:style w:type="paragraph" w:customStyle="1" w:styleId="Default">
    <w:name w:val="Default"/>
    <w:rsid w:val="00F27BA2"/>
    <w:pPr>
      <w:autoSpaceDE w:val="0"/>
      <w:autoSpaceDN w:val="0"/>
      <w:adjustRightInd w:val="0"/>
      <w:spacing w:after="0" w:line="240" w:lineRule="auto"/>
    </w:pPr>
    <w:rPr>
      <w:rFonts w:ascii="Times New Roman" w:hAnsi="Times New Roman" w:cs="Times New Roman"/>
      <w:color w:val="000000"/>
      <w:sz w:val="24"/>
      <w:szCs w:val="24"/>
      <w:lang w:val="fr-FR"/>
    </w:rPr>
  </w:style>
  <w:style w:type="table" w:styleId="PlainTable2">
    <w:name w:val="Plain Table 2"/>
    <w:basedOn w:val="TableNormal"/>
    <w:uiPriority w:val="42"/>
    <w:rsid w:val="00B236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EE2191"/>
    <w:rPr>
      <w:color w:val="0000FF"/>
      <w:u w:val="single"/>
    </w:rPr>
  </w:style>
  <w:style w:type="character" w:customStyle="1" w:styleId="personname">
    <w:name w:val="person_name"/>
    <w:basedOn w:val="DefaultParagraphFont"/>
    <w:rsid w:val="00CE7CFC"/>
  </w:style>
  <w:style w:type="paragraph" w:styleId="NormalWeb">
    <w:name w:val="Normal (Web)"/>
    <w:basedOn w:val="Normal"/>
    <w:uiPriority w:val="99"/>
    <w:unhideWhenUsed/>
    <w:rsid w:val="002A49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nresolvedMention1">
    <w:name w:val="Unresolved Mention1"/>
    <w:basedOn w:val="DefaultParagraphFont"/>
    <w:uiPriority w:val="99"/>
    <w:semiHidden/>
    <w:unhideWhenUsed/>
    <w:rsid w:val="00705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31">
      <w:bodyDiv w:val="1"/>
      <w:marLeft w:val="0"/>
      <w:marRight w:val="0"/>
      <w:marTop w:val="0"/>
      <w:marBottom w:val="0"/>
      <w:divBdr>
        <w:top w:val="none" w:sz="0" w:space="0" w:color="auto"/>
        <w:left w:val="none" w:sz="0" w:space="0" w:color="auto"/>
        <w:bottom w:val="none" w:sz="0" w:space="0" w:color="auto"/>
        <w:right w:val="none" w:sz="0" w:space="0" w:color="auto"/>
      </w:divBdr>
    </w:div>
    <w:div w:id="130829972">
      <w:bodyDiv w:val="1"/>
      <w:marLeft w:val="0"/>
      <w:marRight w:val="0"/>
      <w:marTop w:val="0"/>
      <w:marBottom w:val="0"/>
      <w:divBdr>
        <w:top w:val="none" w:sz="0" w:space="0" w:color="auto"/>
        <w:left w:val="none" w:sz="0" w:space="0" w:color="auto"/>
        <w:bottom w:val="none" w:sz="0" w:space="0" w:color="auto"/>
        <w:right w:val="none" w:sz="0" w:space="0" w:color="auto"/>
      </w:divBdr>
    </w:div>
    <w:div w:id="164901823">
      <w:bodyDiv w:val="1"/>
      <w:marLeft w:val="0"/>
      <w:marRight w:val="0"/>
      <w:marTop w:val="0"/>
      <w:marBottom w:val="0"/>
      <w:divBdr>
        <w:top w:val="none" w:sz="0" w:space="0" w:color="auto"/>
        <w:left w:val="none" w:sz="0" w:space="0" w:color="auto"/>
        <w:bottom w:val="none" w:sz="0" w:space="0" w:color="auto"/>
        <w:right w:val="none" w:sz="0" w:space="0" w:color="auto"/>
      </w:divBdr>
    </w:div>
    <w:div w:id="208225151">
      <w:bodyDiv w:val="1"/>
      <w:marLeft w:val="0"/>
      <w:marRight w:val="0"/>
      <w:marTop w:val="0"/>
      <w:marBottom w:val="0"/>
      <w:divBdr>
        <w:top w:val="none" w:sz="0" w:space="0" w:color="auto"/>
        <w:left w:val="none" w:sz="0" w:space="0" w:color="auto"/>
        <w:bottom w:val="none" w:sz="0" w:space="0" w:color="auto"/>
        <w:right w:val="none" w:sz="0" w:space="0" w:color="auto"/>
      </w:divBdr>
      <w:divsChild>
        <w:div w:id="523980520">
          <w:marLeft w:val="0"/>
          <w:marRight w:val="0"/>
          <w:marTop w:val="0"/>
          <w:marBottom w:val="0"/>
          <w:divBdr>
            <w:top w:val="none" w:sz="0" w:space="0" w:color="auto"/>
            <w:left w:val="none" w:sz="0" w:space="0" w:color="auto"/>
            <w:bottom w:val="none" w:sz="0" w:space="0" w:color="auto"/>
            <w:right w:val="none" w:sz="0" w:space="0" w:color="auto"/>
          </w:divBdr>
        </w:div>
        <w:div w:id="1044982720">
          <w:marLeft w:val="0"/>
          <w:marRight w:val="0"/>
          <w:marTop w:val="0"/>
          <w:marBottom w:val="0"/>
          <w:divBdr>
            <w:top w:val="none" w:sz="0" w:space="0" w:color="auto"/>
            <w:left w:val="none" w:sz="0" w:space="0" w:color="auto"/>
            <w:bottom w:val="none" w:sz="0" w:space="0" w:color="auto"/>
            <w:right w:val="none" w:sz="0" w:space="0" w:color="auto"/>
          </w:divBdr>
        </w:div>
      </w:divsChild>
    </w:div>
    <w:div w:id="227805929">
      <w:bodyDiv w:val="1"/>
      <w:marLeft w:val="0"/>
      <w:marRight w:val="0"/>
      <w:marTop w:val="0"/>
      <w:marBottom w:val="0"/>
      <w:divBdr>
        <w:top w:val="none" w:sz="0" w:space="0" w:color="auto"/>
        <w:left w:val="none" w:sz="0" w:space="0" w:color="auto"/>
        <w:bottom w:val="none" w:sz="0" w:space="0" w:color="auto"/>
        <w:right w:val="none" w:sz="0" w:space="0" w:color="auto"/>
      </w:divBdr>
    </w:div>
    <w:div w:id="296645201">
      <w:bodyDiv w:val="1"/>
      <w:marLeft w:val="0"/>
      <w:marRight w:val="0"/>
      <w:marTop w:val="0"/>
      <w:marBottom w:val="0"/>
      <w:divBdr>
        <w:top w:val="none" w:sz="0" w:space="0" w:color="auto"/>
        <w:left w:val="none" w:sz="0" w:space="0" w:color="auto"/>
        <w:bottom w:val="none" w:sz="0" w:space="0" w:color="auto"/>
        <w:right w:val="none" w:sz="0" w:space="0" w:color="auto"/>
      </w:divBdr>
      <w:divsChild>
        <w:div w:id="107286538">
          <w:marLeft w:val="0"/>
          <w:marRight w:val="0"/>
          <w:marTop w:val="0"/>
          <w:marBottom w:val="0"/>
          <w:divBdr>
            <w:top w:val="none" w:sz="0" w:space="0" w:color="auto"/>
            <w:left w:val="none" w:sz="0" w:space="0" w:color="auto"/>
            <w:bottom w:val="none" w:sz="0" w:space="0" w:color="auto"/>
            <w:right w:val="none" w:sz="0" w:space="0" w:color="auto"/>
          </w:divBdr>
          <w:divsChild>
            <w:div w:id="1440176601">
              <w:marLeft w:val="0"/>
              <w:marRight w:val="0"/>
              <w:marTop w:val="0"/>
              <w:marBottom w:val="0"/>
              <w:divBdr>
                <w:top w:val="none" w:sz="0" w:space="0" w:color="auto"/>
                <w:left w:val="none" w:sz="0" w:space="0" w:color="auto"/>
                <w:bottom w:val="none" w:sz="0" w:space="0" w:color="auto"/>
                <w:right w:val="none" w:sz="0" w:space="0" w:color="auto"/>
              </w:divBdr>
              <w:divsChild>
                <w:div w:id="1278220846">
                  <w:marLeft w:val="120"/>
                  <w:marRight w:val="0"/>
                  <w:marTop w:val="0"/>
                  <w:marBottom w:val="0"/>
                  <w:divBdr>
                    <w:top w:val="none" w:sz="0" w:space="0" w:color="auto"/>
                    <w:left w:val="none" w:sz="0" w:space="0" w:color="auto"/>
                    <w:bottom w:val="none" w:sz="0" w:space="0" w:color="auto"/>
                    <w:right w:val="none" w:sz="0" w:space="0" w:color="auto"/>
                  </w:divBdr>
                  <w:divsChild>
                    <w:div w:id="1535577875">
                      <w:marLeft w:val="0"/>
                      <w:marRight w:val="0"/>
                      <w:marTop w:val="0"/>
                      <w:marBottom w:val="0"/>
                      <w:divBdr>
                        <w:top w:val="none" w:sz="0" w:space="0" w:color="auto"/>
                        <w:left w:val="none" w:sz="0" w:space="0" w:color="auto"/>
                        <w:bottom w:val="none" w:sz="0" w:space="0" w:color="auto"/>
                        <w:right w:val="none" w:sz="0" w:space="0" w:color="auto"/>
                      </w:divBdr>
                      <w:divsChild>
                        <w:div w:id="1667593346">
                          <w:marLeft w:val="0"/>
                          <w:marRight w:val="0"/>
                          <w:marTop w:val="0"/>
                          <w:marBottom w:val="0"/>
                          <w:divBdr>
                            <w:top w:val="none" w:sz="0" w:space="0" w:color="auto"/>
                            <w:left w:val="none" w:sz="0" w:space="0" w:color="auto"/>
                            <w:bottom w:val="none" w:sz="0" w:space="0" w:color="auto"/>
                            <w:right w:val="none" w:sz="0" w:space="0" w:color="auto"/>
                          </w:divBdr>
                          <w:divsChild>
                            <w:div w:id="1239169154">
                              <w:marLeft w:val="0"/>
                              <w:marRight w:val="0"/>
                              <w:marTop w:val="0"/>
                              <w:marBottom w:val="0"/>
                              <w:divBdr>
                                <w:top w:val="none" w:sz="0" w:space="0" w:color="auto"/>
                                <w:left w:val="none" w:sz="0" w:space="0" w:color="auto"/>
                                <w:bottom w:val="none" w:sz="0" w:space="0" w:color="auto"/>
                                <w:right w:val="none" w:sz="0" w:space="0" w:color="auto"/>
                              </w:divBdr>
                              <w:divsChild>
                                <w:div w:id="11532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830268">
          <w:marLeft w:val="0"/>
          <w:marRight w:val="0"/>
          <w:marTop w:val="0"/>
          <w:marBottom w:val="0"/>
          <w:divBdr>
            <w:top w:val="none" w:sz="0" w:space="0" w:color="auto"/>
            <w:left w:val="none" w:sz="0" w:space="0" w:color="auto"/>
            <w:bottom w:val="none" w:sz="0" w:space="0" w:color="auto"/>
            <w:right w:val="none" w:sz="0" w:space="0" w:color="auto"/>
          </w:divBdr>
          <w:divsChild>
            <w:div w:id="1637443881">
              <w:marLeft w:val="0"/>
              <w:marRight w:val="0"/>
              <w:marTop w:val="0"/>
              <w:marBottom w:val="0"/>
              <w:divBdr>
                <w:top w:val="none" w:sz="0" w:space="0" w:color="auto"/>
                <w:left w:val="none" w:sz="0" w:space="0" w:color="auto"/>
                <w:bottom w:val="none" w:sz="0" w:space="0" w:color="auto"/>
                <w:right w:val="none" w:sz="0" w:space="0" w:color="auto"/>
              </w:divBdr>
              <w:divsChild>
                <w:div w:id="81415783">
                  <w:marLeft w:val="120"/>
                  <w:marRight w:val="0"/>
                  <w:marTop w:val="0"/>
                  <w:marBottom w:val="0"/>
                  <w:divBdr>
                    <w:top w:val="none" w:sz="0" w:space="0" w:color="auto"/>
                    <w:left w:val="none" w:sz="0" w:space="0" w:color="auto"/>
                    <w:bottom w:val="none" w:sz="0" w:space="0" w:color="auto"/>
                    <w:right w:val="none" w:sz="0" w:space="0" w:color="auto"/>
                  </w:divBdr>
                  <w:divsChild>
                    <w:div w:id="1329361805">
                      <w:marLeft w:val="0"/>
                      <w:marRight w:val="0"/>
                      <w:marTop w:val="0"/>
                      <w:marBottom w:val="0"/>
                      <w:divBdr>
                        <w:top w:val="none" w:sz="0" w:space="0" w:color="auto"/>
                        <w:left w:val="none" w:sz="0" w:space="0" w:color="auto"/>
                        <w:bottom w:val="none" w:sz="0" w:space="0" w:color="auto"/>
                        <w:right w:val="none" w:sz="0" w:space="0" w:color="auto"/>
                      </w:divBdr>
                      <w:divsChild>
                        <w:div w:id="700478938">
                          <w:marLeft w:val="0"/>
                          <w:marRight w:val="0"/>
                          <w:marTop w:val="0"/>
                          <w:marBottom w:val="0"/>
                          <w:divBdr>
                            <w:top w:val="none" w:sz="0" w:space="0" w:color="auto"/>
                            <w:left w:val="none" w:sz="0" w:space="0" w:color="auto"/>
                            <w:bottom w:val="none" w:sz="0" w:space="0" w:color="auto"/>
                            <w:right w:val="none" w:sz="0" w:space="0" w:color="auto"/>
                          </w:divBdr>
                          <w:divsChild>
                            <w:div w:id="338969759">
                              <w:marLeft w:val="0"/>
                              <w:marRight w:val="0"/>
                              <w:marTop w:val="0"/>
                              <w:marBottom w:val="0"/>
                              <w:divBdr>
                                <w:top w:val="none" w:sz="0" w:space="0" w:color="auto"/>
                                <w:left w:val="none" w:sz="0" w:space="0" w:color="auto"/>
                                <w:bottom w:val="none" w:sz="0" w:space="0" w:color="auto"/>
                                <w:right w:val="none" w:sz="0" w:space="0" w:color="auto"/>
                              </w:divBdr>
                              <w:divsChild>
                                <w:div w:id="12865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89454">
          <w:marLeft w:val="0"/>
          <w:marRight w:val="0"/>
          <w:marTop w:val="0"/>
          <w:marBottom w:val="0"/>
          <w:divBdr>
            <w:top w:val="none" w:sz="0" w:space="0" w:color="auto"/>
            <w:left w:val="none" w:sz="0" w:space="0" w:color="auto"/>
            <w:bottom w:val="none" w:sz="0" w:space="0" w:color="auto"/>
            <w:right w:val="none" w:sz="0" w:space="0" w:color="auto"/>
          </w:divBdr>
          <w:divsChild>
            <w:div w:id="525676207">
              <w:marLeft w:val="0"/>
              <w:marRight w:val="0"/>
              <w:marTop w:val="0"/>
              <w:marBottom w:val="0"/>
              <w:divBdr>
                <w:top w:val="none" w:sz="0" w:space="0" w:color="auto"/>
                <w:left w:val="none" w:sz="0" w:space="0" w:color="auto"/>
                <w:bottom w:val="none" w:sz="0" w:space="0" w:color="auto"/>
                <w:right w:val="none" w:sz="0" w:space="0" w:color="auto"/>
              </w:divBdr>
              <w:divsChild>
                <w:div w:id="897743678">
                  <w:marLeft w:val="120"/>
                  <w:marRight w:val="0"/>
                  <w:marTop w:val="0"/>
                  <w:marBottom w:val="0"/>
                  <w:divBdr>
                    <w:top w:val="none" w:sz="0" w:space="0" w:color="auto"/>
                    <w:left w:val="none" w:sz="0" w:space="0" w:color="auto"/>
                    <w:bottom w:val="none" w:sz="0" w:space="0" w:color="auto"/>
                    <w:right w:val="none" w:sz="0" w:space="0" w:color="auto"/>
                  </w:divBdr>
                  <w:divsChild>
                    <w:div w:id="2079201927">
                      <w:marLeft w:val="0"/>
                      <w:marRight w:val="0"/>
                      <w:marTop w:val="0"/>
                      <w:marBottom w:val="0"/>
                      <w:divBdr>
                        <w:top w:val="none" w:sz="0" w:space="0" w:color="auto"/>
                        <w:left w:val="none" w:sz="0" w:space="0" w:color="auto"/>
                        <w:bottom w:val="none" w:sz="0" w:space="0" w:color="auto"/>
                        <w:right w:val="none" w:sz="0" w:space="0" w:color="auto"/>
                      </w:divBdr>
                      <w:divsChild>
                        <w:div w:id="577325151">
                          <w:marLeft w:val="0"/>
                          <w:marRight w:val="0"/>
                          <w:marTop w:val="0"/>
                          <w:marBottom w:val="0"/>
                          <w:divBdr>
                            <w:top w:val="none" w:sz="0" w:space="0" w:color="auto"/>
                            <w:left w:val="none" w:sz="0" w:space="0" w:color="auto"/>
                            <w:bottom w:val="none" w:sz="0" w:space="0" w:color="auto"/>
                            <w:right w:val="none" w:sz="0" w:space="0" w:color="auto"/>
                          </w:divBdr>
                          <w:divsChild>
                            <w:div w:id="1506213995">
                              <w:marLeft w:val="0"/>
                              <w:marRight w:val="0"/>
                              <w:marTop w:val="0"/>
                              <w:marBottom w:val="0"/>
                              <w:divBdr>
                                <w:top w:val="none" w:sz="0" w:space="0" w:color="auto"/>
                                <w:left w:val="none" w:sz="0" w:space="0" w:color="auto"/>
                                <w:bottom w:val="none" w:sz="0" w:space="0" w:color="auto"/>
                                <w:right w:val="none" w:sz="0" w:space="0" w:color="auto"/>
                              </w:divBdr>
                              <w:divsChild>
                                <w:div w:id="20048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18899">
          <w:marLeft w:val="0"/>
          <w:marRight w:val="0"/>
          <w:marTop w:val="0"/>
          <w:marBottom w:val="0"/>
          <w:divBdr>
            <w:top w:val="none" w:sz="0" w:space="0" w:color="auto"/>
            <w:left w:val="none" w:sz="0" w:space="0" w:color="auto"/>
            <w:bottom w:val="none" w:sz="0" w:space="0" w:color="auto"/>
            <w:right w:val="none" w:sz="0" w:space="0" w:color="auto"/>
          </w:divBdr>
          <w:divsChild>
            <w:div w:id="1798915100">
              <w:marLeft w:val="0"/>
              <w:marRight w:val="0"/>
              <w:marTop w:val="0"/>
              <w:marBottom w:val="0"/>
              <w:divBdr>
                <w:top w:val="none" w:sz="0" w:space="0" w:color="auto"/>
                <w:left w:val="none" w:sz="0" w:space="0" w:color="auto"/>
                <w:bottom w:val="none" w:sz="0" w:space="0" w:color="auto"/>
                <w:right w:val="none" w:sz="0" w:space="0" w:color="auto"/>
              </w:divBdr>
              <w:divsChild>
                <w:div w:id="99841852">
                  <w:marLeft w:val="120"/>
                  <w:marRight w:val="0"/>
                  <w:marTop w:val="0"/>
                  <w:marBottom w:val="0"/>
                  <w:divBdr>
                    <w:top w:val="none" w:sz="0" w:space="0" w:color="auto"/>
                    <w:left w:val="none" w:sz="0" w:space="0" w:color="auto"/>
                    <w:bottom w:val="none" w:sz="0" w:space="0" w:color="auto"/>
                    <w:right w:val="none" w:sz="0" w:space="0" w:color="auto"/>
                  </w:divBdr>
                  <w:divsChild>
                    <w:div w:id="783499562">
                      <w:marLeft w:val="0"/>
                      <w:marRight w:val="0"/>
                      <w:marTop w:val="0"/>
                      <w:marBottom w:val="0"/>
                      <w:divBdr>
                        <w:top w:val="none" w:sz="0" w:space="0" w:color="auto"/>
                        <w:left w:val="none" w:sz="0" w:space="0" w:color="auto"/>
                        <w:bottom w:val="none" w:sz="0" w:space="0" w:color="auto"/>
                        <w:right w:val="none" w:sz="0" w:space="0" w:color="auto"/>
                      </w:divBdr>
                      <w:divsChild>
                        <w:div w:id="2144997458">
                          <w:marLeft w:val="0"/>
                          <w:marRight w:val="0"/>
                          <w:marTop w:val="0"/>
                          <w:marBottom w:val="0"/>
                          <w:divBdr>
                            <w:top w:val="none" w:sz="0" w:space="0" w:color="auto"/>
                            <w:left w:val="none" w:sz="0" w:space="0" w:color="auto"/>
                            <w:bottom w:val="none" w:sz="0" w:space="0" w:color="auto"/>
                            <w:right w:val="none" w:sz="0" w:space="0" w:color="auto"/>
                          </w:divBdr>
                          <w:divsChild>
                            <w:div w:id="966356042">
                              <w:marLeft w:val="0"/>
                              <w:marRight w:val="0"/>
                              <w:marTop w:val="0"/>
                              <w:marBottom w:val="0"/>
                              <w:divBdr>
                                <w:top w:val="none" w:sz="0" w:space="0" w:color="auto"/>
                                <w:left w:val="none" w:sz="0" w:space="0" w:color="auto"/>
                                <w:bottom w:val="none" w:sz="0" w:space="0" w:color="auto"/>
                                <w:right w:val="none" w:sz="0" w:space="0" w:color="auto"/>
                              </w:divBdr>
                              <w:divsChild>
                                <w:div w:id="8355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4303">
          <w:marLeft w:val="0"/>
          <w:marRight w:val="0"/>
          <w:marTop w:val="0"/>
          <w:marBottom w:val="0"/>
          <w:divBdr>
            <w:top w:val="none" w:sz="0" w:space="0" w:color="auto"/>
            <w:left w:val="none" w:sz="0" w:space="0" w:color="auto"/>
            <w:bottom w:val="none" w:sz="0" w:space="0" w:color="auto"/>
            <w:right w:val="none" w:sz="0" w:space="0" w:color="auto"/>
          </w:divBdr>
          <w:divsChild>
            <w:div w:id="376390278">
              <w:marLeft w:val="0"/>
              <w:marRight w:val="0"/>
              <w:marTop w:val="0"/>
              <w:marBottom w:val="0"/>
              <w:divBdr>
                <w:top w:val="none" w:sz="0" w:space="0" w:color="auto"/>
                <w:left w:val="none" w:sz="0" w:space="0" w:color="auto"/>
                <w:bottom w:val="none" w:sz="0" w:space="0" w:color="auto"/>
                <w:right w:val="none" w:sz="0" w:space="0" w:color="auto"/>
              </w:divBdr>
              <w:divsChild>
                <w:div w:id="1987658597">
                  <w:marLeft w:val="120"/>
                  <w:marRight w:val="0"/>
                  <w:marTop w:val="0"/>
                  <w:marBottom w:val="0"/>
                  <w:divBdr>
                    <w:top w:val="none" w:sz="0" w:space="0" w:color="auto"/>
                    <w:left w:val="none" w:sz="0" w:space="0" w:color="auto"/>
                    <w:bottom w:val="none" w:sz="0" w:space="0" w:color="auto"/>
                    <w:right w:val="none" w:sz="0" w:space="0" w:color="auto"/>
                  </w:divBdr>
                  <w:divsChild>
                    <w:div w:id="1025835828">
                      <w:marLeft w:val="0"/>
                      <w:marRight w:val="0"/>
                      <w:marTop w:val="0"/>
                      <w:marBottom w:val="0"/>
                      <w:divBdr>
                        <w:top w:val="none" w:sz="0" w:space="0" w:color="auto"/>
                        <w:left w:val="none" w:sz="0" w:space="0" w:color="auto"/>
                        <w:bottom w:val="none" w:sz="0" w:space="0" w:color="auto"/>
                        <w:right w:val="none" w:sz="0" w:space="0" w:color="auto"/>
                      </w:divBdr>
                      <w:divsChild>
                        <w:div w:id="877666711">
                          <w:marLeft w:val="0"/>
                          <w:marRight w:val="0"/>
                          <w:marTop w:val="0"/>
                          <w:marBottom w:val="0"/>
                          <w:divBdr>
                            <w:top w:val="none" w:sz="0" w:space="0" w:color="auto"/>
                            <w:left w:val="none" w:sz="0" w:space="0" w:color="auto"/>
                            <w:bottom w:val="none" w:sz="0" w:space="0" w:color="auto"/>
                            <w:right w:val="none" w:sz="0" w:space="0" w:color="auto"/>
                          </w:divBdr>
                          <w:divsChild>
                            <w:div w:id="1970741261">
                              <w:marLeft w:val="0"/>
                              <w:marRight w:val="0"/>
                              <w:marTop w:val="0"/>
                              <w:marBottom w:val="0"/>
                              <w:divBdr>
                                <w:top w:val="none" w:sz="0" w:space="0" w:color="auto"/>
                                <w:left w:val="none" w:sz="0" w:space="0" w:color="auto"/>
                                <w:bottom w:val="none" w:sz="0" w:space="0" w:color="auto"/>
                                <w:right w:val="none" w:sz="0" w:space="0" w:color="auto"/>
                              </w:divBdr>
                              <w:divsChild>
                                <w:div w:id="17072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537">
          <w:marLeft w:val="0"/>
          <w:marRight w:val="0"/>
          <w:marTop w:val="0"/>
          <w:marBottom w:val="0"/>
          <w:divBdr>
            <w:top w:val="none" w:sz="0" w:space="0" w:color="auto"/>
            <w:left w:val="none" w:sz="0" w:space="0" w:color="auto"/>
            <w:bottom w:val="none" w:sz="0" w:space="0" w:color="auto"/>
            <w:right w:val="none" w:sz="0" w:space="0" w:color="auto"/>
          </w:divBdr>
          <w:divsChild>
            <w:div w:id="886573715">
              <w:marLeft w:val="0"/>
              <w:marRight w:val="0"/>
              <w:marTop w:val="0"/>
              <w:marBottom w:val="0"/>
              <w:divBdr>
                <w:top w:val="none" w:sz="0" w:space="0" w:color="auto"/>
                <w:left w:val="none" w:sz="0" w:space="0" w:color="auto"/>
                <w:bottom w:val="none" w:sz="0" w:space="0" w:color="auto"/>
                <w:right w:val="none" w:sz="0" w:space="0" w:color="auto"/>
              </w:divBdr>
              <w:divsChild>
                <w:div w:id="790972456">
                  <w:marLeft w:val="120"/>
                  <w:marRight w:val="0"/>
                  <w:marTop w:val="0"/>
                  <w:marBottom w:val="0"/>
                  <w:divBdr>
                    <w:top w:val="none" w:sz="0" w:space="0" w:color="auto"/>
                    <w:left w:val="none" w:sz="0" w:space="0" w:color="auto"/>
                    <w:bottom w:val="none" w:sz="0" w:space="0" w:color="auto"/>
                    <w:right w:val="none" w:sz="0" w:space="0" w:color="auto"/>
                  </w:divBdr>
                  <w:divsChild>
                    <w:div w:id="936524311">
                      <w:marLeft w:val="0"/>
                      <w:marRight w:val="0"/>
                      <w:marTop w:val="0"/>
                      <w:marBottom w:val="0"/>
                      <w:divBdr>
                        <w:top w:val="none" w:sz="0" w:space="0" w:color="auto"/>
                        <w:left w:val="none" w:sz="0" w:space="0" w:color="auto"/>
                        <w:bottom w:val="none" w:sz="0" w:space="0" w:color="auto"/>
                        <w:right w:val="none" w:sz="0" w:space="0" w:color="auto"/>
                      </w:divBdr>
                      <w:divsChild>
                        <w:div w:id="675965070">
                          <w:marLeft w:val="0"/>
                          <w:marRight w:val="0"/>
                          <w:marTop w:val="0"/>
                          <w:marBottom w:val="0"/>
                          <w:divBdr>
                            <w:top w:val="none" w:sz="0" w:space="0" w:color="auto"/>
                            <w:left w:val="none" w:sz="0" w:space="0" w:color="auto"/>
                            <w:bottom w:val="none" w:sz="0" w:space="0" w:color="auto"/>
                            <w:right w:val="none" w:sz="0" w:space="0" w:color="auto"/>
                          </w:divBdr>
                          <w:divsChild>
                            <w:div w:id="230969551">
                              <w:marLeft w:val="0"/>
                              <w:marRight w:val="0"/>
                              <w:marTop w:val="0"/>
                              <w:marBottom w:val="0"/>
                              <w:divBdr>
                                <w:top w:val="none" w:sz="0" w:space="0" w:color="auto"/>
                                <w:left w:val="none" w:sz="0" w:space="0" w:color="auto"/>
                                <w:bottom w:val="none" w:sz="0" w:space="0" w:color="auto"/>
                                <w:right w:val="none" w:sz="0" w:space="0" w:color="auto"/>
                              </w:divBdr>
                              <w:divsChild>
                                <w:div w:id="15355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547258">
          <w:marLeft w:val="0"/>
          <w:marRight w:val="0"/>
          <w:marTop w:val="0"/>
          <w:marBottom w:val="0"/>
          <w:divBdr>
            <w:top w:val="none" w:sz="0" w:space="0" w:color="auto"/>
            <w:left w:val="none" w:sz="0" w:space="0" w:color="auto"/>
            <w:bottom w:val="none" w:sz="0" w:space="0" w:color="auto"/>
            <w:right w:val="none" w:sz="0" w:space="0" w:color="auto"/>
          </w:divBdr>
          <w:divsChild>
            <w:div w:id="1271740638">
              <w:marLeft w:val="0"/>
              <w:marRight w:val="0"/>
              <w:marTop w:val="0"/>
              <w:marBottom w:val="0"/>
              <w:divBdr>
                <w:top w:val="none" w:sz="0" w:space="0" w:color="auto"/>
                <w:left w:val="none" w:sz="0" w:space="0" w:color="auto"/>
                <w:bottom w:val="none" w:sz="0" w:space="0" w:color="auto"/>
                <w:right w:val="none" w:sz="0" w:space="0" w:color="auto"/>
              </w:divBdr>
              <w:divsChild>
                <w:div w:id="1018240828">
                  <w:marLeft w:val="120"/>
                  <w:marRight w:val="0"/>
                  <w:marTop w:val="0"/>
                  <w:marBottom w:val="0"/>
                  <w:divBdr>
                    <w:top w:val="none" w:sz="0" w:space="0" w:color="auto"/>
                    <w:left w:val="none" w:sz="0" w:space="0" w:color="auto"/>
                    <w:bottom w:val="none" w:sz="0" w:space="0" w:color="auto"/>
                    <w:right w:val="none" w:sz="0" w:space="0" w:color="auto"/>
                  </w:divBdr>
                  <w:divsChild>
                    <w:div w:id="118230419">
                      <w:marLeft w:val="0"/>
                      <w:marRight w:val="0"/>
                      <w:marTop w:val="0"/>
                      <w:marBottom w:val="0"/>
                      <w:divBdr>
                        <w:top w:val="none" w:sz="0" w:space="0" w:color="auto"/>
                        <w:left w:val="none" w:sz="0" w:space="0" w:color="auto"/>
                        <w:bottom w:val="none" w:sz="0" w:space="0" w:color="auto"/>
                        <w:right w:val="none" w:sz="0" w:space="0" w:color="auto"/>
                      </w:divBdr>
                      <w:divsChild>
                        <w:div w:id="1648972773">
                          <w:marLeft w:val="0"/>
                          <w:marRight w:val="0"/>
                          <w:marTop w:val="0"/>
                          <w:marBottom w:val="0"/>
                          <w:divBdr>
                            <w:top w:val="none" w:sz="0" w:space="0" w:color="auto"/>
                            <w:left w:val="none" w:sz="0" w:space="0" w:color="auto"/>
                            <w:bottom w:val="none" w:sz="0" w:space="0" w:color="auto"/>
                            <w:right w:val="none" w:sz="0" w:space="0" w:color="auto"/>
                          </w:divBdr>
                          <w:divsChild>
                            <w:div w:id="2076585853">
                              <w:marLeft w:val="0"/>
                              <w:marRight w:val="0"/>
                              <w:marTop w:val="0"/>
                              <w:marBottom w:val="0"/>
                              <w:divBdr>
                                <w:top w:val="none" w:sz="0" w:space="0" w:color="auto"/>
                                <w:left w:val="none" w:sz="0" w:space="0" w:color="auto"/>
                                <w:bottom w:val="none" w:sz="0" w:space="0" w:color="auto"/>
                                <w:right w:val="none" w:sz="0" w:space="0" w:color="auto"/>
                              </w:divBdr>
                              <w:divsChild>
                                <w:div w:id="8915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612570">
          <w:marLeft w:val="0"/>
          <w:marRight w:val="0"/>
          <w:marTop w:val="0"/>
          <w:marBottom w:val="0"/>
          <w:divBdr>
            <w:top w:val="none" w:sz="0" w:space="0" w:color="auto"/>
            <w:left w:val="none" w:sz="0" w:space="0" w:color="auto"/>
            <w:bottom w:val="none" w:sz="0" w:space="0" w:color="auto"/>
            <w:right w:val="none" w:sz="0" w:space="0" w:color="auto"/>
          </w:divBdr>
          <w:divsChild>
            <w:div w:id="131023991">
              <w:marLeft w:val="0"/>
              <w:marRight w:val="0"/>
              <w:marTop w:val="0"/>
              <w:marBottom w:val="0"/>
              <w:divBdr>
                <w:top w:val="none" w:sz="0" w:space="0" w:color="auto"/>
                <w:left w:val="none" w:sz="0" w:space="0" w:color="auto"/>
                <w:bottom w:val="none" w:sz="0" w:space="0" w:color="auto"/>
                <w:right w:val="none" w:sz="0" w:space="0" w:color="auto"/>
              </w:divBdr>
              <w:divsChild>
                <w:div w:id="2054116008">
                  <w:marLeft w:val="120"/>
                  <w:marRight w:val="0"/>
                  <w:marTop w:val="0"/>
                  <w:marBottom w:val="0"/>
                  <w:divBdr>
                    <w:top w:val="none" w:sz="0" w:space="0" w:color="auto"/>
                    <w:left w:val="none" w:sz="0" w:space="0" w:color="auto"/>
                    <w:bottom w:val="none" w:sz="0" w:space="0" w:color="auto"/>
                    <w:right w:val="none" w:sz="0" w:space="0" w:color="auto"/>
                  </w:divBdr>
                  <w:divsChild>
                    <w:div w:id="1084183421">
                      <w:marLeft w:val="0"/>
                      <w:marRight w:val="0"/>
                      <w:marTop w:val="0"/>
                      <w:marBottom w:val="0"/>
                      <w:divBdr>
                        <w:top w:val="none" w:sz="0" w:space="0" w:color="auto"/>
                        <w:left w:val="none" w:sz="0" w:space="0" w:color="auto"/>
                        <w:bottom w:val="none" w:sz="0" w:space="0" w:color="auto"/>
                        <w:right w:val="none" w:sz="0" w:space="0" w:color="auto"/>
                      </w:divBdr>
                      <w:divsChild>
                        <w:div w:id="1603028431">
                          <w:marLeft w:val="0"/>
                          <w:marRight w:val="0"/>
                          <w:marTop w:val="0"/>
                          <w:marBottom w:val="0"/>
                          <w:divBdr>
                            <w:top w:val="none" w:sz="0" w:space="0" w:color="auto"/>
                            <w:left w:val="none" w:sz="0" w:space="0" w:color="auto"/>
                            <w:bottom w:val="none" w:sz="0" w:space="0" w:color="auto"/>
                            <w:right w:val="none" w:sz="0" w:space="0" w:color="auto"/>
                          </w:divBdr>
                          <w:divsChild>
                            <w:div w:id="909652197">
                              <w:marLeft w:val="0"/>
                              <w:marRight w:val="0"/>
                              <w:marTop w:val="0"/>
                              <w:marBottom w:val="0"/>
                              <w:divBdr>
                                <w:top w:val="none" w:sz="0" w:space="0" w:color="auto"/>
                                <w:left w:val="none" w:sz="0" w:space="0" w:color="auto"/>
                                <w:bottom w:val="none" w:sz="0" w:space="0" w:color="auto"/>
                                <w:right w:val="none" w:sz="0" w:space="0" w:color="auto"/>
                              </w:divBdr>
                              <w:divsChild>
                                <w:div w:id="19199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57588">
          <w:marLeft w:val="0"/>
          <w:marRight w:val="0"/>
          <w:marTop w:val="0"/>
          <w:marBottom w:val="0"/>
          <w:divBdr>
            <w:top w:val="none" w:sz="0" w:space="0" w:color="auto"/>
            <w:left w:val="none" w:sz="0" w:space="0" w:color="auto"/>
            <w:bottom w:val="none" w:sz="0" w:space="0" w:color="auto"/>
            <w:right w:val="none" w:sz="0" w:space="0" w:color="auto"/>
          </w:divBdr>
          <w:divsChild>
            <w:div w:id="1362127173">
              <w:marLeft w:val="0"/>
              <w:marRight w:val="0"/>
              <w:marTop w:val="0"/>
              <w:marBottom w:val="0"/>
              <w:divBdr>
                <w:top w:val="none" w:sz="0" w:space="0" w:color="auto"/>
                <w:left w:val="none" w:sz="0" w:space="0" w:color="auto"/>
                <w:bottom w:val="none" w:sz="0" w:space="0" w:color="auto"/>
                <w:right w:val="none" w:sz="0" w:space="0" w:color="auto"/>
              </w:divBdr>
              <w:divsChild>
                <w:div w:id="663119858">
                  <w:marLeft w:val="120"/>
                  <w:marRight w:val="0"/>
                  <w:marTop w:val="0"/>
                  <w:marBottom w:val="0"/>
                  <w:divBdr>
                    <w:top w:val="none" w:sz="0" w:space="0" w:color="auto"/>
                    <w:left w:val="none" w:sz="0" w:space="0" w:color="auto"/>
                    <w:bottom w:val="none" w:sz="0" w:space="0" w:color="auto"/>
                    <w:right w:val="none" w:sz="0" w:space="0" w:color="auto"/>
                  </w:divBdr>
                  <w:divsChild>
                    <w:div w:id="801995152">
                      <w:marLeft w:val="0"/>
                      <w:marRight w:val="0"/>
                      <w:marTop w:val="0"/>
                      <w:marBottom w:val="0"/>
                      <w:divBdr>
                        <w:top w:val="none" w:sz="0" w:space="0" w:color="auto"/>
                        <w:left w:val="none" w:sz="0" w:space="0" w:color="auto"/>
                        <w:bottom w:val="none" w:sz="0" w:space="0" w:color="auto"/>
                        <w:right w:val="none" w:sz="0" w:space="0" w:color="auto"/>
                      </w:divBdr>
                      <w:divsChild>
                        <w:div w:id="412625764">
                          <w:marLeft w:val="0"/>
                          <w:marRight w:val="0"/>
                          <w:marTop w:val="0"/>
                          <w:marBottom w:val="0"/>
                          <w:divBdr>
                            <w:top w:val="none" w:sz="0" w:space="0" w:color="auto"/>
                            <w:left w:val="none" w:sz="0" w:space="0" w:color="auto"/>
                            <w:bottom w:val="none" w:sz="0" w:space="0" w:color="auto"/>
                            <w:right w:val="none" w:sz="0" w:space="0" w:color="auto"/>
                          </w:divBdr>
                          <w:divsChild>
                            <w:div w:id="2045205267">
                              <w:marLeft w:val="0"/>
                              <w:marRight w:val="0"/>
                              <w:marTop w:val="0"/>
                              <w:marBottom w:val="0"/>
                              <w:divBdr>
                                <w:top w:val="none" w:sz="0" w:space="0" w:color="auto"/>
                                <w:left w:val="none" w:sz="0" w:space="0" w:color="auto"/>
                                <w:bottom w:val="none" w:sz="0" w:space="0" w:color="auto"/>
                                <w:right w:val="none" w:sz="0" w:space="0" w:color="auto"/>
                              </w:divBdr>
                              <w:divsChild>
                                <w:div w:id="1698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585553">
          <w:marLeft w:val="0"/>
          <w:marRight w:val="0"/>
          <w:marTop w:val="0"/>
          <w:marBottom w:val="0"/>
          <w:divBdr>
            <w:top w:val="none" w:sz="0" w:space="0" w:color="auto"/>
            <w:left w:val="none" w:sz="0" w:space="0" w:color="auto"/>
            <w:bottom w:val="none" w:sz="0" w:space="0" w:color="auto"/>
            <w:right w:val="none" w:sz="0" w:space="0" w:color="auto"/>
          </w:divBdr>
          <w:divsChild>
            <w:div w:id="1658610212">
              <w:marLeft w:val="0"/>
              <w:marRight w:val="0"/>
              <w:marTop w:val="0"/>
              <w:marBottom w:val="0"/>
              <w:divBdr>
                <w:top w:val="none" w:sz="0" w:space="0" w:color="auto"/>
                <w:left w:val="none" w:sz="0" w:space="0" w:color="auto"/>
                <w:bottom w:val="none" w:sz="0" w:space="0" w:color="auto"/>
                <w:right w:val="none" w:sz="0" w:space="0" w:color="auto"/>
              </w:divBdr>
              <w:divsChild>
                <w:div w:id="539586774">
                  <w:marLeft w:val="120"/>
                  <w:marRight w:val="0"/>
                  <w:marTop w:val="0"/>
                  <w:marBottom w:val="0"/>
                  <w:divBdr>
                    <w:top w:val="none" w:sz="0" w:space="0" w:color="auto"/>
                    <w:left w:val="none" w:sz="0" w:space="0" w:color="auto"/>
                    <w:bottom w:val="none" w:sz="0" w:space="0" w:color="auto"/>
                    <w:right w:val="none" w:sz="0" w:space="0" w:color="auto"/>
                  </w:divBdr>
                  <w:divsChild>
                    <w:div w:id="40903376">
                      <w:marLeft w:val="0"/>
                      <w:marRight w:val="0"/>
                      <w:marTop w:val="0"/>
                      <w:marBottom w:val="0"/>
                      <w:divBdr>
                        <w:top w:val="none" w:sz="0" w:space="0" w:color="auto"/>
                        <w:left w:val="none" w:sz="0" w:space="0" w:color="auto"/>
                        <w:bottom w:val="none" w:sz="0" w:space="0" w:color="auto"/>
                        <w:right w:val="none" w:sz="0" w:space="0" w:color="auto"/>
                      </w:divBdr>
                      <w:divsChild>
                        <w:div w:id="347097990">
                          <w:marLeft w:val="0"/>
                          <w:marRight w:val="0"/>
                          <w:marTop w:val="0"/>
                          <w:marBottom w:val="0"/>
                          <w:divBdr>
                            <w:top w:val="none" w:sz="0" w:space="0" w:color="auto"/>
                            <w:left w:val="none" w:sz="0" w:space="0" w:color="auto"/>
                            <w:bottom w:val="none" w:sz="0" w:space="0" w:color="auto"/>
                            <w:right w:val="none" w:sz="0" w:space="0" w:color="auto"/>
                          </w:divBdr>
                          <w:divsChild>
                            <w:div w:id="2131318380">
                              <w:marLeft w:val="0"/>
                              <w:marRight w:val="0"/>
                              <w:marTop w:val="0"/>
                              <w:marBottom w:val="0"/>
                              <w:divBdr>
                                <w:top w:val="none" w:sz="0" w:space="0" w:color="auto"/>
                                <w:left w:val="none" w:sz="0" w:space="0" w:color="auto"/>
                                <w:bottom w:val="none" w:sz="0" w:space="0" w:color="auto"/>
                                <w:right w:val="none" w:sz="0" w:space="0" w:color="auto"/>
                              </w:divBdr>
                              <w:divsChild>
                                <w:div w:id="11366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161553">
          <w:marLeft w:val="0"/>
          <w:marRight w:val="0"/>
          <w:marTop w:val="0"/>
          <w:marBottom w:val="0"/>
          <w:divBdr>
            <w:top w:val="none" w:sz="0" w:space="0" w:color="auto"/>
            <w:left w:val="none" w:sz="0" w:space="0" w:color="auto"/>
            <w:bottom w:val="none" w:sz="0" w:space="0" w:color="auto"/>
            <w:right w:val="none" w:sz="0" w:space="0" w:color="auto"/>
          </w:divBdr>
          <w:divsChild>
            <w:div w:id="257758450">
              <w:marLeft w:val="0"/>
              <w:marRight w:val="0"/>
              <w:marTop w:val="0"/>
              <w:marBottom w:val="0"/>
              <w:divBdr>
                <w:top w:val="none" w:sz="0" w:space="0" w:color="auto"/>
                <w:left w:val="none" w:sz="0" w:space="0" w:color="auto"/>
                <w:bottom w:val="none" w:sz="0" w:space="0" w:color="auto"/>
                <w:right w:val="none" w:sz="0" w:space="0" w:color="auto"/>
              </w:divBdr>
              <w:divsChild>
                <w:div w:id="1945764971">
                  <w:marLeft w:val="120"/>
                  <w:marRight w:val="0"/>
                  <w:marTop w:val="0"/>
                  <w:marBottom w:val="0"/>
                  <w:divBdr>
                    <w:top w:val="none" w:sz="0" w:space="0" w:color="auto"/>
                    <w:left w:val="none" w:sz="0" w:space="0" w:color="auto"/>
                    <w:bottom w:val="none" w:sz="0" w:space="0" w:color="auto"/>
                    <w:right w:val="none" w:sz="0" w:space="0" w:color="auto"/>
                  </w:divBdr>
                  <w:divsChild>
                    <w:div w:id="1405644284">
                      <w:marLeft w:val="0"/>
                      <w:marRight w:val="0"/>
                      <w:marTop w:val="0"/>
                      <w:marBottom w:val="0"/>
                      <w:divBdr>
                        <w:top w:val="none" w:sz="0" w:space="0" w:color="auto"/>
                        <w:left w:val="none" w:sz="0" w:space="0" w:color="auto"/>
                        <w:bottom w:val="none" w:sz="0" w:space="0" w:color="auto"/>
                        <w:right w:val="none" w:sz="0" w:space="0" w:color="auto"/>
                      </w:divBdr>
                      <w:divsChild>
                        <w:div w:id="1059328213">
                          <w:marLeft w:val="0"/>
                          <w:marRight w:val="0"/>
                          <w:marTop w:val="0"/>
                          <w:marBottom w:val="0"/>
                          <w:divBdr>
                            <w:top w:val="none" w:sz="0" w:space="0" w:color="auto"/>
                            <w:left w:val="none" w:sz="0" w:space="0" w:color="auto"/>
                            <w:bottom w:val="none" w:sz="0" w:space="0" w:color="auto"/>
                            <w:right w:val="none" w:sz="0" w:space="0" w:color="auto"/>
                          </w:divBdr>
                          <w:divsChild>
                            <w:div w:id="1619410963">
                              <w:marLeft w:val="0"/>
                              <w:marRight w:val="0"/>
                              <w:marTop w:val="0"/>
                              <w:marBottom w:val="0"/>
                              <w:divBdr>
                                <w:top w:val="none" w:sz="0" w:space="0" w:color="auto"/>
                                <w:left w:val="none" w:sz="0" w:space="0" w:color="auto"/>
                                <w:bottom w:val="none" w:sz="0" w:space="0" w:color="auto"/>
                                <w:right w:val="none" w:sz="0" w:space="0" w:color="auto"/>
                              </w:divBdr>
                              <w:divsChild>
                                <w:div w:id="766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3">
          <w:marLeft w:val="0"/>
          <w:marRight w:val="0"/>
          <w:marTop w:val="0"/>
          <w:marBottom w:val="0"/>
          <w:divBdr>
            <w:top w:val="none" w:sz="0" w:space="0" w:color="auto"/>
            <w:left w:val="none" w:sz="0" w:space="0" w:color="auto"/>
            <w:bottom w:val="none" w:sz="0" w:space="0" w:color="auto"/>
            <w:right w:val="none" w:sz="0" w:space="0" w:color="auto"/>
          </w:divBdr>
          <w:divsChild>
            <w:div w:id="306936901">
              <w:marLeft w:val="0"/>
              <w:marRight w:val="0"/>
              <w:marTop w:val="0"/>
              <w:marBottom w:val="0"/>
              <w:divBdr>
                <w:top w:val="none" w:sz="0" w:space="0" w:color="auto"/>
                <w:left w:val="none" w:sz="0" w:space="0" w:color="auto"/>
                <w:bottom w:val="none" w:sz="0" w:space="0" w:color="auto"/>
                <w:right w:val="none" w:sz="0" w:space="0" w:color="auto"/>
              </w:divBdr>
              <w:divsChild>
                <w:div w:id="1841389965">
                  <w:marLeft w:val="120"/>
                  <w:marRight w:val="0"/>
                  <w:marTop w:val="0"/>
                  <w:marBottom w:val="0"/>
                  <w:divBdr>
                    <w:top w:val="none" w:sz="0" w:space="0" w:color="auto"/>
                    <w:left w:val="none" w:sz="0" w:space="0" w:color="auto"/>
                    <w:bottom w:val="none" w:sz="0" w:space="0" w:color="auto"/>
                    <w:right w:val="none" w:sz="0" w:space="0" w:color="auto"/>
                  </w:divBdr>
                  <w:divsChild>
                    <w:div w:id="455101161">
                      <w:marLeft w:val="0"/>
                      <w:marRight w:val="0"/>
                      <w:marTop w:val="0"/>
                      <w:marBottom w:val="0"/>
                      <w:divBdr>
                        <w:top w:val="none" w:sz="0" w:space="0" w:color="auto"/>
                        <w:left w:val="none" w:sz="0" w:space="0" w:color="auto"/>
                        <w:bottom w:val="none" w:sz="0" w:space="0" w:color="auto"/>
                        <w:right w:val="none" w:sz="0" w:space="0" w:color="auto"/>
                      </w:divBdr>
                      <w:divsChild>
                        <w:div w:id="1645810430">
                          <w:marLeft w:val="0"/>
                          <w:marRight w:val="0"/>
                          <w:marTop w:val="0"/>
                          <w:marBottom w:val="0"/>
                          <w:divBdr>
                            <w:top w:val="none" w:sz="0" w:space="0" w:color="auto"/>
                            <w:left w:val="none" w:sz="0" w:space="0" w:color="auto"/>
                            <w:bottom w:val="none" w:sz="0" w:space="0" w:color="auto"/>
                            <w:right w:val="none" w:sz="0" w:space="0" w:color="auto"/>
                          </w:divBdr>
                          <w:divsChild>
                            <w:div w:id="287711453">
                              <w:marLeft w:val="0"/>
                              <w:marRight w:val="0"/>
                              <w:marTop w:val="0"/>
                              <w:marBottom w:val="0"/>
                              <w:divBdr>
                                <w:top w:val="none" w:sz="0" w:space="0" w:color="auto"/>
                                <w:left w:val="none" w:sz="0" w:space="0" w:color="auto"/>
                                <w:bottom w:val="none" w:sz="0" w:space="0" w:color="auto"/>
                                <w:right w:val="none" w:sz="0" w:space="0" w:color="auto"/>
                              </w:divBdr>
                              <w:divsChild>
                                <w:div w:id="6806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938619">
      <w:bodyDiv w:val="1"/>
      <w:marLeft w:val="0"/>
      <w:marRight w:val="0"/>
      <w:marTop w:val="0"/>
      <w:marBottom w:val="0"/>
      <w:divBdr>
        <w:top w:val="none" w:sz="0" w:space="0" w:color="auto"/>
        <w:left w:val="none" w:sz="0" w:space="0" w:color="auto"/>
        <w:bottom w:val="none" w:sz="0" w:space="0" w:color="auto"/>
        <w:right w:val="none" w:sz="0" w:space="0" w:color="auto"/>
      </w:divBdr>
      <w:divsChild>
        <w:div w:id="545223318">
          <w:marLeft w:val="480"/>
          <w:marRight w:val="0"/>
          <w:marTop w:val="0"/>
          <w:marBottom w:val="0"/>
          <w:divBdr>
            <w:top w:val="none" w:sz="0" w:space="0" w:color="auto"/>
            <w:left w:val="none" w:sz="0" w:space="0" w:color="auto"/>
            <w:bottom w:val="none" w:sz="0" w:space="0" w:color="auto"/>
            <w:right w:val="none" w:sz="0" w:space="0" w:color="auto"/>
          </w:divBdr>
          <w:divsChild>
            <w:div w:id="12998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706">
      <w:bodyDiv w:val="1"/>
      <w:marLeft w:val="0"/>
      <w:marRight w:val="0"/>
      <w:marTop w:val="0"/>
      <w:marBottom w:val="0"/>
      <w:divBdr>
        <w:top w:val="none" w:sz="0" w:space="0" w:color="auto"/>
        <w:left w:val="none" w:sz="0" w:space="0" w:color="auto"/>
        <w:bottom w:val="none" w:sz="0" w:space="0" w:color="auto"/>
        <w:right w:val="none" w:sz="0" w:space="0" w:color="auto"/>
      </w:divBdr>
      <w:divsChild>
        <w:div w:id="1095130931">
          <w:marLeft w:val="0"/>
          <w:marRight w:val="0"/>
          <w:marTop w:val="0"/>
          <w:marBottom w:val="0"/>
          <w:divBdr>
            <w:top w:val="none" w:sz="0" w:space="0" w:color="auto"/>
            <w:left w:val="none" w:sz="0" w:space="0" w:color="auto"/>
            <w:bottom w:val="none" w:sz="0" w:space="0" w:color="auto"/>
            <w:right w:val="none" w:sz="0" w:space="0" w:color="auto"/>
          </w:divBdr>
        </w:div>
        <w:div w:id="1508592436">
          <w:marLeft w:val="0"/>
          <w:marRight w:val="0"/>
          <w:marTop w:val="0"/>
          <w:marBottom w:val="0"/>
          <w:divBdr>
            <w:top w:val="none" w:sz="0" w:space="0" w:color="auto"/>
            <w:left w:val="none" w:sz="0" w:space="0" w:color="auto"/>
            <w:bottom w:val="none" w:sz="0" w:space="0" w:color="auto"/>
            <w:right w:val="none" w:sz="0" w:space="0" w:color="auto"/>
          </w:divBdr>
        </w:div>
      </w:divsChild>
    </w:div>
    <w:div w:id="496195764">
      <w:bodyDiv w:val="1"/>
      <w:marLeft w:val="0"/>
      <w:marRight w:val="0"/>
      <w:marTop w:val="0"/>
      <w:marBottom w:val="0"/>
      <w:divBdr>
        <w:top w:val="none" w:sz="0" w:space="0" w:color="auto"/>
        <w:left w:val="none" w:sz="0" w:space="0" w:color="auto"/>
        <w:bottom w:val="none" w:sz="0" w:space="0" w:color="auto"/>
        <w:right w:val="none" w:sz="0" w:space="0" w:color="auto"/>
      </w:divBdr>
    </w:div>
    <w:div w:id="760562556">
      <w:bodyDiv w:val="1"/>
      <w:marLeft w:val="0"/>
      <w:marRight w:val="0"/>
      <w:marTop w:val="0"/>
      <w:marBottom w:val="0"/>
      <w:divBdr>
        <w:top w:val="none" w:sz="0" w:space="0" w:color="auto"/>
        <w:left w:val="none" w:sz="0" w:space="0" w:color="auto"/>
        <w:bottom w:val="none" w:sz="0" w:space="0" w:color="auto"/>
        <w:right w:val="none" w:sz="0" w:space="0" w:color="auto"/>
      </w:divBdr>
    </w:div>
    <w:div w:id="1000886769">
      <w:bodyDiv w:val="1"/>
      <w:marLeft w:val="0"/>
      <w:marRight w:val="0"/>
      <w:marTop w:val="0"/>
      <w:marBottom w:val="0"/>
      <w:divBdr>
        <w:top w:val="none" w:sz="0" w:space="0" w:color="auto"/>
        <w:left w:val="none" w:sz="0" w:space="0" w:color="auto"/>
        <w:bottom w:val="none" w:sz="0" w:space="0" w:color="auto"/>
        <w:right w:val="none" w:sz="0" w:space="0" w:color="auto"/>
      </w:divBdr>
    </w:div>
    <w:div w:id="1071738276">
      <w:bodyDiv w:val="1"/>
      <w:marLeft w:val="0"/>
      <w:marRight w:val="0"/>
      <w:marTop w:val="0"/>
      <w:marBottom w:val="0"/>
      <w:divBdr>
        <w:top w:val="none" w:sz="0" w:space="0" w:color="auto"/>
        <w:left w:val="none" w:sz="0" w:space="0" w:color="auto"/>
        <w:bottom w:val="none" w:sz="0" w:space="0" w:color="auto"/>
        <w:right w:val="none" w:sz="0" w:space="0" w:color="auto"/>
      </w:divBdr>
    </w:div>
    <w:div w:id="1081374086">
      <w:bodyDiv w:val="1"/>
      <w:marLeft w:val="0"/>
      <w:marRight w:val="0"/>
      <w:marTop w:val="0"/>
      <w:marBottom w:val="0"/>
      <w:divBdr>
        <w:top w:val="none" w:sz="0" w:space="0" w:color="auto"/>
        <w:left w:val="none" w:sz="0" w:space="0" w:color="auto"/>
        <w:bottom w:val="none" w:sz="0" w:space="0" w:color="auto"/>
        <w:right w:val="none" w:sz="0" w:space="0" w:color="auto"/>
      </w:divBdr>
      <w:divsChild>
        <w:div w:id="1124270088">
          <w:marLeft w:val="480"/>
          <w:marRight w:val="0"/>
          <w:marTop w:val="0"/>
          <w:marBottom w:val="0"/>
          <w:divBdr>
            <w:top w:val="none" w:sz="0" w:space="0" w:color="auto"/>
            <w:left w:val="none" w:sz="0" w:space="0" w:color="auto"/>
            <w:bottom w:val="none" w:sz="0" w:space="0" w:color="auto"/>
            <w:right w:val="none" w:sz="0" w:space="0" w:color="auto"/>
          </w:divBdr>
          <w:divsChild>
            <w:div w:id="521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9330">
      <w:bodyDiv w:val="1"/>
      <w:marLeft w:val="0"/>
      <w:marRight w:val="0"/>
      <w:marTop w:val="0"/>
      <w:marBottom w:val="0"/>
      <w:divBdr>
        <w:top w:val="none" w:sz="0" w:space="0" w:color="auto"/>
        <w:left w:val="none" w:sz="0" w:space="0" w:color="auto"/>
        <w:bottom w:val="none" w:sz="0" w:space="0" w:color="auto"/>
        <w:right w:val="none" w:sz="0" w:space="0" w:color="auto"/>
      </w:divBdr>
    </w:div>
    <w:div w:id="1145123929">
      <w:bodyDiv w:val="1"/>
      <w:marLeft w:val="0"/>
      <w:marRight w:val="0"/>
      <w:marTop w:val="0"/>
      <w:marBottom w:val="0"/>
      <w:divBdr>
        <w:top w:val="none" w:sz="0" w:space="0" w:color="auto"/>
        <w:left w:val="none" w:sz="0" w:space="0" w:color="auto"/>
        <w:bottom w:val="none" w:sz="0" w:space="0" w:color="auto"/>
        <w:right w:val="none" w:sz="0" w:space="0" w:color="auto"/>
      </w:divBdr>
    </w:div>
    <w:div w:id="1218130794">
      <w:bodyDiv w:val="1"/>
      <w:marLeft w:val="0"/>
      <w:marRight w:val="0"/>
      <w:marTop w:val="0"/>
      <w:marBottom w:val="0"/>
      <w:divBdr>
        <w:top w:val="none" w:sz="0" w:space="0" w:color="auto"/>
        <w:left w:val="none" w:sz="0" w:space="0" w:color="auto"/>
        <w:bottom w:val="none" w:sz="0" w:space="0" w:color="auto"/>
        <w:right w:val="none" w:sz="0" w:space="0" w:color="auto"/>
      </w:divBdr>
    </w:div>
    <w:div w:id="1471480215">
      <w:bodyDiv w:val="1"/>
      <w:marLeft w:val="0"/>
      <w:marRight w:val="0"/>
      <w:marTop w:val="0"/>
      <w:marBottom w:val="0"/>
      <w:divBdr>
        <w:top w:val="none" w:sz="0" w:space="0" w:color="auto"/>
        <w:left w:val="none" w:sz="0" w:space="0" w:color="auto"/>
        <w:bottom w:val="none" w:sz="0" w:space="0" w:color="auto"/>
        <w:right w:val="none" w:sz="0" w:space="0" w:color="auto"/>
      </w:divBdr>
    </w:div>
    <w:div w:id="1532961181">
      <w:bodyDiv w:val="1"/>
      <w:marLeft w:val="0"/>
      <w:marRight w:val="0"/>
      <w:marTop w:val="0"/>
      <w:marBottom w:val="0"/>
      <w:divBdr>
        <w:top w:val="none" w:sz="0" w:space="0" w:color="auto"/>
        <w:left w:val="none" w:sz="0" w:space="0" w:color="auto"/>
        <w:bottom w:val="none" w:sz="0" w:space="0" w:color="auto"/>
        <w:right w:val="none" w:sz="0" w:space="0" w:color="auto"/>
      </w:divBdr>
    </w:div>
    <w:div w:id="1571692851">
      <w:bodyDiv w:val="1"/>
      <w:marLeft w:val="0"/>
      <w:marRight w:val="0"/>
      <w:marTop w:val="0"/>
      <w:marBottom w:val="0"/>
      <w:divBdr>
        <w:top w:val="none" w:sz="0" w:space="0" w:color="auto"/>
        <w:left w:val="none" w:sz="0" w:space="0" w:color="auto"/>
        <w:bottom w:val="none" w:sz="0" w:space="0" w:color="auto"/>
        <w:right w:val="none" w:sz="0" w:space="0" w:color="auto"/>
      </w:divBdr>
      <w:divsChild>
        <w:div w:id="1384326236">
          <w:marLeft w:val="0"/>
          <w:marRight w:val="0"/>
          <w:marTop w:val="0"/>
          <w:marBottom w:val="0"/>
          <w:divBdr>
            <w:top w:val="none" w:sz="0" w:space="0" w:color="auto"/>
            <w:left w:val="none" w:sz="0" w:space="0" w:color="auto"/>
            <w:bottom w:val="none" w:sz="0" w:space="0" w:color="auto"/>
            <w:right w:val="none" w:sz="0" w:space="0" w:color="auto"/>
          </w:divBdr>
        </w:div>
        <w:div w:id="2121148588">
          <w:marLeft w:val="0"/>
          <w:marRight w:val="0"/>
          <w:marTop w:val="0"/>
          <w:marBottom w:val="0"/>
          <w:divBdr>
            <w:top w:val="none" w:sz="0" w:space="0" w:color="auto"/>
            <w:left w:val="none" w:sz="0" w:space="0" w:color="auto"/>
            <w:bottom w:val="none" w:sz="0" w:space="0" w:color="auto"/>
            <w:right w:val="none" w:sz="0" w:space="0" w:color="auto"/>
          </w:divBdr>
        </w:div>
      </w:divsChild>
    </w:div>
    <w:div w:id="1605729340">
      <w:bodyDiv w:val="1"/>
      <w:marLeft w:val="0"/>
      <w:marRight w:val="0"/>
      <w:marTop w:val="0"/>
      <w:marBottom w:val="0"/>
      <w:divBdr>
        <w:top w:val="none" w:sz="0" w:space="0" w:color="auto"/>
        <w:left w:val="none" w:sz="0" w:space="0" w:color="auto"/>
        <w:bottom w:val="none" w:sz="0" w:space="0" w:color="auto"/>
        <w:right w:val="none" w:sz="0" w:space="0" w:color="auto"/>
      </w:divBdr>
    </w:div>
    <w:div w:id="2002196550">
      <w:bodyDiv w:val="1"/>
      <w:marLeft w:val="0"/>
      <w:marRight w:val="0"/>
      <w:marTop w:val="0"/>
      <w:marBottom w:val="0"/>
      <w:divBdr>
        <w:top w:val="none" w:sz="0" w:space="0" w:color="auto"/>
        <w:left w:val="none" w:sz="0" w:space="0" w:color="auto"/>
        <w:bottom w:val="none" w:sz="0" w:space="0" w:color="auto"/>
        <w:right w:val="none" w:sz="0" w:space="0" w:color="auto"/>
      </w:divBdr>
    </w:div>
    <w:div w:id="20860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jia.moumen@tbs.rnu.tn" TargetMode="External"/><Relationship Id="rId13" Type="http://schemas.openxmlformats.org/officeDocument/2006/relationships/footer" Target="footer1.xml"/><Relationship Id="rId18" Type="http://schemas.openxmlformats.org/officeDocument/2006/relationships/hyperlink" Target="https://www.bis.org/publ/bcbs230.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apers.ssrn.com/abstract=1003219"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prints.glos.ac.uk/413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aiard.com/11_2008/2008_Strategic_Business_Risk_-_Insurance.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eb.actuaries.ie/press/erm-resource-database/practical-guide-risk-assessmen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apers.ssrn.com/abstract=1496213" TargetMode="External"/><Relationship Id="rId10" Type="http://schemas.openxmlformats.org/officeDocument/2006/relationships/hyperlink" Target="mailto:khaled.hussainey@port.ac.uk" TargetMode="External"/><Relationship Id="rId19" Type="http://schemas.openxmlformats.org/officeDocument/2006/relationships/hyperlink" Target="http://eprints.whiterose.ac.uk/11231/" TargetMode="External"/><Relationship Id="rId4" Type="http://schemas.openxmlformats.org/officeDocument/2006/relationships/settings" Target="settings.xml"/><Relationship Id="rId9" Type="http://schemas.openxmlformats.org/officeDocument/2006/relationships/hyperlink" Target="mailto:rihab_grassa@hotmail.fr" TargetMode="External"/><Relationship Id="rId14" Type="http://schemas.openxmlformats.org/officeDocument/2006/relationships/footer" Target="footer2.xml"/><Relationship Id="rId22" Type="http://schemas.openxmlformats.org/officeDocument/2006/relationships/hyperlink" Target="http://repositorium.sdum.uminho.pt/handle/1822/23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06E38-BAB0-4525-AC1F-8B937F46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15449</Words>
  <Characters>88063</Characters>
  <Application>Microsoft Office Word</Application>
  <DocSecurity>0</DocSecurity>
  <Lines>733</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Khaled Hussainey (Staff)</cp:lastModifiedBy>
  <cp:revision>2</cp:revision>
  <cp:lastPrinted>2018-03-21T13:25:00Z</cp:lastPrinted>
  <dcterms:created xsi:type="dcterms:W3CDTF">2024-04-25T08:47:00Z</dcterms:created>
  <dcterms:modified xsi:type="dcterms:W3CDTF">2024-04-25T08:47:00Z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d25ffad1-6a65-3abf-b183-cc81a053f564</vt:lpwstr>
  </property>
  <property fmtid="{D5CDD505-2E9C-101B-9397-08002B2CF9AE}" pid="24" name="Mendeley Citation Style_1">
    <vt:lpwstr>http://www.zotero.org/styles/apa</vt:lpwstr>
  </property>
</Properties>
</file>