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3E2" w:rsidRPr="00202752" w:rsidRDefault="00E419FC" w:rsidP="00E419FC">
      <w:pPr>
        <w:pStyle w:val="a3"/>
        <w:jc w:val="center"/>
        <w:rPr>
          <w:rFonts w:ascii="Garamond" w:hAnsi="Garamond"/>
          <w:b/>
          <w:sz w:val="36"/>
          <w:szCs w:val="36"/>
        </w:rPr>
      </w:pPr>
      <w:r w:rsidRPr="00202752">
        <w:rPr>
          <w:rFonts w:ascii="Garamond" w:hAnsi="Garamond"/>
          <w:b/>
          <w:sz w:val="36"/>
          <w:szCs w:val="36"/>
        </w:rPr>
        <w:t>Female CFOs, Leverage and the Moderating Role of Board Diversity and CEO Power</w:t>
      </w:r>
    </w:p>
    <w:p w:rsidR="005F792E" w:rsidRDefault="005F792E" w:rsidP="000D73E2">
      <w:pPr>
        <w:jc w:val="center"/>
        <w:rPr>
          <w:rFonts w:ascii="Garamond" w:hAnsi="Garamond"/>
        </w:rPr>
      </w:pPr>
    </w:p>
    <w:p w:rsidR="005C79DF" w:rsidRPr="005F792E" w:rsidRDefault="005C79DF" w:rsidP="005C79DF">
      <w:pPr>
        <w:jc w:val="center"/>
        <w:rPr>
          <w:rFonts w:ascii="Garamond" w:hAnsi="Garamond"/>
        </w:rPr>
      </w:pPr>
      <w:r w:rsidRPr="005F792E">
        <w:rPr>
          <w:rFonts w:ascii="Garamond" w:hAnsi="Garamond"/>
        </w:rPr>
        <w:t xml:space="preserve">Lisa </w:t>
      </w:r>
      <w:proofErr w:type="spellStart"/>
      <w:r w:rsidRPr="005F792E">
        <w:rPr>
          <w:rFonts w:ascii="Garamond" w:hAnsi="Garamond"/>
        </w:rPr>
        <w:t>Schopohl</w:t>
      </w:r>
      <w:proofErr w:type="spellEnd"/>
    </w:p>
    <w:p w:rsidR="005C79DF" w:rsidRPr="005F792E" w:rsidRDefault="005C79DF" w:rsidP="005C79DF">
      <w:pPr>
        <w:jc w:val="center"/>
        <w:rPr>
          <w:rFonts w:ascii="Garamond" w:hAnsi="Garamond"/>
        </w:rPr>
      </w:pPr>
      <w:r w:rsidRPr="005F792E">
        <w:rPr>
          <w:rFonts w:ascii="Garamond" w:hAnsi="Garamond"/>
        </w:rPr>
        <w:t>ICMA Centre, Henley Business School</w:t>
      </w:r>
    </w:p>
    <w:p w:rsidR="005C79DF" w:rsidRPr="005F792E" w:rsidRDefault="005C79DF" w:rsidP="005C79DF">
      <w:pPr>
        <w:jc w:val="center"/>
        <w:rPr>
          <w:rFonts w:ascii="Garamond" w:hAnsi="Garamond"/>
        </w:rPr>
      </w:pPr>
      <w:r w:rsidRPr="005F792E">
        <w:rPr>
          <w:rFonts w:ascii="Garamond" w:hAnsi="Garamond"/>
        </w:rPr>
        <w:t>University of Reading</w:t>
      </w:r>
    </w:p>
    <w:p w:rsidR="005C79DF" w:rsidRPr="005F792E" w:rsidRDefault="005C79DF" w:rsidP="005C79DF">
      <w:pPr>
        <w:jc w:val="center"/>
        <w:rPr>
          <w:rFonts w:ascii="Garamond" w:hAnsi="Garamond"/>
        </w:rPr>
      </w:pPr>
      <w:r w:rsidRPr="005F792E">
        <w:rPr>
          <w:rFonts w:ascii="Garamond" w:hAnsi="Garamond"/>
        </w:rPr>
        <w:t>Reading</w:t>
      </w:r>
    </w:p>
    <w:p w:rsidR="005C79DF" w:rsidRPr="005F792E" w:rsidRDefault="005C79DF" w:rsidP="005C79DF">
      <w:pPr>
        <w:jc w:val="center"/>
        <w:rPr>
          <w:rFonts w:ascii="Garamond" w:hAnsi="Garamond"/>
        </w:rPr>
      </w:pPr>
      <w:r w:rsidRPr="005F792E">
        <w:rPr>
          <w:rFonts w:ascii="Garamond" w:hAnsi="Garamond"/>
        </w:rPr>
        <w:t>United Kingdom</w:t>
      </w:r>
    </w:p>
    <w:p w:rsidR="005C79DF" w:rsidRPr="005F792E" w:rsidRDefault="005C79DF" w:rsidP="005C79DF">
      <w:pPr>
        <w:jc w:val="center"/>
        <w:rPr>
          <w:rFonts w:ascii="Garamond" w:hAnsi="Garamond"/>
        </w:rPr>
      </w:pPr>
      <w:hyperlink r:id="rId11" w:history="1">
        <w:r w:rsidRPr="005F792E">
          <w:rPr>
            <w:rStyle w:val="ac"/>
            <w:rFonts w:ascii="Garamond" w:hAnsi="Garamond"/>
          </w:rPr>
          <w:t>l.schopohl@icmacentre.ac.uk</w:t>
        </w:r>
      </w:hyperlink>
      <w:r w:rsidRPr="005F792E">
        <w:rPr>
          <w:rFonts w:ascii="Garamond" w:hAnsi="Garamond"/>
        </w:rPr>
        <w:t xml:space="preserve"> </w:t>
      </w:r>
    </w:p>
    <w:p w:rsidR="005C79DF" w:rsidRDefault="005C79DF" w:rsidP="005C79DF">
      <w:pPr>
        <w:jc w:val="center"/>
        <w:rPr>
          <w:rFonts w:ascii="Garamond" w:hAnsi="Garamond"/>
          <w:b/>
          <w:sz w:val="36"/>
        </w:rPr>
      </w:pPr>
    </w:p>
    <w:p w:rsidR="005C79DF" w:rsidRPr="005F792E" w:rsidRDefault="005C79DF" w:rsidP="005C79DF">
      <w:pPr>
        <w:jc w:val="center"/>
        <w:rPr>
          <w:rFonts w:ascii="Garamond" w:hAnsi="Garamond"/>
        </w:rPr>
      </w:pPr>
      <w:r>
        <w:rPr>
          <w:rFonts w:ascii="Garamond" w:hAnsi="Garamond"/>
        </w:rPr>
        <w:t xml:space="preserve">Andrew Urquhart </w:t>
      </w:r>
    </w:p>
    <w:p w:rsidR="005C79DF" w:rsidRPr="005F792E" w:rsidRDefault="005C79DF" w:rsidP="005C79DF">
      <w:pPr>
        <w:jc w:val="center"/>
        <w:rPr>
          <w:rFonts w:ascii="Garamond" w:hAnsi="Garamond"/>
        </w:rPr>
      </w:pPr>
      <w:r w:rsidRPr="005F792E">
        <w:rPr>
          <w:rFonts w:ascii="Garamond" w:hAnsi="Garamond"/>
        </w:rPr>
        <w:t>ICMA Centre, Henley Business School</w:t>
      </w:r>
    </w:p>
    <w:p w:rsidR="005C79DF" w:rsidRPr="005F792E" w:rsidRDefault="005C79DF" w:rsidP="005C79DF">
      <w:pPr>
        <w:jc w:val="center"/>
        <w:rPr>
          <w:rFonts w:ascii="Garamond" w:hAnsi="Garamond"/>
        </w:rPr>
      </w:pPr>
      <w:r w:rsidRPr="005F792E">
        <w:rPr>
          <w:rFonts w:ascii="Garamond" w:hAnsi="Garamond"/>
        </w:rPr>
        <w:t>University of Reading</w:t>
      </w:r>
    </w:p>
    <w:p w:rsidR="005C79DF" w:rsidRPr="005F792E" w:rsidRDefault="005C79DF" w:rsidP="005C79DF">
      <w:pPr>
        <w:jc w:val="center"/>
        <w:rPr>
          <w:rFonts w:ascii="Garamond" w:hAnsi="Garamond"/>
        </w:rPr>
      </w:pPr>
      <w:r w:rsidRPr="005F792E">
        <w:rPr>
          <w:rFonts w:ascii="Garamond" w:hAnsi="Garamond"/>
        </w:rPr>
        <w:t>Reading</w:t>
      </w:r>
    </w:p>
    <w:p w:rsidR="005C79DF" w:rsidRPr="005F792E" w:rsidRDefault="005C79DF" w:rsidP="005C79DF">
      <w:pPr>
        <w:jc w:val="center"/>
        <w:rPr>
          <w:rFonts w:ascii="Garamond" w:hAnsi="Garamond"/>
        </w:rPr>
      </w:pPr>
      <w:r w:rsidRPr="005F792E">
        <w:rPr>
          <w:rFonts w:ascii="Garamond" w:hAnsi="Garamond"/>
        </w:rPr>
        <w:t>United Kingdom</w:t>
      </w:r>
    </w:p>
    <w:p w:rsidR="005C79DF" w:rsidRDefault="005C79DF" w:rsidP="005C79DF">
      <w:pPr>
        <w:jc w:val="center"/>
        <w:rPr>
          <w:rFonts w:ascii="Garamond" w:hAnsi="Garamond"/>
        </w:rPr>
      </w:pPr>
      <w:hyperlink r:id="rId12" w:history="1">
        <w:r w:rsidRPr="006F2C2C">
          <w:rPr>
            <w:rStyle w:val="ac"/>
            <w:rFonts w:ascii="Garamond" w:hAnsi="Garamond"/>
          </w:rPr>
          <w:t>a.j.urquhart@icmacentre.ac.uk</w:t>
        </w:r>
      </w:hyperlink>
      <w:r>
        <w:rPr>
          <w:rFonts w:ascii="Garamond" w:hAnsi="Garamond"/>
        </w:rPr>
        <w:t xml:space="preserve"> </w:t>
      </w:r>
    </w:p>
    <w:p w:rsidR="005C79DF" w:rsidRDefault="005C79DF" w:rsidP="005C79DF">
      <w:pPr>
        <w:jc w:val="center"/>
        <w:rPr>
          <w:rFonts w:ascii="Garamond" w:hAnsi="Garamond"/>
        </w:rPr>
      </w:pPr>
    </w:p>
    <w:p w:rsidR="005C79DF" w:rsidRDefault="005C79DF" w:rsidP="005C79DF">
      <w:pPr>
        <w:jc w:val="center"/>
        <w:rPr>
          <w:rFonts w:ascii="Garamond" w:hAnsi="Garamond"/>
        </w:rPr>
      </w:pPr>
      <w:proofErr w:type="spellStart"/>
      <w:r>
        <w:rPr>
          <w:rFonts w:ascii="Garamond" w:hAnsi="Garamond"/>
        </w:rPr>
        <w:t>Hanxiong</w:t>
      </w:r>
      <w:proofErr w:type="spellEnd"/>
      <w:r>
        <w:rPr>
          <w:rFonts w:ascii="Garamond" w:hAnsi="Garamond"/>
        </w:rPr>
        <w:t xml:space="preserve"> Zhang</w:t>
      </w:r>
    </w:p>
    <w:p w:rsidR="005C79DF" w:rsidRDefault="005C79DF" w:rsidP="005C79DF">
      <w:pPr>
        <w:jc w:val="center"/>
        <w:rPr>
          <w:rFonts w:ascii="Garamond" w:hAnsi="Garamond"/>
        </w:rPr>
      </w:pPr>
      <w:r>
        <w:rPr>
          <w:rFonts w:ascii="Garamond" w:hAnsi="Garamond"/>
        </w:rPr>
        <w:t>Management School</w:t>
      </w:r>
    </w:p>
    <w:p w:rsidR="005C79DF" w:rsidRDefault="005C79DF" w:rsidP="005C79DF">
      <w:pPr>
        <w:jc w:val="center"/>
        <w:rPr>
          <w:rFonts w:ascii="Garamond" w:hAnsi="Garamond"/>
        </w:rPr>
      </w:pPr>
      <w:r>
        <w:rPr>
          <w:rFonts w:ascii="Garamond" w:hAnsi="Garamond"/>
        </w:rPr>
        <w:t>University of Sheffield</w:t>
      </w:r>
    </w:p>
    <w:p w:rsidR="005C79DF" w:rsidRDefault="005C79DF" w:rsidP="005C79DF">
      <w:pPr>
        <w:jc w:val="center"/>
        <w:rPr>
          <w:rFonts w:ascii="Garamond" w:hAnsi="Garamond"/>
        </w:rPr>
      </w:pPr>
      <w:r>
        <w:rPr>
          <w:rFonts w:ascii="Garamond" w:hAnsi="Garamond"/>
        </w:rPr>
        <w:t>Sheffield</w:t>
      </w:r>
    </w:p>
    <w:p w:rsidR="005C79DF" w:rsidRDefault="005C79DF" w:rsidP="005C79DF">
      <w:pPr>
        <w:jc w:val="center"/>
        <w:rPr>
          <w:rFonts w:ascii="Garamond" w:hAnsi="Garamond"/>
        </w:rPr>
      </w:pPr>
      <w:r>
        <w:rPr>
          <w:rFonts w:ascii="Garamond" w:hAnsi="Garamond"/>
        </w:rPr>
        <w:t>United Kingdom</w:t>
      </w:r>
    </w:p>
    <w:p w:rsidR="005C79DF" w:rsidRPr="005F792E" w:rsidRDefault="005C79DF" w:rsidP="005C79DF">
      <w:pPr>
        <w:jc w:val="center"/>
        <w:rPr>
          <w:rFonts w:ascii="Garamond" w:hAnsi="Garamond"/>
        </w:rPr>
      </w:pPr>
      <w:hyperlink r:id="rId13" w:history="1">
        <w:r w:rsidRPr="006F2C2C">
          <w:rPr>
            <w:rStyle w:val="ac"/>
            <w:rFonts w:ascii="Garamond" w:hAnsi="Garamond"/>
          </w:rPr>
          <w:t>hanxiong.zhang@sheffield.ac.uk</w:t>
        </w:r>
      </w:hyperlink>
      <w:r>
        <w:rPr>
          <w:rFonts w:ascii="Garamond" w:hAnsi="Garamond"/>
        </w:rPr>
        <w:t xml:space="preserve"> </w:t>
      </w:r>
    </w:p>
    <w:p w:rsidR="005F792E" w:rsidRDefault="005F792E" w:rsidP="000D73E2">
      <w:pPr>
        <w:jc w:val="center"/>
        <w:rPr>
          <w:rFonts w:ascii="Garamond" w:hAnsi="Garamond"/>
        </w:rPr>
      </w:pPr>
    </w:p>
    <w:p w:rsidR="00202752" w:rsidRDefault="00202752" w:rsidP="000D73E2">
      <w:pPr>
        <w:jc w:val="center"/>
        <w:rPr>
          <w:rFonts w:ascii="Garamond" w:hAnsi="Garamond"/>
        </w:rPr>
      </w:pPr>
    </w:p>
    <w:p w:rsidR="00202752" w:rsidRDefault="00202752" w:rsidP="000D73E2">
      <w:pPr>
        <w:jc w:val="center"/>
        <w:rPr>
          <w:rFonts w:ascii="Garamond" w:hAnsi="Garamond"/>
          <w:b/>
          <w:sz w:val="36"/>
        </w:rPr>
      </w:pPr>
    </w:p>
    <w:p w:rsidR="001669F8" w:rsidRPr="00FF53CD" w:rsidRDefault="001669F8" w:rsidP="00FF53CD">
      <w:pPr>
        <w:jc w:val="both"/>
        <w:rPr>
          <w:rFonts w:ascii="Garamond" w:hAnsi="Garamond"/>
          <w:b/>
          <w:sz w:val="36"/>
        </w:rPr>
      </w:pPr>
    </w:p>
    <w:p w:rsidR="000D73E2" w:rsidRDefault="00685F75" w:rsidP="00685F75">
      <w:pPr>
        <w:jc w:val="center"/>
        <w:rPr>
          <w:rFonts w:ascii="Garamond" w:hAnsi="Garamond"/>
          <w:b/>
        </w:rPr>
      </w:pPr>
      <w:r>
        <w:rPr>
          <w:rFonts w:ascii="Garamond" w:hAnsi="Garamond"/>
          <w:b/>
        </w:rPr>
        <w:t>Abstract</w:t>
      </w:r>
    </w:p>
    <w:p w:rsidR="00685F75" w:rsidRDefault="00685F75" w:rsidP="00685F75">
      <w:pPr>
        <w:jc w:val="center"/>
        <w:rPr>
          <w:rFonts w:ascii="Garamond" w:hAnsi="Garamond"/>
          <w:b/>
        </w:rPr>
      </w:pPr>
    </w:p>
    <w:p w:rsidR="0057098D" w:rsidRPr="00FF53CD" w:rsidRDefault="00685F75" w:rsidP="008358E3">
      <w:pPr>
        <w:spacing w:line="360" w:lineRule="auto"/>
        <w:jc w:val="both"/>
        <w:rPr>
          <w:rFonts w:ascii="Garamond" w:hAnsi="Garamond"/>
          <w:color w:val="000000" w:themeColor="text1"/>
          <w:sz w:val="20"/>
        </w:rPr>
      </w:pPr>
      <w:r w:rsidRPr="00FF53CD">
        <w:rPr>
          <w:rFonts w:ascii="Garamond" w:hAnsi="Garamond"/>
          <w:color w:val="000000" w:themeColor="text1"/>
        </w:rPr>
        <w:t xml:space="preserve">This paper </w:t>
      </w:r>
      <w:r w:rsidR="00C3464F">
        <w:rPr>
          <w:rFonts w:ascii="Garamond" w:hAnsi="Garamond"/>
          <w:color w:val="000000" w:themeColor="text1"/>
        </w:rPr>
        <w:t>investigates</w:t>
      </w:r>
      <w:r w:rsidRPr="00FF53CD">
        <w:rPr>
          <w:rFonts w:ascii="Garamond" w:hAnsi="Garamond"/>
          <w:color w:val="000000" w:themeColor="text1"/>
        </w:rPr>
        <w:t xml:space="preserve"> the extent to which female Chief Financial Officers (CFOs) </w:t>
      </w:r>
      <w:r w:rsidR="006C78D6" w:rsidRPr="00FF53CD">
        <w:rPr>
          <w:rFonts w:ascii="Garamond" w:hAnsi="Garamond"/>
          <w:color w:val="000000" w:themeColor="text1"/>
        </w:rPr>
        <w:t>affect</w:t>
      </w:r>
      <w:r w:rsidRPr="00FF53CD">
        <w:rPr>
          <w:rFonts w:ascii="Garamond" w:hAnsi="Garamond"/>
          <w:color w:val="000000" w:themeColor="text1"/>
        </w:rPr>
        <w:t xml:space="preserve"> </w:t>
      </w:r>
      <w:r w:rsidR="006541E6" w:rsidRPr="00FF53CD">
        <w:rPr>
          <w:rFonts w:ascii="Garamond" w:hAnsi="Garamond"/>
          <w:color w:val="000000" w:themeColor="text1"/>
        </w:rPr>
        <w:t>corporate leverage</w:t>
      </w:r>
      <w:r w:rsidRPr="00FF53CD">
        <w:rPr>
          <w:rFonts w:ascii="Garamond" w:hAnsi="Garamond"/>
          <w:color w:val="000000" w:themeColor="text1"/>
        </w:rPr>
        <w:t>.  We examine female CFOs in UK firms and find that they significantly reduce the leverage of the firm</w:t>
      </w:r>
      <w:r w:rsidR="00691D77">
        <w:rPr>
          <w:rFonts w:ascii="Garamond" w:hAnsi="Garamond"/>
          <w:color w:val="000000" w:themeColor="text1"/>
        </w:rPr>
        <w:t>;</w:t>
      </w:r>
      <w:r w:rsidR="00105923">
        <w:rPr>
          <w:rFonts w:ascii="Garamond" w:hAnsi="Garamond"/>
          <w:color w:val="000000" w:themeColor="text1"/>
        </w:rPr>
        <w:t xml:space="preserve"> however</w:t>
      </w:r>
      <w:r w:rsidR="00691D77">
        <w:rPr>
          <w:rFonts w:ascii="Garamond" w:hAnsi="Garamond"/>
          <w:color w:val="000000" w:themeColor="text1"/>
        </w:rPr>
        <w:t>,</w:t>
      </w:r>
      <w:r w:rsidR="00105923">
        <w:rPr>
          <w:rFonts w:ascii="Garamond" w:hAnsi="Garamond"/>
          <w:color w:val="000000" w:themeColor="text1"/>
        </w:rPr>
        <w:t xml:space="preserve"> a</w:t>
      </w:r>
      <w:r w:rsidRPr="00FF53CD">
        <w:rPr>
          <w:rFonts w:ascii="Garamond" w:hAnsi="Garamond"/>
          <w:color w:val="000000" w:themeColor="text1"/>
        </w:rPr>
        <w:t xml:space="preserve"> </w:t>
      </w:r>
      <w:r w:rsidR="00D936BE">
        <w:rPr>
          <w:rFonts w:ascii="Garamond" w:hAnsi="Garamond"/>
          <w:color w:val="000000" w:themeColor="text1"/>
        </w:rPr>
        <w:t>female CFO</w:t>
      </w:r>
      <w:r w:rsidR="000A5DA2">
        <w:rPr>
          <w:rFonts w:ascii="Garamond" w:hAnsi="Garamond"/>
          <w:color w:val="000000" w:themeColor="text1"/>
        </w:rPr>
        <w:t>’</w:t>
      </w:r>
      <w:r w:rsidR="00D936BE">
        <w:rPr>
          <w:rFonts w:ascii="Garamond" w:hAnsi="Garamond"/>
          <w:color w:val="000000" w:themeColor="text1"/>
        </w:rPr>
        <w:t>s</w:t>
      </w:r>
      <w:r w:rsidR="00AB2FFE">
        <w:rPr>
          <w:rFonts w:ascii="Garamond" w:hAnsi="Garamond"/>
          <w:color w:val="000000" w:themeColor="text1"/>
        </w:rPr>
        <w:t xml:space="preserve"> </w:t>
      </w:r>
      <w:r w:rsidR="00105923">
        <w:rPr>
          <w:rFonts w:ascii="Garamond" w:hAnsi="Garamond"/>
          <w:color w:val="000000" w:themeColor="text1"/>
        </w:rPr>
        <w:t>ability to influence</w:t>
      </w:r>
      <w:r w:rsidR="00AB2FFE">
        <w:rPr>
          <w:rFonts w:ascii="Garamond" w:hAnsi="Garamond"/>
          <w:color w:val="000000" w:themeColor="text1"/>
        </w:rPr>
        <w:t xml:space="preserve"> </w:t>
      </w:r>
      <w:r w:rsidR="00C56571">
        <w:rPr>
          <w:rFonts w:ascii="Garamond" w:hAnsi="Garamond"/>
          <w:color w:val="000000" w:themeColor="text1"/>
        </w:rPr>
        <w:t>corporate leverage is moderated by the senior decision-making environment in the firm</w:t>
      </w:r>
      <w:r w:rsidR="00105923">
        <w:rPr>
          <w:rFonts w:ascii="Garamond" w:hAnsi="Garamond"/>
          <w:color w:val="000000" w:themeColor="text1"/>
        </w:rPr>
        <w:t>.</w:t>
      </w:r>
      <w:r w:rsidR="007639AA">
        <w:rPr>
          <w:rFonts w:ascii="Garamond" w:hAnsi="Garamond"/>
          <w:color w:val="000000" w:themeColor="text1"/>
        </w:rPr>
        <w:t xml:space="preserve"> </w:t>
      </w:r>
      <w:r w:rsidR="00105923">
        <w:rPr>
          <w:rFonts w:ascii="Garamond" w:hAnsi="Garamond"/>
          <w:color w:val="000000" w:themeColor="text1"/>
        </w:rPr>
        <w:t>I</w:t>
      </w:r>
      <w:r w:rsidR="00A56EAF">
        <w:rPr>
          <w:rFonts w:ascii="Garamond" w:hAnsi="Garamond"/>
          <w:color w:val="000000" w:themeColor="text1"/>
        </w:rPr>
        <w:t>n particular,</w:t>
      </w:r>
      <w:r w:rsidRPr="00FF53CD">
        <w:rPr>
          <w:rFonts w:ascii="Garamond" w:hAnsi="Garamond"/>
          <w:color w:val="000000" w:themeColor="text1"/>
        </w:rPr>
        <w:t xml:space="preserve"> female CFOs </w:t>
      </w:r>
      <w:proofErr w:type="gramStart"/>
      <w:r w:rsidR="00274952">
        <w:rPr>
          <w:rFonts w:ascii="Garamond" w:hAnsi="Garamond"/>
          <w:color w:val="000000" w:themeColor="text1"/>
        </w:rPr>
        <w:t>are</w:t>
      </w:r>
      <w:proofErr w:type="gramEnd"/>
      <w:r w:rsidR="00274952">
        <w:rPr>
          <w:rFonts w:ascii="Garamond" w:hAnsi="Garamond"/>
          <w:color w:val="000000" w:themeColor="text1"/>
        </w:rPr>
        <w:t xml:space="preserve"> more effective in</w:t>
      </w:r>
      <w:r w:rsidRPr="00FF53CD">
        <w:rPr>
          <w:rFonts w:ascii="Garamond" w:hAnsi="Garamond"/>
          <w:color w:val="000000" w:themeColor="text1"/>
        </w:rPr>
        <w:t xml:space="preserve"> </w:t>
      </w:r>
      <w:r w:rsidR="00274952" w:rsidRPr="00FF53CD">
        <w:rPr>
          <w:rFonts w:ascii="Garamond" w:hAnsi="Garamond"/>
          <w:color w:val="000000" w:themeColor="text1"/>
        </w:rPr>
        <w:t>reduc</w:t>
      </w:r>
      <w:r w:rsidR="00274952">
        <w:rPr>
          <w:rFonts w:ascii="Garamond" w:hAnsi="Garamond"/>
          <w:color w:val="000000" w:themeColor="text1"/>
        </w:rPr>
        <w:t>ing</w:t>
      </w:r>
      <w:r w:rsidR="00274952" w:rsidRPr="00FF53CD">
        <w:rPr>
          <w:rFonts w:ascii="Garamond" w:hAnsi="Garamond"/>
          <w:color w:val="000000" w:themeColor="text1"/>
        </w:rPr>
        <w:t xml:space="preserve"> </w:t>
      </w:r>
      <w:r w:rsidRPr="00FF53CD">
        <w:rPr>
          <w:rFonts w:ascii="Garamond" w:hAnsi="Garamond"/>
          <w:color w:val="000000" w:themeColor="text1"/>
        </w:rPr>
        <w:t xml:space="preserve">leverage in </w:t>
      </w:r>
      <w:r w:rsidR="00007869" w:rsidRPr="00FF53CD">
        <w:rPr>
          <w:rFonts w:ascii="Garamond" w:hAnsi="Garamond"/>
          <w:color w:val="000000" w:themeColor="text1"/>
        </w:rPr>
        <w:t>firm</w:t>
      </w:r>
      <w:r w:rsidR="00CC7F48" w:rsidRPr="00FF53CD">
        <w:rPr>
          <w:rFonts w:ascii="Garamond" w:hAnsi="Garamond"/>
          <w:color w:val="000000" w:themeColor="text1"/>
        </w:rPr>
        <w:t>s</w:t>
      </w:r>
      <w:r w:rsidR="00007869" w:rsidRPr="00FF53CD">
        <w:rPr>
          <w:rFonts w:ascii="Garamond" w:hAnsi="Garamond"/>
          <w:color w:val="000000" w:themeColor="text1"/>
        </w:rPr>
        <w:t xml:space="preserve"> with </w:t>
      </w:r>
      <w:r w:rsidRPr="00FF53CD">
        <w:rPr>
          <w:rFonts w:ascii="Garamond" w:hAnsi="Garamond"/>
          <w:color w:val="000000" w:themeColor="text1"/>
        </w:rPr>
        <w:t>boards that are diverse with respect to gender, nationality and age</w:t>
      </w:r>
      <w:r w:rsidR="00105923">
        <w:rPr>
          <w:rFonts w:ascii="Garamond" w:hAnsi="Garamond"/>
          <w:color w:val="000000" w:themeColor="text1"/>
        </w:rPr>
        <w:t>,</w:t>
      </w:r>
      <w:r w:rsidR="009C1565">
        <w:rPr>
          <w:rFonts w:ascii="Garamond" w:hAnsi="Garamond"/>
          <w:color w:val="000000" w:themeColor="text1"/>
        </w:rPr>
        <w:t xml:space="preserve"> and</w:t>
      </w:r>
      <w:r w:rsidR="001D0F4B">
        <w:rPr>
          <w:rFonts w:ascii="Garamond" w:hAnsi="Garamond"/>
          <w:color w:val="000000" w:themeColor="text1"/>
        </w:rPr>
        <w:t xml:space="preserve"> </w:t>
      </w:r>
      <w:r w:rsidRPr="00FF53CD">
        <w:rPr>
          <w:rFonts w:ascii="Garamond" w:hAnsi="Garamond"/>
          <w:color w:val="000000" w:themeColor="text1"/>
        </w:rPr>
        <w:t xml:space="preserve">in firms </w:t>
      </w:r>
      <w:r w:rsidR="00777FF5" w:rsidRPr="00FF53CD">
        <w:rPr>
          <w:rFonts w:ascii="Garamond" w:hAnsi="Garamond"/>
          <w:color w:val="000000" w:themeColor="text1"/>
        </w:rPr>
        <w:t xml:space="preserve">where </w:t>
      </w:r>
      <w:r w:rsidR="001D0F4B">
        <w:rPr>
          <w:rFonts w:ascii="Garamond" w:hAnsi="Garamond"/>
          <w:color w:val="000000" w:themeColor="text1"/>
        </w:rPr>
        <w:t>the Chief Executive Officer (</w:t>
      </w:r>
      <w:r w:rsidR="00777FF5" w:rsidRPr="00FF53CD">
        <w:rPr>
          <w:rFonts w:ascii="Garamond" w:hAnsi="Garamond"/>
          <w:color w:val="000000" w:themeColor="text1"/>
        </w:rPr>
        <w:t>CEO</w:t>
      </w:r>
      <w:r w:rsidR="001D0F4B">
        <w:rPr>
          <w:rFonts w:ascii="Garamond" w:hAnsi="Garamond"/>
          <w:color w:val="000000" w:themeColor="text1"/>
        </w:rPr>
        <w:t>) is</w:t>
      </w:r>
      <w:r w:rsidR="00777FF5" w:rsidRPr="00FF53CD">
        <w:rPr>
          <w:rFonts w:ascii="Garamond" w:hAnsi="Garamond"/>
          <w:color w:val="000000" w:themeColor="text1"/>
        </w:rPr>
        <w:t xml:space="preserve"> not overly powerful.</w:t>
      </w:r>
      <w:r w:rsidR="000B6915" w:rsidRPr="00FF53CD">
        <w:rPr>
          <w:rFonts w:ascii="Garamond" w:hAnsi="Garamond"/>
          <w:color w:val="000000" w:themeColor="text1"/>
        </w:rPr>
        <w:t xml:space="preserve"> </w:t>
      </w:r>
      <w:r w:rsidR="001D0F4B">
        <w:rPr>
          <w:rFonts w:ascii="Garamond" w:hAnsi="Garamond"/>
          <w:color w:val="000000" w:themeColor="text1"/>
        </w:rPr>
        <w:t xml:space="preserve">In addition, we find that </w:t>
      </w:r>
      <w:r w:rsidR="007639AA">
        <w:rPr>
          <w:rFonts w:ascii="Garamond" w:hAnsi="Garamond"/>
          <w:color w:val="000000" w:themeColor="text1"/>
        </w:rPr>
        <w:t xml:space="preserve">externally appointed </w:t>
      </w:r>
      <w:r w:rsidR="00401480">
        <w:rPr>
          <w:rFonts w:ascii="Garamond" w:hAnsi="Garamond"/>
          <w:color w:val="000000" w:themeColor="text1"/>
        </w:rPr>
        <w:t>female CFOs reduc</w:t>
      </w:r>
      <w:r w:rsidR="006B0046">
        <w:rPr>
          <w:rFonts w:ascii="Garamond" w:hAnsi="Garamond"/>
          <w:color w:val="000000" w:themeColor="text1"/>
        </w:rPr>
        <w:t>e</w:t>
      </w:r>
      <w:r w:rsidR="00401480">
        <w:rPr>
          <w:rFonts w:ascii="Garamond" w:hAnsi="Garamond"/>
          <w:color w:val="000000" w:themeColor="text1"/>
        </w:rPr>
        <w:t xml:space="preserve"> leverage</w:t>
      </w:r>
      <w:r w:rsidR="006B0046">
        <w:rPr>
          <w:rFonts w:ascii="Garamond" w:hAnsi="Garamond"/>
          <w:color w:val="000000" w:themeColor="text1"/>
        </w:rPr>
        <w:t xml:space="preserve"> more</w:t>
      </w:r>
      <w:r w:rsidR="00C6368E">
        <w:rPr>
          <w:rFonts w:ascii="Garamond" w:hAnsi="Garamond"/>
          <w:color w:val="000000" w:themeColor="text1"/>
        </w:rPr>
        <w:t>, in line with th</w:t>
      </w:r>
      <w:r w:rsidR="000714F3">
        <w:rPr>
          <w:rFonts w:ascii="Garamond" w:hAnsi="Garamond"/>
          <w:color w:val="000000" w:themeColor="text1"/>
        </w:rPr>
        <w:t xml:space="preserve">em having </w:t>
      </w:r>
      <w:proofErr w:type="gramStart"/>
      <w:r w:rsidR="000714F3">
        <w:rPr>
          <w:rFonts w:ascii="Garamond" w:hAnsi="Garamond"/>
          <w:color w:val="000000" w:themeColor="text1"/>
        </w:rPr>
        <w:t>less allegiance</w:t>
      </w:r>
      <w:r w:rsidR="00824024">
        <w:rPr>
          <w:rFonts w:ascii="Garamond" w:hAnsi="Garamond"/>
          <w:color w:val="000000" w:themeColor="text1"/>
        </w:rPr>
        <w:t>s</w:t>
      </w:r>
      <w:proofErr w:type="gramEnd"/>
      <w:r w:rsidR="000714F3">
        <w:rPr>
          <w:rFonts w:ascii="Garamond" w:hAnsi="Garamond"/>
          <w:color w:val="000000" w:themeColor="text1"/>
        </w:rPr>
        <w:t xml:space="preserve"> to </w:t>
      </w:r>
      <w:r w:rsidR="005A5774">
        <w:rPr>
          <w:rFonts w:ascii="Garamond" w:hAnsi="Garamond"/>
          <w:color w:val="000000" w:themeColor="text1"/>
        </w:rPr>
        <w:t>other top</w:t>
      </w:r>
      <w:r w:rsidR="000714F3">
        <w:rPr>
          <w:rFonts w:ascii="Garamond" w:hAnsi="Garamond"/>
          <w:color w:val="000000" w:themeColor="text1"/>
        </w:rPr>
        <w:t xml:space="preserve"> </w:t>
      </w:r>
      <w:r w:rsidR="005A5774">
        <w:rPr>
          <w:rFonts w:ascii="Garamond" w:hAnsi="Garamond"/>
          <w:color w:val="000000" w:themeColor="text1"/>
        </w:rPr>
        <w:t xml:space="preserve">managers and greater </w:t>
      </w:r>
      <w:r w:rsidR="00105923">
        <w:rPr>
          <w:rFonts w:ascii="Garamond" w:hAnsi="Garamond"/>
          <w:color w:val="000000" w:themeColor="text1"/>
        </w:rPr>
        <w:t>scope</w:t>
      </w:r>
      <w:r w:rsidR="005A5774">
        <w:rPr>
          <w:rFonts w:ascii="Garamond" w:hAnsi="Garamond"/>
          <w:color w:val="000000" w:themeColor="text1"/>
        </w:rPr>
        <w:t xml:space="preserve"> to deviate from existing policies</w:t>
      </w:r>
      <w:r w:rsidR="00401480">
        <w:rPr>
          <w:rFonts w:ascii="Garamond" w:hAnsi="Garamond"/>
          <w:color w:val="000000" w:themeColor="text1"/>
        </w:rPr>
        <w:t xml:space="preserve">. </w:t>
      </w:r>
      <w:r w:rsidR="00105923">
        <w:rPr>
          <w:rFonts w:ascii="Garamond" w:hAnsi="Garamond"/>
          <w:color w:val="000000" w:themeColor="text1"/>
        </w:rPr>
        <w:t xml:space="preserve">Our work </w:t>
      </w:r>
      <w:r w:rsidR="00F93D38">
        <w:rPr>
          <w:rFonts w:ascii="Garamond" w:hAnsi="Garamond"/>
          <w:color w:val="000000" w:themeColor="text1"/>
        </w:rPr>
        <w:t>contribute</w:t>
      </w:r>
      <w:r w:rsidR="00105923">
        <w:rPr>
          <w:rFonts w:ascii="Garamond" w:hAnsi="Garamond"/>
          <w:color w:val="000000" w:themeColor="text1"/>
        </w:rPr>
        <w:t>s</w:t>
      </w:r>
      <w:r w:rsidR="00F93D38">
        <w:rPr>
          <w:rFonts w:ascii="Garamond" w:hAnsi="Garamond"/>
          <w:color w:val="000000" w:themeColor="text1"/>
        </w:rPr>
        <w:t xml:space="preserve"> to the literature by </w:t>
      </w:r>
      <w:r w:rsidR="0098542A">
        <w:rPr>
          <w:rFonts w:ascii="Garamond" w:hAnsi="Garamond"/>
          <w:color w:val="000000" w:themeColor="text1"/>
        </w:rPr>
        <w:t>examining the conditions under which</w:t>
      </w:r>
      <w:r w:rsidR="00101B6B">
        <w:rPr>
          <w:rFonts w:ascii="Garamond" w:hAnsi="Garamond"/>
          <w:color w:val="000000" w:themeColor="text1"/>
        </w:rPr>
        <w:t xml:space="preserve"> </w:t>
      </w:r>
      <w:r w:rsidR="0098542A">
        <w:rPr>
          <w:rFonts w:ascii="Garamond" w:hAnsi="Garamond"/>
          <w:color w:val="000000" w:themeColor="text1"/>
        </w:rPr>
        <w:t xml:space="preserve">gender-specific </w:t>
      </w:r>
      <w:r w:rsidR="00101B6B">
        <w:rPr>
          <w:rFonts w:ascii="Garamond" w:hAnsi="Garamond"/>
          <w:color w:val="000000" w:themeColor="text1"/>
        </w:rPr>
        <w:t>risk-taking preferences lead to observable effects on corporate outcomes</w:t>
      </w:r>
      <w:r w:rsidR="000B6915" w:rsidRPr="00FF53CD">
        <w:rPr>
          <w:rFonts w:ascii="Garamond" w:hAnsi="Garamond"/>
          <w:color w:val="000000" w:themeColor="text1"/>
        </w:rPr>
        <w:t>.</w:t>
      </w:r>
    </w:p>
    <w:p w:rsidR="0057098D" w:rsidRPr="000D73E2" w:rsidRDefault="000D73E2" w:rsidP="005F792E">
      <w:pPr>
        <w:pStyle w:val="a3"/>
        <w:pageBreakBefore/>
        <w:numPr>
          <w:ilvl w:val="0"/>
          <w:numId w:val="1"/>
        </w:numPr>
        <w:ind w:left="714" w:hanging="357"/>
        <w:rPr>
          <w:rFonts w:ascii="Garamond" w:hAnsi="Garamond"/>
          <w:b/>
        </w:rPr>
      </w:pPr>
      <w:r w:rsidRPr="000D73E2">
        <w:rPr>
          <w:rFonts w:ascii="Garamond" w:hAnsi="Garamond"/>
          <w:b/>
        </w:rPr>
        <w:lastRenderedPageBreak/>
        <w:t>Introduction</w:t>
      </w:r>
    </w:p>
    <w:p w:rsidR="0057098D" w:rsidRDefault="0057098D">
      <w:pPr>
        <w:rPr>
          <w:rFonts w:ascii="Garamond" w:hAnsi="Garamond"/>
        </w:rPr>
      </w:pPr>
    </w:p>
    <w:p w:rsidR="003B5DA5" w:rsidRPr="00583BD3" w:rsidRDefault="003B5DA5" w:rsidP="003B5DA5">
      <w:pPr>
        <w:spacing w:line="360" w:lineRule="auto"/>
        <w:jc w:val="both"/>
        <w:rPr>
          <w:rFonts w:ascii="Garamond" w:hAnsi="Garamond"/>
        </w:rPr>
      </w:pPr>
      <w:r w:rsidRPr="00C367D7">
        <w:rPr>
          <w:rFonts w:ascii="Garamond" w:hAnsi="Garamond"/>
        </w:rPr>
        <w:t>A broad literature in psychology and finance suggests that women differ in their preferences and dispositions from men and tend to be more risk-averse, less overconfident and more averse to competition (</w:t>
      </w:r>
      <w:r>
        <w:rPr>
          <w:rFonts w:ascii="Garamond" w:hAnsi="Garamond"/>
        </w:rPr>
        <w:t xml:space="preserve">e.g. Barber and </w:t>
      </w:r>
      <w:proofErr w:type="spellStart"/>
      <w:r>
        <w:rPr>
          <w:rFonts w:ascii="Garamond" w:hAnsi="Garamond"/>
        </w:rPr>
        <w:t>Odean</w:t>
      </w:r>
      <w:proofErr w:type="spellEnd"/>
      <w:r>
        <w:rPr>
          <w:rFonts w:ascii="Garamond" w:hAnsi="Garamond"/>
        </w:rPr>
        <w:t xml:space="preserve">, 2001; </w:t>
      </w:r>
      <w:proofErr w:type="spellStart"/>
      <w:r w:rsidRPr="00C367D7">
        <w:rPr>
          <w:rFonts w:ascii="Garamond" w:hAnsi="Garamond"/>
        </w:rPr>
        <w:t>Croson</w:t>
      </w:r>
      <w:proofErr w:type="spellEnd"/>
      <w:r w:rsidRPr="00C367D7">
        <w:rPr>
          <w:rFonts w:ascii="Garamond" w:hAnsi="Garamond"/>
        </w:rPr>
        <w:t xml:space="preserve"> and </w:t>
      </w:r>
      <w:proofErr w:type="spellStart"/>
      <w:r w:rsidRPr="00C367D7">
        <w:rPr>
          <w:rFonts w:ascii="Garamond" w:hAnsi="Garamond"/>
        </w:rPr>
        <w:t>Gneezy</w:t>
      </w:r>
      <w:proofErr w:type="spellEnd"/>
      <w:r w:rsidRPr="00C367D7">
        <w:rPr>
          <w:rFonts w:ascii="Garamond" w:hAnsi="Garamond"/>
        </w:rPr>
        <w:t xml:space="preserve">, 2009; </w:t>
      </w:r>
      <w:r w:rsidRPr="00F16C06">
        <w:rPr>
          <w:rFonts w:ascii="Garamond" w:hAnsi="Garamond"/>
        </w:rPr>
        <w:t xml:space="preserve">Bertrand, 2011; </w:t>
      </w:r>
      <w:proofErr w:type="spellStart"/>
      <w:r w:rsidRPr="00F16C06">
        <w:rPr>
          <w:rFonts w:ascii="Garamond" w:hAnsi="Garamond"/>
        </w:rPr>
        <w:t>Charness</w:t>
      </w:r>
      <w:proofErr w:type="spellEnd"/>
      <w:r w:rsidRPr="00F16C06">
        <w:rPr>
          <w:rFonts w:ascii="Garamond" w:hAnsi="Garamond"/>
        </w:rPr>
        <w:t xml:space="preserve"> and </w:t>
      </w:r>
      <w:proofErr w:type="spellStart"/>
      <w:r w:rsidRPr="00F16C06">
        <w:rPr>
          <w:rFonts w:ascii="Garamond" w:hAnsi="Garamond"/>
        </w:rPr>
        <w:t>Gneezy</w:t>
      </w:r>
      <w:proofErr w:type="spellEnd"/>
      <w:r w:rsidRPr="00F16C06">
        <w:rPr>
          <w:rFonts w:ascii="Garamond" w:hAnsi="Garamond"/>
        </w:rPr>
        <w:t xml:space="preserve">, 2012). These findings raise </w:t>
      </w:r>
      <w:r w:rsidR="006D76FE" w:rsidRPr="00F16C06">
        <w:rPr>
          <w:rFonts w:ascii="Garamond" w:hAnsi="Garamond"/>
        </w:rPr>
        <w:t xml:space="preserve">the </w:t>
      </w:r>
      <w:r w:rsidRPr="00F16C06">
        <w:rPr>
          <w:rFonts w:ascii="Garamond" w:hAnsi="Garamond"/>
        </w:rPr>
        <w:t>question whether those gender</w:t>
      </w:r>
      <w:r w:rsidRPr="00C367D7">
        <w:rPr>
          <w:rFonts w:ascii="Garamond" w:hAnsi="Garamond"/>
        </w:rPr>
        <w:t xml:space="preserve"> differences are also observable at the highest echelons of the corporate hierarchy</w:t>
      </w:r>
      <w:r>
        <w:rPr>
          <w:rFonts w:ascii="Garamond" w:hAnsi="Garamond"/>
        </w:rPr>
        <w:t xml:space="preserve"> </w:t>
      </w:r>
      <w:r w:rsidRPr="00C367D7">
        <w:rPr>
          <w:rFonts w:ascii="Garamond" w:hAnsi="Garamond"/>
        </w:rPr>
        <w:t>and as such</w:t>
      </w:r>
      <w:r>
        <w:rPr>
          <w:rFonts w:ascii="Garamond" w:hAnsi="Garamond"/>
        </w:rPr>
        <w:t>,</w:t>
      </w:r>
      <w:r w:rsidRPr="00C367D7">
        <w:rPr>
          <w:rFonts w:ascii="Garamond" w:hAnsi="Garamond"/>
        </w:rPr>
        <w:t xml:space="preserve"> have effects for corporate outcomes and resource allocations. Looking at the breadth of literature to date, many studies show that female executives and </w:t>
      </w:r>
      <w:r>
        <w:rPr>
          <w:rFonts w:ascii="Garamond" w:hAnsi="Garamond"/>
        </w:rPr>
        <w:t>directors</w:t>
      </w:r>
      <w:r w:rsidRPr="00C367D7">
        <w:rPr>
          <w:rFonts w:ascii="Garamond" w:hAnsi="Garamond"/>
        </w:rPr>
        <w:t xml:space="preserve"> are linked to more conservative and less risky corporate policies and outcomes, such as a lower propensity to engage in mergers and acquisitions (Huang and </w:t>
      </w:r>
      <w:proofErr w:type="spellStart"/>
      <w:r w:rsidRPr="00C367D7">
        <w:rPr>
          <w:rFonts w:ascii="Garamond" w:hAnsi="Garamond"/>
        </w:rPr>
        <w:t>Kisgen</w:t>
      </w:r>
      <w:proofErr w:type="spellEnd"/>
      <w:r w:rsidRPr="00C367D7">
        <w:rPr>
          <w:rFonts w:ascii="Garamond" w:hAnsi="Garamond"/>
        </w:rPr>
        <w:t xml:space="preserve">, 2013; Levi et la., 2014), lower stock price crash risk (Li and </w:t>
      </w:r>
      <w:proofErr w:type="spellStart"/>
      <w:r w:rsidRPr="00C367D7">
        <w:rPr>
          <w:rFonts w:ascii="Garamond" w:hAnsi="Garamond"/>
        </w:rPr>
        <w:t>Zeng</w:t>
      </w:r>
      <w:proofErr w:type="spellEnd"/>
      <w:r w:rsidRPr="00C367D7">
        <w:rPr>
          <w:rFonts w:ascii="Garamond" w:hAnsi="Garamond"/>
        </w:rPr>
        <w:t xml:space="preserve">, 2019), more conservative financial reporting policies (Francis et al., 2015; </w:t>
      </w:r>
      <w:proofErr w:type="spellStart"/>
      <w:r w:rsidRPr="00C367D7">
        <w:rPr>
          <w:rFonts w:ascii="Garamond" w:hAnsi="Garamond"/>
        </w:rPr>
        <w:t>Srinidhi</w:t>
      </w:r>
      <w:proofErr w:type="spellEnd"/>
      <w:r w:rsidRPr="00C367D7">
        <w:rPr>
          <w:rFonts w:ascii="Garamond" w:hAnsi="Garamond"/>
        </w:rPr>
        <w:t xml:space="preserve"> et al., 2011), and a lower likelihood to manipulate financial statements (Gupta et al., 2020), commit corporate fraud </w:t>
      </w:r>
      <w:r w:rsidRPr="0042676C">
        <w:rPr>
          <w:rFonts w:ascii="Garamond" w:hAnsi="Garamond"/>
        </w:rPr>
        <w:t>(Cumming et al., 2015), or cross-list firms (</w:t>
      </w:r>
      <w:proofErr w:type="spellStart"/>
      <w:r w:rsidRPr="0042676C">
        <w:rPr>
          <w:rFonts w:ascii="Garamond" w:hAnsi="Garamond"/>
        </w:rPr>
        <w:t>Shoham</w:t>
      </w:r>
      <w:proofErr w:type="spellEnd"/>
      <w:r w:rsidRPr="0042676C">
        <w:rPr>
          <w:rFonts w:ascii="Garamond" w:hAnsi="Garamond"/>
        </w:rPr>
        <w:t xml:space="preserve"> et al., 2020). Further studies document stronger risk-aversion among female corporate executives as an explanation for the gender gap in executive compensation (e.g. Carter et al., 2017). Looking in particular at female executives’ impact on a firm’s capital structure, one of the most important corporate policies, existing studies find that firms run by female executives have lower leverage (</w:t>
      </w:r>
      <w:proofErr w:type="spellStart"/>
      <w:r w:rsidRPr="0042676C">
        <w:rPr>
          <w:rFonts w:ascii="Garamond" w:hAnsi="Garamond"/>
        </w:rPr>
        <w:t>Faccio</w:t>
      </w:r>
      <w:proofErr w:type="spellEnd"/>
      <w:r w:rsidRPr="0042676C">
        <w:rPr>
          <w:rFonts w:ascii="Garamond" w:hAnsi="Garamond"/>
        </w:rPr>
        <w:t xml:space="preserve"> et al., 2016) and issue less debt (Huan</w:t>
      </w:r>
      <w:r w:rsidRPr="00583BD3">
        <w:rPr>
          <w:rFonts w:ascii="Garamond" w:hAnsi="Garamond"/>
        </w:rPr>
        <w:t xml:space="preserve">g and </w:t>
      </w:r>
      <w:proofErr w:type="spellStart"/>
      <w:r w:rsidRPr="00583BD3">
        <w:rPr>
          <w:rFonts w:ascii="Garamond" w:hAnsi="Garamond"/>
        </w:rPr>
        <w:t>Kisgen</w:t>
      </w:r>
      <w:proofErr w:type="spellEnd"/>
      <w:r w:rsidRPr="00583BD3">
        <w:rPr>
          <w:rFonts w:ascii="Garamond" w:hAnsi="Garamond"/>
        </w:rPr>
        <w:t xml:space="preserve">, 2013), in line with risk-avoidance behaviour by female leaders. </w:t>
      </w:r>
    </w:p>
    <w:p w:rsidR="003B5DA5" w:rsidRPr="007456CF" w:rsidRDefault="003B5DA5" w:rsidP="003B5DA5">
      <w:pPr>
        <w:spacing w:line="360" w:lineRule="auto"/>
        <w:jc w:val="both"/>
        <w:rPr>
          <w:rFonts w:ascii="Garamond" w:hAnsi="Garamond"/>
        </w:rPr>
      </w:pPr>
    </w:p>
    <w:p w:rsidR="003B5DA5" w:rsidRDefault="003B5DA5" w:rsidP="003B5DA5">
      <w:pPr>
        <w:spacing w:line="360" w:lineRule="auto"/>
        <w:jc w:val="both"/>
        <w:rPr>
          <w:rFonts w:ascii="Garamond" w:hAnsi="Garamond"/>
        </w:rPr>
      </w:pPr>
      <w:r w:rsidRPr="0061560C">
        <w:rPr>
          <w:rFonts w:ascii="Garamond" w:hAnsi="Garamond"/>
        </w:rPr>
        <w:t xml:space="preserve">However, </w:t>
      </w:r>
      <w:r w:rsidRPr="0042676C">
        <w:rPr>
          <w:rFonts w:ascii="Garamond" w:hAnsi="Garamond"/>
        </w:rPr>
        <w:t xml:space="preserve">evidence </w:t>
      </w:r>
      <w:r w:rsidR="00DB0821" w:rsidRPr="0042676C">
        <w:rPr>
          <w:rFonts w:ascii="Garamond" w:hAnsi="Garamond"/>
        </w:rPr>
        <w:t xml:space="preserve">in the literature </w:t>
      </w:r>
      <w:r w:rsidRPr="0042676C">
        <w:rPr>
          <w:rFonts w:ascii="Garamond" w:hAnsi="Garamond"/>
        </w:rPr>
        <w:t xml:space="preserve">is not unanimous. Some research shows that women who enter the executive suite are at least equally risk seeking and competitive as their male counterparts (e.g. Adams and Funk, 2012; Berger et al., 2014; Adams and </w:t>
      </w:r>
      <w:proofErr w:type="spellStart"/>
      <w:r w:rsidRPr="0042676C">
        <w:rPr>
          <w:rFonts w:ascii="Garamond" w:hAnsi="Garamond"/>
        </w:rPr>
        <w:t>Ragunathan</w:t>
      </w:r>
      <w:proofErr w:type="spellEnd"/>
      <w:r w:rsidRPr="0042676C">
        <w:rPr>
          <w:rFonts w:ascii="Garamond" w:hAnsi="Garamond"/>
        </w:rPr>
        <w:t>, 2017), while other studies do not document a significant link between board gender diversity and firm risk-taking (</w:t>
      </w:r>
      <w:proofErr w:type="spellStart"/>
      <w:r w:rsidRPr="0042676C">
        <w:rPr>
          <w:rFonts w:ascii="Garamond" w:hAnsi="Garamond"/>
        </w:rPr>
        <w:t>Sila</w:t>
      </w:r>
      <w:proofErr w:type="spellEnd"/>
      <w:r w:rsidRPr="0042676C">
        <w:rPr>
          <w:rFonts w:ascii="Garamond" w:hAnsi="Garamond"/>
        </w:rPr>
        <w:t xml:space="preserve"> et al., 2016; Garcia Lara et al., 2017). Regarding effects on corporate leverage, </w:t>
      </w:r>
      <w:proofErr w:type="spellStart"/>
      <w:r w:rsidRPr="0042676C">
        <w:rPr>
          <w:rFonts w:ascii="Garamond" w:hAnsi="Garamond"/>
        </w:rPr>
        <w:t>Matsa</w:t>
      </w:r>
      <w:proofErr w:type="spellEnd"/>
      <w:r w:rsidRPr="0042676C">
        <w:rPr>
          <w:rFonts w:ascii="Garamond" w:hAnsi="Garamond"/>
        </w:rPr>
        <w:t xml:space="preserve"> and Miller (2013: 161) </w:t>
      </w:r>
      <w:r w:rsidR="00F50B5C" w:rsidRPr="0042676C">
        <w:rPr>
          <w:rFonts w:ascii="Garamond" w:hAnsi="Garamond"/>
        </w:rPr>
        <w:t>study</w:t>
      </w:r>
      <w:r w:rsidRPr="0042676C">
        <w:rPr>
          <w:rFonts w:ascii="Garamond" w:hAnsi="Garamond"/>
        </w:rPr>
        <w:t xml:space="preserve"> the impact of gender quotas in Norway </w:t>
      </w:r>
      <w:r w:rsidR="00F50B5C" w:rsidRPr="0042676C">
        <w:rPr>
          <w:rFonts w:ascii="Garamond" w:hAnsi="Garamond"/>
        </w:rPr>
        <w:t xml:space="preserve">and they </w:t>
      </w:r>
      <w:r w:rsidRPr="0042676C">
        <w:rPr>
          <w:rFonts w:ascii="Garamond" w:hAnsi="Garamond"/>
        </w:rPr>
        <w:t>do not find a change in firm leverage after</w:t>
      </w:r>
      <w:r w:rsidRPr="00C367D7">
        <w:rPr>
          <w:rFonts w:ascii="Garamond" w:hAnsi="Garamond"/>
        </w:rPr>
        <w:t xml:space="preserve"> a board</w:t>
      </w:r>
      <w:r>
        <w:rPr>
          <w:rFonts w:ascii="Garamond" w:hAnsi="Garamond"/>
        </w:rPr>
        <w:t xml:space="preserve"> </w:t>
      </w:r>
      <w:r w:rsidRPr="00C367D7">
        <w:rPr>
          <w:rFonts w:ascii="Garamond" w:hAnsi="Garamond"/>
        </w:rPr>
        <w:t>gender quota is introduced</w:t>
      </w:r>
      <w:r w:rsidR="00F50B5C">
        <w:rPr>
          <w:rFonts w:ascii="Garamond" w:hAnsi="Garamond"/>
        </w:rPr>
        <w:t xml:space="preserve">, concluding </w:t>
      </w:r>
      <w:r w:rsidRPr="00C367D7">
        <w:rPr>
          <w:rFonts w:ascii="Garamond" w:hAnsi="Garamond"/>
        </w:rPr>
        <w:t xml:space="preserve">that “risk aversion may not be a distinctive part of women's approach to corporate decision-making”. Taken together, these findings imply that the link between gender-specific differences in managerial risk-taking and their effects on organisational outcomes, such as corporate leverage, are more complex and multi-faceted than the previous literature might suggest. </w:t>
      </w:r>
    </w:p>
    <w:p w:rsidR="003B5DA5" w:rsidRPr="00C367D7" w:rsidRDefault="003B5DA5" w:rsidP="003B5DA5">
      <w:pPr>
        <w:spacing w:line="360" w:lineRule="auto"/>
        <w:jc w:val="both"/>
        <w:rPr>
          <w:rFonts w:ascii="Garamond" w:hAnsi="Garamond"/>
        </w:rPr>
      </w:pPr>
    </w:p>
    <w:p w:rsidR="003B5DA5" w:rsidRDefault="003B5DA5" w:rsidP="003B5DA5">
      <w:pPr>
        <w:spacing w:line="360" w:lineRule="auto"/>
        <w:jc w:val="both"/>
        <w:rPr>
          <w:rFonts w:ascii="Garamond" w:hAnsi="Garamond"/>
        </w:rPr>
      </w:pPr>
      <w:r w:rsidRPr="00C367D7">
        <w:rPr>
          <w:rFonts w:ascii="Garamond" w:hAnsi="Garamond"/>
        </w:rPr>
        <w:t xml:space="preserve">We contribute to this literature by approaching the question of gender-specific differences in corporate leverage choices from a new </w:t>
      </w:r>
      <w:r>
        <w:rPr>
          <w:rFonts w:ascii="Garamond" w:hAnsi="Garamond"/>
        </w:rPr>
        <w:t>perspective:</w:t>
      </w:r>
      <w:r w:rsidRPr="00C367D7">
        <w:rPr>
          <w:rFonts w:ascii="Garamond" w:hAnsi="Garamond"/>
        </w:rPr>
        <w:t xml:space="preserve"> we examine under which conditions gender </w:t>
      </w:r>
      <w:r w:rsidRPr="00C367D7">
        <w:rPr>
          <w:rFonts w:ascii="Garamond" w:hAnsi="Garamond"/>
        </w:rPr>
        <w:lastRenderedPageBreak/>
        <w:t>differences are observed and whether these conditions can tell us something about female leaders’ risk-taking preferences and the impact of gender on corporate policies. In particular</w:t>
      </w:r>
      <w:r w:rsidRPr="00C367D7">
        <w:rPr>
          <w:rFonts w:ascii="Garamond" w:hAnsi="Garamond"/>
          <w:color w:val="000000" w:themeColor="text1"/>
        </w:rPr>
        <w:t xml:space="preserve">, we extend the prior work by </w:t>
      </w:r>
      <w:r w:rsidRPr="00C367D7">
        <w:rPr>
          <w:rFonts w:ascii="Garamond" w:hAnsi="Garamond"/>
        </w:rPr>
        <w:t xml:space="preserve">Huang and </w:t>
      </w:r>
      <w:proofErr w:type="spellStart"/>
      <w:r w:rsidRPr="00C367D7">
        <w:rPr>
          <w:rFonts w:ascii="Garamond" w:hAnsi="Garamond"/>
        </w:rPr>
        <w:t>Kisgen</w:t>
      </w:r>
      <w:proofErr w:type="spellEnd"/>
      <w:r w:rsidRPr="00C367D7">
        <w:rPr>
          <w:rFonts w:ascii="Garamond" w:hAnsi="Garamond"/>
        </w:rPr>
        <w:t xml:space="preserve"> (2013) </w:t>
      </w:r>
      <w:r>
        <w:rPr>
          <w:rFonts w:ascii="Garamond" w:hAnsi="Garamond"/>
        </w:rPr>
        <w:t xml:space="preserve">and </w:t>
      </w:r>
      <w:proofErr w:type="spellStart"/>
      <w:r w:rsidRPr="00C367D7">
        <w:rPr>
          <w:rFonts w:ascii="Garamond" w:hAnsi="Garamond"/>
        </w:rPr>
        <w:t>Faccio</w:t>
      </w:r>
      <w:proofErr w:type="spellEnd"/>
      <w:r w:rsidRPr="00C367D7">
        <w:rPr>
          <w:rFonts w:ascii="Garamond" w:hAnsi="Garamond"/>
        </w:rPr>
        <w:t xml:space="preserve"> et al. (2016) </w:t>
      </w:r>
      <w:r w:rsidRPr="00C367D7">
        <w:rPr>
          <w:rFonts w:ascii="Garamond" w:hAnsi="Garamond"/>
          <w:color w:val="000000" w:themeColor="text1"/>
        </w:rPr>
        <w:t xml:space="preserve">by analysing the impact of female CFOs on corporate leverage for a sample of UK public corporation and, unlike prior studies, we explicitly consider the managerial decision-making environment under which female CFOs affect leverage. </w:t>
      </w:r>
      <w:r>
        <w:rPr>
          <w:rFonts w:ascii="Garamond" w:hAnsi="Garamond"/>
          <w:color w:val="000000" w:themeColor="text1"/>
        </w:rPr>
        <w:t xml:space="preserve">We show that female CFOs are associated with lower leverage, but only in </w:t>
      </w:r>
      <w:r w:rsidRPr="0056769C">
        <w:rPr>
          <w:rFonts w:ascii="Garamond" w:hAnsi="Garamond"/>
          <w:color w:val="000000" w:themeColor="text1"/>
        </w:rPr>
        <w:t xml:space="preserve">firms that are not </w:t>
      </w:r>
      <w:r w:rsidRPr="00F2161E">
        <w:rPr>
          <w:rFonts w:ascii="Garamond" w:hAnsi="Garamond"/>
          <w:color w:val="000000" w:themeColor="text1"/>
        </w:rPr>
        <w:t xml:space="preserve">run by a powerful CEO, firms with high levels of board diversity and </w:t>
      </w:r>
      <w:r>
        <w:rPr>
          <w:rFonts w:ascii="Garamond" w:hAnsi="Garamond"/>
          <w:color w:val="000000" w:themeColor="text1"/>
        </w:rPr>
        <w:t>if</w:t>
      </w:r>
      <w:r w:rsidRPr="00F2161E">
        <w:rPr>
          <w:rFonts w:ascii="Garamond" w:hAnsi="Garamond"/>
          <w:color w:val="000000" w:themeColor="text1"/>
        </w:rPr>
        <w:t xml:space="preserve"> female CFOs are externally appointed. </w:t>
      </w:r>
      <w:r w:rsidRPr="007D625E">
        <w:rPr>
          <w:rFonts w:ascii="Garamond" w:eastAsiaTheme="minorHAnsi" w:hAnsi="Garamond" w:cstheme="minorBidi"/>
          <w:color w:val="000000" w:themeColor="text1"/>
        </w:rPr>
        <w:t>We focus on the impact of CFO gender on corporate leverage, as the role of the CFO provides us with an ideal testing ground for the conditions under which managerial gender differences might be observed due to leverage</w:t>
      </w:r>
      <w:r>
        <w:rPr>
          <w:rFonts w:ascii="Garamond" w:hAnsi="Garamond"/>
          <w:color w:val="000000" w:themeColor="text1"/>
        </w:rPr>
        <w:t xml:space="preserve"> </w:t>
      </w:r>
      <w:r w:rsidRPr="007D625E">
        <w:rPr>
          <w:rFonts w:ascii="Garamond" w:eastAsiaTheme="minorHAnsi" w:hAnsi="Garamond" w:cstheme="minorBidi"/>
          <w:color w:val="000000" w:themeColor="text1"/>
        </w:rPr>
        <w:t xml:space="preserve">falling under </w:t>
      </w:r>
      <w:proofErr w:type="spellStart"/>
      <w:r w:rsidRPr="007D625E">
        <w:rPr>
          <w:rFonts w:ascii="Garamond" w:eastAsiaTheme="minorHAnsi" w:hAnsi="Garamond" w:cstheme="minorBidi"/>
          <w:color w:val="000000" w:themeColor="text1"/>
        </w:rPr>
        <w:t>CFOs’</w:t>
      </w:r>
      <w:proofErr w:type="spellEnd"/>
      <w:r w:rsidRPr="007D625E">
        <w:rPr>
          <w:rFonts w:ascii="Garamond" w:eastAsiaTheme="minorHAnsi" w:hAnsi="Garamond" w:cstheme="minorBidi"/>
          <w:color w:val="000000" w:themeColor="text1"/>
        </w:rPr>
        <w:t xml:space="preserve"> area of responsibility in UK </w:t>
      </w:r>
      <w:r w:rsidRPr="00DB0821">
        <w:rPr>
          <w:rFonts w:ascii="Garamond" w:eastAsiaTheme="minorHAnsi" w:hAnsi="Garamond" w:cstheme="minorBidi"/>
        </w:rPr>
        <w:t xml:space="preserve">corporations (Beattie et al., 2006) </w:t>
      </w:r>
      <w:r w:rsidRPr="007D625E">
        <w:rPr>
          <w:rFonts w:ascii="Garamond" w:eastAsiaTheme="minorHAnsi" w:hAnsi="Garamond" w:cstheme="minorBidi"/>
          <w:color w:val="000000" w:themeColor="text1"/>
        </w:rPr>
        <w:t xml:space="preserve">and </w:t>
      </w:r>
      <w:proofErr w:type="spellStart"/>
      <w:r w:rsidRPr="007D625E">
        <w:rPr>
          <w:rFonts w:ascii="Garamond" w:eastAsiaTheme="minorHAnsi" w:hAnsi="Garamond" w:cstheme="minorBidi"/>
          <w:color w:val="000000" w:themeColor="text1"/>
        </w:rPr>
        <w:t>CFOs’</w:t>
      </w:r>
      <w:proofErr w:type="spellEnd"/>
      <w:r w:rsidRPr="007D625E">
        <w:rPr>
          <w:rFonts w:ascii="Garamond" w:eastAsiaTheme="minorHAnsi" w:hAnsi="Garamond" w:cstheme="minorBidi"/>
          <w:color w:val="000000" w:themeColor="text1"/>
        </w:rPr>
        <w:t xml:space="preserve"> </w:t>
      </w:r>
      <w:r w:rsidRPr="007D625E">
        <w:rPr>
          <w:rFonts w:ascii="Garamond" w:eastAsiaTheme="minorHAnsi" w:hAnsi="Garamond" w:cstheme="minorBidi"/>
        </w:rPr>
        <w:t xml:space="preserve">varied relationships with other key decision makers in the firm, namely the CEO and the board. </w:t>
      </w:r>
      <w:r>
        <w:rPr>
          <w:rFonts w:ascii="Garamond" w:hAnsi="Garamond"/>
        </w:rPr>
        <w:t>In addition, leverage is a</w:t>
      </w:r>
      <w:r w:rsidRPr="00B062E8">
        <w:rPr>
          <w:rFonts w:ascii="Garamond" w:hAnsi="Garamond"/>
        </w:rPr>
        <w:t xml:space="preserve"> widely known indicator for a firm’s riskiness (Molina 2005; </w:t>
      </w:r>
      <w:proofErr w:type="spellStart"/>
      <w:r w:rsidRPr="00B062E8">
        <w:rPr>
          <w:rFonts w:ascii="Garamond" w:hAnsi="Garamond"/>
        </w:rPr>
        <w:t>Bhagat</w:t>
      </w:r>
      <w:proofErr w:type="spellEnd"/>
      <w:r w:rsidRPr="00B062E8">
        <w:rPr>
          <w:rFonts w:ascii="Garamond" w:hAnsi="Garamond"/>
        </w:rPr>
        <w:t xml:space="preserve"> et al. 2015; </w:t>
      </w:r>
      <w:proofErr w:type="spellStart"/>
      <w:r w:rsidRPr="00B062E8">
        <w:rPr>
          <w:rFonts w:ascii="Garamond" w:hAnsi="Garamond"/>
        </w:rPr>
        <w:t>Faccio</w:t>
      </w:r>
      <w:proofErr w:type="spellEnd"/>
      <w:r w:rsidRPr="00B062E8">
        <w:rPr>
          <w:rFonts w:ascii="Garamond" w:hAnsi="Garamond"/>
        </w:rPr>
        <w:t xml:space="preserve"> et al. 2016)</w:t>
      </w:r>
      <w:r>
        <w:rPr>
          <w:rFonts w:ascii="Garamond" w:hAnsi="Garamond"/>
        </w:rPr>
        <w:t xml:space="preserve"> and enables us to analyse whether</w:t>
      </w:r>
      <w:r w:rsidR="00FC26AA">
        <w:rPr>
          <w:rFonts w:ascii="Garamond" w:hAnsi="Garamond"/>
        </w:rPr>
        <w:t>, and under which conditions,</w:t>
      </w:r>
      <w:r>
        <w:rPr>
          <w:rFonts w:ascii="Garamond" w:hAnsi="Garamond"/>
        </w:rPr>
        <w:t xml:space="preserve"> gender differences in corporate risk-taking can be observed.</w:t>
      </w:r>
    </w:p>
    <w:p w:rsidR="003B5DA5" w:rsidRPr="007D625E" w:rsidRDefault="003B5DA5" w:rsidP="003B5DA5">
      <w:pPr>
        <w:spacing w:line="360" w:lineRule="auto"/>
        <w:jc w:val="both"/>
        <w:rPr>
          <w:rFonts w:ascii="Garamond" w:eastAsiaTheme="minorHAnsi" w:hAnsi="Garamond" w:cstheme="minorBidi"/>
        </w:rPr>
      </w:pPr>
    </w:p>
    <w:p w:rsidR="003B5DA5" w:rsidRPr="00C367D7" w:rsidRDefault="003B5DA5" w:rsidP="003B5DA5">
      <w:pPr>
        <w:pStyle w:val="a7"/>
        <w:spacing w:before="0" w:beforeAutospacing="0" w:after="160" w:afterAutospacing="0" w:line="360" w:lineRule="auto"/>
        <w:jc w:val="both"/>
        <w:rPr>
          <w:rFonts w:ascii="Garamond" w:hAnsi="Garamond"/>
        </w:rPr>
      </w:pPr>
      <w:r w:rsidRPr="00DB0821">
        <w:rPr>
          <w:rFonts w:ascii="Garamond" w:hAnsi="Garamond"/>
          <w:color w:val="000000" w:themeColor="text1"/>
        </w:rPr>
        <w:t xml:space="preserve">The </w:t>
      </w:r>
      <w:r w:rsidRPr="00DB0821">
        <w:rPr>
          <w:rFonts w:ascii="Garamond" w:hAnsi="Garamond"/>
        </w:rPr>
        <w:t xml:space="preserve">CFO has arguably become the most important corporate executive other than the CEO (e.g., </w:t>
      </w:r>
      <w:proofErr w:type="spellStart"/>
      <w:r w:rsidRPr="00DB0821">
        <w:rPr>
          <w:rFonts w:ascii="Garamond" w:hAnsi="Garamond"/>
        </w:rPr>
        <w:t>Chasan</w:t>
      </w:r>
      <w:proofErr w:type="spellEnd"/>
      <w:r w:rsidRPr="00DB0821">
        <w:rPr>
          <w:rFonts w:ascii="Garamond" w:hAnsi="Garamond"/>
        </w:rPr>
        <w:t xml:space="preserve"> and Murphy, 2013; Wood, 2013). With responsibilities spanning financial reporting, capital structure allocations, financial planning and financial risk management, CFOs have oversight over key areas of firms’ strategic decision making (</w:t>
      </w:r>
      <w:proofErr w:type="spellStart"/>
      <w:r w:rsidRPr="00DB0821">
        <w:rPr>
          <w:rFonts w:ascii="Garamond" w:hAnsi="Garamond"/>
          <w:color w:val="000000" w:themeColor="text1"/>
        </w:rPr>
        <w:t>Hoitash</w:t>
      </w:r>
      <w:proofErr w:type="spellEnd"/>
      <w:r w:rsidRPr="00DB0821">
        <w:rPr>
          <w:rFonts w:ascii="Garamond" w:hAnsi="Garamond"/>
          <w:color w:val="000000" w:themeColor="text1"/>
        </w:rPr>
        <w:t xml:space="preserve"> et al., 2016;</w:t>
      </w:r>
      <w:r w:rsidRPr="00C367D7">
        <w:rPr>
          <w:rFonts w:ascii="Garamond" w:hAnsi="Garamond"/>
          <w:color w:val="000000" w:themeColor="text1"/>
        </w:rPr>
        <w:t xml:space="preserve"> </w:t>
      </w:r>
      <w:r w:rsidRPr="00C367D7">
        <w:rPr>
          <w:rFonts w:ascii="Garamond" w:hAnsi="Garamond"/>
        </w:rPr>
        <w:t xml:space="preserve">Ham et al., 2017). However, a large share of the literature investigating the effect of managerial gender on corporate policies and financial performance focuses on the role of CEOs and female board representation (e.g. Levi et al., 2014; </w:t>
      </w:r>
      <w:proofErr w:type="spellStart"/>
      <w:r w:rsidRPr="00C367D7">
        <w:rPr>
          <w:rFonts w:ascii="Garamond" w:hAnsi="Garamond"/>
        </w:rPr>
        <w:t>Faccio</w:t>
      </w:r>
      <w:proofErr w:type="spellEnd"/>
      <w:r w:rsidRPr="00C367D7">
        <w:rPr>
          <w:rFonts w:ascii="Garamond" w:hAnsi="Garamond"/>
        </w:rPr>
        <w:t xml:space="preserve"> et al., 2016; </w:t>
      </w:r>
      <w:proofErr w:type="spellStart"/>
      <w:r w:rsidRPr="00C367D7">
        <w:rPr>
          <w:rFonts w:ascii="Garamond" w:hAnsi="Garamond"/>
        </w:rPr>
        <w:t>Matsa</w:t>
      </w:r>
      <w:proofErr w:type="spellEnd"/>
      <w:r w:rsidRPr="00C367D7">
        <w:rPr>
          <w:rFonts w:ascii="Garamond" w:hAnsi="Garamond"/>
        </w:rPr>
        <w:t xml:space="preserve"> and Miller, 2013), </w:t>
      </w:r>
      <w:r w:rsidRPr="00D95436">
        <w:rPr>
          <w:rFonts w:ascii="Garamond" w:hAnsi="Garamond"/>
        </w:rPr>
        <w:t xml:space="preserve">whereas </w:t>
      </w:r>
      <w:r w:rsidRPr="00C367D7">
        <w:rPr>
          <w:rFonts w:ascii="Garamond" w:hAnsi="Garamond"/>
        </w:rPr>
        <w:t>the role of the CFO has so far received less attention, despite its growing importance in modern corporations (</w:t>
      </w:r>
      <w:proofErr w:type="spellStart"/>
      <w:r w:rsidRPr="00C367D7">
        <w:rPr>
          <w:rFonts w:ascii="Garamond" w:hAnsi="Garamond"/>
        </w:rPr>
        <w:t>Uhde</w:t>
      </w:r>
      <w:proofErr w:type="spellEnd"/>
      <w:r w:rsidRPr="00C367D7">
        <w:rPr>
          <w:rFonts w:ascii="Garamond" w:hAnsi="Garamond"/>
        </w:rPr>
        <w:t xml:space="preserve"> et al., 2017; Zorn, 2004). As pointed out by Gupta et al. (2020: 804), “[t]he inattention to CFOs [in the academic literature] is particularly troubling when it comes to corporate financial decisions, which is an area where the CFO wields substantial influence”. </w:t>
      </w:r>
    </w:p>
    <w:p w:rsidR="003B5DA5" w:rsidRPr="00C367D7" w:rsidRDefault="003B5DA5" w:rsidP="003B5DA5">
      <w:pPr>
        <w:pStyle w:val="a7"/>
        <w:spacing w:before="0" w:beforeAutospacing="0" w:after="160" w:afterAutospacing="0" w:line="360" w:lineRule="auto"/>
        <w:jc w:val="both"/>
        <w:rPr>
          <w:rFonts w:ascii="Garamond" w:hAnsi="Garamond"/>
        </w:rPr>
      </w:pPr>
      <w:r w:rsidRPr="00C367D7">
        <w:rPr>
          <w:rFonts w:ascii="Garamond" w:hAnsi="Garamond"/>
        </w:rPr>
        <w:t xml:space="preserve">A small but growing stream of literature on the role of CFOs suggests that in several areas the characteristics of the CFO are more important in explaining corporate policies and performance than those of the CEO, such as firms’ capital structure (Bertrand and </w:t>
      </w:r>
      <w:proofErr w:type="spellStart"/>
      <w:r w:rsidRPr="00C367D7">
        <w:rPr>
          <w:rFonts w:ascii="Garamond" w:hAnsi="Garamond"/>
        </w:rPr>
        <w:t>Schoar</w:t>
      </w:r>
      <w:proofErr w:type="spellEnd"/>
      <w:r w:rsidRPr="00C367D7">
        <w:rPr>
          <w:rFonts w:ascii="Garamond" w:hAnsi="Garamond"/>
        </w:rPr>
        <w:t xml:space="preserve">, 2003; Frank and </w:t>
      </w:r>
      <w:proofErr w:type="spellStart"/>
      <w:r w:rsidRPr="00C367D7">
        <w:rPr>
          <w:rFonts w:ascii="Garamond" w:hAnsi="Garamond"/>
        </w:rPr>
        <w:t>Goyal</w:t>
      </w:r>
      <w:proofErr w:type="spellEnd"/>
      <w:r w:rsidRPr="00C367D7">
        <w:rPr>
          <w:rFonts w:ascii="Garamond" w:hAnsi="Garamond"/>
        </w:rPr>
        <w:t xml:space="preserve">, 2007). In particular, Frank and </w:t>
      </w:r>
      <w:proofErr w:type="spellStart"/>
      <w:r w:rsidRPr="00C367D7">
        <w:rPr>
          <w:rFonts w:ascii="Garamond" w:hAnsi="Garamond"/>
        </w:rPr>
        <w:t>Goyal</w:t>
      </w:r>
      <w:proofErr w:type="spellEnd"/>
      <w:r w:rsidRPr="00C367D7">
        <w:rPr>
          <w:rFonts w:ascii="Garamond" w:hAnsi="Garamond"/>
        </w:rPr>
        <w:t xml:space="preserve"> (2007) show that CFOs are more </w:t>
      </w:r>
      <w:r>
        <w:rPr>
          <w:rFonts w:ascii="Garamond" w:hAnsi="Garamond"/>
        </w:rPr>
        <w:t>influential</w:t>
      </w:r>
      <w:r w:rsidRPr="00C367D7">
        <w:rPr>
          <w:rFonts w:ascii="Garamond" w:hAnsi="Garamond"/>
        </w:rPr>
        <w:t xml:space="preserve"> than CEOs in </w:t>
      </w:r>
      <w:r>
        <w:rPr>
          <w:rFonts w:ascii="Garamond" w:hAnsi="Garamond"/>
        </w:rPr>
        <w:t>determining</w:t>
      </w:r>
      <w:r w:rsidRPr="00C367D7">
        <w:rPr>
          <w:rFonts w:ascii="Garamond" w:hAnsi="Garamond"/>
        </w:rPr>
        <w:t xml:space="preserve"> firms’ leverage. Hence, we can reasonably assume that potential changes in </w:t>
      </w:r>
      <w:r w:rsidR="00DB0821">
        <w:rPr>
          <w:rFonts w:ascii="Garamond" w:hAnsi="Garamond"/>
        </w:rPr>
        <w:lastRenderedPageBreak/>
        <w:t xml:space="preserve">a </w:t>
      </w:r>
      <w:r w:rsidRPr="00C367D7">
        <w:rPr>
          <w:rFonts w:ascii="Garamond" w:hAnsi="Garamond"/>
        </w:rPr>
        <w:t>firm</w:t>
      </w:r>
      <w:r w:rsidR="00352719">
        <w:rPr>
          <w:rFonts w:ascii="Garamond" w:hAnsi="Garamond"/>
        </w:rPr>
        <w:t>’</w:t>
      </w:r>
      <w:r w:rsidRPr="00C367D7">
        <w:rPr>
          <w:rFonts w:ascii="Garamond" w:hAnsi="Garamond"/>
        </w:rPr>
        <w:t>s leverage reflect the decisions made by the CFO, which in effect enables us to more confidently associate observable differences in firms’ leverage levels to CFO gender effects.</w:t>
      </w:r>
      <w:r w:rsidRPr="00C367D7">
        <w:rPr>
          <w:rStyle w:val="a9"/>
          <w:rFonts w:ascii="Garamond" w:hAnsi="Garamond"/>
        </w:rPr>
        <w:footnoteReference w:id="1"/>
      </w:r>
      <w:r w:rsidRPr="00C367D7">
        <w:rPr>
          <w:rFonts w:ascii="Garamond" w:hAnsi="Garamond"/>
        </w:rPr>
        <w:t xml:space="preserve"> </w:t>
      </w:r>
    </w:p>
    <w:p w:rsidR="003B5DA5" w:rsidRPr="00C367D7" w:rsidRDefault="003B5DA5" w:rsidP="003B5DA5">
      <w:pPr>
        <w:pStyle w:val="a7"/>
        <w:spacing w:before="0" w:beforeAutospacing="0" w:after="160" w:afterAutospacing="0" w:line="360" w:lineRule="auto"/>
        <w:jc w:val="both"/>
        <w:rPr>
          <w:rFonts w:ascii="Garamond" w:hAnsi="Garamond"/>
          <w:lang w:val="en-US"/>
        </w:rPr>
      </w:pPr>
      <w:r w:rsidRPr="00C367D7">
        <w:rPr>
          <w:rFonts w:ascii="Garamond" w:hAnsi="Garamond"/>
        </w:rPr>
        <w:t xml:space="preserve">Leverage is a widely known indicator for a firm’s riskiness as higher leverage is shown to raise a firm’s likelihood of financial distress and default risk (Molina 2005; </w:t>
      </w:r>
      <w:proofErr w:type="spellStart"/>
      <w:r w:rsidRPr="00C367D7">
        <w:rPr>
          <w:rFonts w:ascii="Garamond" w:hAnsi="Garamond"/>
        </w:rPr>
        <w:t>Bhagat</w:t>
      </w:r>
      <w:proofErr w:type="spellEnd"/>
      <w:r w:rsidRPr="00C367D7">
        <w:rPr>
          <w:rFonts w:ascii="Garamond" w:hAnsi="Garamond"/>
        </w:rPr>
        <w:t xml:space="preserve"> et al. 2015; </w:t>
      </w:r>
      <w:proofErr w:type="spellStart"/>
      <w:r w:rsidRPr="00C367D7">
        <w:rPr>
          <w:rFonts w:ascii="Garamond" w:hAnsi="Garamond"/>
        </w:rPr>
        <w:t>Faccio</w:t>
      </w:r>
      <w:proofErr w:type="spellEnd"/>
      <w:r w:rsidRPr="00C367D7">
        <w:rPr>
          <w:rFonts w:ascii="Garamond" w:hAnsi="Garamond"/>
        </w:rPr>
        <w:t xml:space="preserve"> et al. 2016). Existing literature finds that the leverage-induced increase in corporate risk affects managers’ career risk as managers of firms experiencing financial distress and default have a higher likelihood of career turnover (Gilson, 1989; </w:t>
      </w:r>
      <w:proofErr w:type="spellStart"/>
      <w:r w:rsidRPr="00C367D7">
        <w:rPr>
          <w:rFonts w:ascii="Garamond" w:hAnsi="Garamond"/>
        </w:rPr>
        <w:t>Nini</w:t>
      </w:r>
      <w:proofErr w:type="spellEnd"/>
      <w:r w:rsidRPr="00C367D7">
        <w:rPr>
          <w:rFonts w:ascii="Garamond" w:hAnsi="Garamond"/>
        </w:rPr>
        <w:t xml:space="preserve"> et al., 2012) and lower chances of onward employment in other firms (Gilson, 1989; </w:t>
      </w:r>
      <w:proofErr w:type="spellStart"/>
      <w:r w:rsidRPr="00C367D7">
        <w:rPr>
          <w:rFonts w:ascii="Garamond" w:hAnsi="Garamond"/>
        </w:rPr>
        <w:t>Eckbo</w:t>
      </w:r>
      <w:proofErr w:type="spellEnd"/>
      <w:r w:rsidRPr="00C367D7">
        <w:rPr>
          <w:rFonts w:ascii="Garamond" w:hAnsi="Garamond"/>
        </w:rPr>
        <w:t xml:space="preserve"> and </w:t>
      </w:r>
      <w:proofErr w:type="spellStart"/>
      <w:r w:rsidRPr="00C367D7">
        <w:rPr>
          <w:rFonts w:ascii="Garamond" w:hAnsi="Garamond"/>
        </w:rPr>
        <w:t>Thorburn</w:t>
      </w:r>
      <w:proofErr w:type="spellEnd"/>
      <w:r w:rsidRPr="00C367D7">
        <w:rPr>
          <w:rFonts w:ascii="Garamond" w:hAnsi="Garamond"/>
        </w:rPr>
        <w:t>, 2003). Hence, more risk-averse managers may prefer lower corporate leverage to mitigate potential negative career consequences resulting from financial distress</w:t>
      </w:r>
      <w:r>
        <w:rPr>
          <w:rFonts w:ascii="Garamond" w:hAnsi="Garamond"/>
        </w:rPr>
        <w:t>.</w:t>
      </w:r>
      <w:r w:rsidRPr="00C367D7">
        <w:rPr>
          <w:rStyle w:val="a9"/>
          <w:rFonts w:ascii="Garamond" w:hAnsi="Garamond"/>
        </w:rPr>
        <w:footnoteReference w:id="2"/>
      </w:r>
      <w:r w:rsidRPr="00C367D7">
        <w:rPr>
          <w:rFonts w:ascii="Garamond" w:hAnsi="Garamond"/>
        </w:rPr>
        <w:t xml:space="preserve"> </w:t>
      </w:r>
      <w:r>
        <w:rPr>
          <w:rFonts w:ascii="Garamond" w:hAnsi="Garamond"/>
        </w:rPr>
        <w:t>Therefore</w:t>
      </w:r>
      <w:r w:rsidRPr="00C367D7">
        <w:rPr>
          <w:rFonts w:ascii="Garamond" w:hAnsi="Garamond"/>
        </w:rPr>
        <w:t>, if female CFOs are more risk-averse and this preference translates into their corporate decisions, we expect to observe lower leverage levels for firms run by female CFOs. In addit</w:t>
      </w:r>
      <w:r>
        <w:rPr>
          <w:rFonts w:ascii="Garamond" w:hAnsi="Garamond"/>
        </w:rPr>
        <w:t>i</w:t>
      </w:r>
      <w:r w:rsidRPr="00C367D7">
        <w:rPr>
          <w:rFonts w:ascii="Garamond" w:hAnsi="Garamond"/>
        </w:rPr>
        <w:t>on, the representation of women among CFOs is considerably higher than among CEOs – in our sample it is more than double, on average, and has seen a strong rise over the sample period (see Figure 1).</w:t>
      </w:r>
      <w:r w:rsidRPr="00C367D7">
        <w:rPr>
          <w:rStyle w:val="a9"/>
          <w:rFonts w:ascii="Garamond" w:hAnsi="Garamond"/>
        </w:rPr>
        <w:footnoteReference w:id="3"/>
      </w:r>
      <w:r w:rsidRPr="00C367D7">
        <w:rPr>
          <w:rFonts w:ascii="Garamond" w:hAnsi="Garamond"/>
        </w:rPr>
        <w:t xml:space="preserve"> Hence, female CFOs provide a richer sample to study compared to female CEOs</w:t>
      </w:r>
      <w:r>
        <w:rPr>
          <w:rFonts w:ascii="Garamond" w:hAnsi="Garamond"/>
        </w:rPr>
        <w:t xml:space="preserve"> and we avoid some of the small sample issues faced by studies on female CEOs.</w:t>
      </w:r>
    </w:p>
    <w:p w:rsidR="003B5DA5" w:rsidRDefault="003B5DA5" w:rsidP="003B5DA5">
      <w:pPr>
        <w:pStyle w:val="a7"/>
        <w:spacing w:before="0" w:beforeAutospacing="0" w:after="160" w:afterAutospacing="0" w:line="360" w:lineRule="auto"/>
        <w:jc w:val="both"/>
        <w:rPr>
          <w:rFonts w:ascii="Garamond" w:hAnsi="Garamond"/>
          <w:color w:val="000000" w:themeColor="text1"/>
        </w:rPr>
      </w:pPr>
      <w:r w:rsidRPr="00C367D7">
        <w:rPr>
          <w:rFonts w:ascii="Garamond" w:hAnsi="Garamond"/>
        </w:rPr>
        <w:t xml:space="preserve">Furthermore, CFOs are an interesting subject from a gender perspective due to their varied relationships with other key decision makers in the firm, </w:t>
      </w:r>
      <w:r>
        <w:rPr>
          <w:rFonts w:ascii="Garamond" w:hAnsi="Garamond"/>
        </w:rPr>
        <w:t xml:space="preserve">such as the CEO and the board, </w:t>
      </w:r>
      <w:r w:rsidRPr="00C367D7">
        <w:rPr>
          <w:rFonts w:ascii="Garamond" w:hAnsi="Garamond"/>
        </w:rPr>
        <w:t xml:space="preserve">which enables us to examine under which conditions female CFOs affect leverage. </w:t>
      </w:r>
      <w:r>
        <w:rPr>
          <w:rFonts w:ascii="Garamond" w:hAnsi="Garamond"/>
        </w:rPr>
        <w:t xml:space="preserve">To investigate the conditions when gender differences can be observed, we deploy managerial discretion theory, which </w:t>
      </w:r>
      <w:r w:rsidR="0042676C">
        <w:rPr>
          <w:rFonts w:ascii="Garamond" w:hAnsi="Garamond"/>
        </w:rPr>
        <w:t xml:space="preserve">posits </w:t>
      </w:r>
      <w:r>
        <w:rPr>
          <w:rFonts w:ascii="Garamond" w:hAnsi="Garamond"/>
        </w:rPr>
        <w:t>that if managers have greater managerial discretion, i.e. greater leeway and power to influence firm actions, managerial characteristics, such as gender</w:t>
      </w:r>
      <w:r w:rsidR="00304AFF">
        <w:rPr>
          <w:rFonts w:ascii="Garamond" w:hAnsi="Garamond"/>
        </w:rPr>
        <w:t>-specific risk-taking preferences</w:t>
      </w:r>
      <w:r>
        <w:rPr>
          <w:rFonts w:ascii="Garamond" w:hAnsi="Garamond"/>
        </w:rPr>
        <w:t xml:space="preserve">, are reflected in corporate policies, whereas if their leeway and decision-making power is restricted, their preferences do not translate into corporate outcomes </w:t>
      </w:r>
      <w:r w:rsidRPr="00C367D7">
        <w:rPr>
          <w:rFonts w:ascii="Garamond" w:hAnsi="Garamond"/>
        </w:rPr>
        <w:t xml:space="preserve">(see </w:t>
      </w:r>
      <w:proofErr w:type="spellStart"/>
      <w:r w:rsidRPr="00C367D7">
        <w:rPr>
          <w:rFonts w:ascii="Garamond" w:hAnsi="Garamond"/>
        </w:rPr>
        <w:t>Hambrick</w:t>
      </w:r>
      <w:proofErr w:type="spellEnd"/>
      <w:r w:rsidRPr="00C367D7">
        <w:rPr>
          <w:rFonts w:ascii="Garamond" w:hAnsi="Garamond"/>
        </w:rPr>
        <w:t xml:space="preserve">, 2007; Quigley </w:t>
      </w:r>
      <w:r w:rsidR="006365D6">
        <w:rPr>
          <w:rFonts w:ascii="Garamond" w:hAnsi="Garamond"/>
        </w:rPr>
        <w:t>and</w:t>
      </w:r>
      <w:r w:rsidR="006365D6" w:rsidRPr="00C367D7">
        <w:rPr>
          <w:rFonts w:ascii="Garamond" w:hAnsi="Garamond"/>
        </w:rPr>
        <w:t xml:space="preserve"> </w:t>
      </w:r>
      <w:proofErr w:type="spellStart"/>
      <w:r w:rsidRPr="00C367D7">
        <w:rPr>
          <w:rFonts w:ascii="Garamond" w:hAnsi="Garamond"/>
        </w:rPr>
        <w:t>Hambrick</w:t>
      </w:r>
      <w:proofErr w:type="spellEnd"/>
      <w:r w:rsidRPr="00C367D7">
        <w:rPr>
          <w:rFonts w:ascii="Garamond" w:hAnsi="Garamond"/>
        </w:rPr>
        <w:t xml:space="preserve">, 2015; </w:t>
      </w:r>
      <w:proofErr w:type="spellStart"/>
      <w:r w:rsidRPr="00C367D7">
        <w:rPr>
          <w:rFonts w:ascii="Garamond" w:hAnsi="Garamond"/>
        </w:rPr>
        <w:t>Wangrow</w:t>
      </w:r>
      <w:proofErr w:type="spellEnd"/>
      <w:r w:rsidRPr="00C367D7">
        <w:rPr>
          <w:rFonts w:ascii="Garamond" w:hAnsi="Garamond"/>
        </w:rPr>
        <w:t xml:space="preserve"> et al., 2015)</w:t>
      </w:r>
      <w:r>
        <w:rPr>
          <w:rFonts w:ascii="Garamond" w:hAnsi="Garamond"/>
        </w:rPr>
        <w:t xml:space="preserve">. </w:t>
      </w:r>
      <w:r w:rsidRPr="00C367D7">
        <w:rPr>
          <w:rFonts w:ascii="Garamond" w:hAnsi="Garamond"/>
          <w:color w:val="000000" w:themeColor="text1"/>
        </w:rPr>
        <w:t xml:space="preserve">In line with managerial discretion theory, we argue that </w:t>
      </w:r>
      <w:r w:rsidRPr="00C367D7">
        <w:rPr>
          <w:rFonts w:ascii="Garamond" w:hAnsi="Garamond"/>
        </w:rPr>
        <w:t xml:space="preserve">if gender-specific differences in </w:t>
      </w:r>
      <w:proofErr w:type="spellStart"/>
      <w:r w:rsidRPr="00C367D7">
        <w:rPr>
          <w:rFonts w:ascii="Garamond" w:hAnsi="Garamond"/>
        </w:rPr>
        <w:t>CFOs’</w:t>
      </w:r>
      <w:proofErr w:type="spellEnd"/>
      <w:r w:rsidRPr="00C367D7">
        <w:rPr>
          <w:rFonts w:ascii="Garamond" w:hAnsi="Garamond"/>
        </w:rPr>
        <w:t xml:space="preserve"> leverage preferences exist, we are more likely to observe them under a decision-making environment in which female CFOs have greater </w:t>
      </w:r>
      <w:r w:rsidR="0042676C" w:rsidRPr="00C367D7">
        <w:rPr>
          <w:rFonts w:ascii="Garamond" w:hAnsi="Garamond"/>
        </w:rPr>
        <w:t>flexibility</w:t>
      </w:r>
      <w:r w:rsidRPr="00C367D7">
        <w:rPr>
          <w:rFonts w:ascii="Garamond" w:hAnsi="Garamond"/>
        </w:rPr>
        <w:t xml:space="preserve"> and power, i.e. greater managerial discretion</w:t>
      </w:r>
      <w:r w:rsidR="0042676C">
        <w:rPr>
          <w:rFonts w:ascii="Garamond" w:hAnsi="Garamond"/>
        </w:rPr>
        <w:t xml:space="preserve"> </w:t>
      </w:r>
      <w:r w:rsidRPr="00C367D7">
        <w:rPr>
          <w:rFonts w:ascii="Garamond" w:hAnsi="Garamond"/>
        </w:rPr>
        <w:t xml:space="preserve">to influence firm’s leverage. On the other </w:t>
      </w:r>
      <w:r w:rsidRPr="00C367D7">
        <w:rPr>
          <w:rFonts w:ascii="Garamond" w:hAnsi="Garamond"/>
        </w:rPr>
        <w:lastRenderedPageBreak/>
        <w:t xml:space="preserve">hand, even </w:t>
      </w:r>
      <w:r w:rsidRPr="00C367D7">
        <w:rPr>
          <w:rFonts w:ascii="Garamond" w:hAnsi="Garamond"/>
          <w:color w:val="000000" w:themeColor="text1"/>
        </w:rPr>
        <w:t>if male and female CFOs differ in their leverage choices, these preferences would not translate into observable differences in corporate leverage if their influence over corporate policies</w:t>
      </w:r>
      <w:r>
        <w:rPr>
          <w:rFonts w:ascii="Garamond" w:hAnsi="Garamond"/>
          <w:color w:val="000000" w:themeColor="text1"/>
        </w:rPr>
        <w:t xml:space="preserve"> is</w:t>
      </w:r>
      <w:r w:rsidRPr="00C367D7">
        <w:rPr>
          <w:rFonts w:ascii="Garamond" w:hAnsi="Garamond"/>
          <w:color w:val="000000" w:themeColor="text1"/>
        </w:rPr>
        <w:t xml:space="preserve"> curtailed</w:t>
      </w:r>
      <w:r>
        <w:rPr>
          <w:rFonts w:ascii="Garamond" w:hAnsi="Garamond"/>
          <w:color w:val="000000" w:themeColor="text1"/>
        </w:rPr>
        <w:t xml:space="preserve"> by the CEO or the board.</w:t>
      </w:r>
    </w:p>
    <w:p w:rsidR="003B5DA5" w:rsidRDefault="003B5DA5" w:rsidP="003B5DA5">
      <w:pPr>
        <w:spacing w:line="360" w:lineRule="auto"/>
        <w:jc w:val="both"/>
        <w:rPr>
          <w:rFonts w:ascii="Garamond" w:hAnsi="Garamond"/>
        </w:rPr>
      </w:pPr>
      <w:r w:rsidRPr="00C367D7">
        <w:rPr>
          <w:rFonts w:ascii="Garamond" w:hAnsi="Garamond"/>
          <w:color w:val="000000" w:themeColor="text1"/>
        </w:rPr>
        <w:t xml:space="preserve">Managerial discretion to influence corporate policies depends, in </w:t>
      </w:r>
      <w:r>
        <w:rPr>
          <w:rFonts w:ascii="Garamond" w:hAnsi="Garamond"/>
          <w:color w:val="000000" w:themeColor="text1"/>
        </w:rPr>
        <w:t>great</w:t>
      </w:r>
      <w:r w:rsidRPr="00C367D7">
        <w:rPr>
          <w:rFonts w:ascii="Garamond" w:hAnsi="Garamond"/>
          <w:color w:val="000000" w:themeColor="text1"/>
        </w:rPr>
        <w:t xml:space="preserve"> part, on female </w:t>
      </w:r>
      <w:proofErr w:type="spellStart"/>
      <w:r w:rsidRPr="00C367D7">
        <w:rPr>
          <w:rFonts w:ascii="Garamond" w:hAnsi="Garamond"/>
          <w:color w:val="000000" w:themeColor="text1"/>
        </w:rPr>
        <w:t>CFOs’</w:t>
      </w:r>
      <w:proofErr w:type="spellEnd"/>
      <w:r w:rsidRPr="00C367D7">
        <w:rPr>
          <w:rFonts w:ascii="Garamond" w:hAnsi="Garamond"/>
          <w:color w:val="000000" w:themeColor="text1"/>
        </w:rPr>
        <w:t xml:space="preserve"> relationship to other powerful </w:t>
      </w:r>
      <w:r>
        <w:rPr>
          <w:rFonts w:ascii="Garamond" w:hAnsi="Garamond"/>
          <w:color w:val="000000" w:themeColor="text1"/>
        </w:rPr>
        <w:t>executives and directors</w:t>
      </w:r>
      <w:r w:rsidRPr="00C367D7">
        <w:rPr>
          <w:rFonts w:ascii="Garamond" w:hAnsi="Garamond"/>
          <w:color w:val="000000" w:themeColor="text1"/>
        </w:rPr>
        <w:t xml:space="preserve"> who can constrain or magnify their effect on corporate outcomes (</w:t>
      </w:r>
      <w:proofErr w:type="spellStart"/>
      <w:r w:rsidRPr="00C367D7">
        <w:rPr>
          <w:rFonts w:ascii="Garamond" w:hAnsi="Garamond"/>
          <w:color w:val="000000" w:themeColor="text1"/>
        </w:rPr>
        <w:t>Wangrow</w:t>
      </w:r>
      <w:proofErr w:type="spellEnd"/>
      <w:r w:rsidRPr="00C367D7">
        <w:rPr>
          <w:rFonts w:ascii="Garamond" w:hAnsi="Garamond"/>
          <w:color w:val="000000" w:themeColor="text1"/>
        </w:rPr>
        <w:t xml:space="preserve"> et al., 2015).</w:t>
      </w:r>
      <w:r>
        <w:rPr>
          <w:rFonts w:ascii="Garamond" w:hAnsi="Garamond"/>
          <w:color w:val="000000" w:themeColor="text1"/>
        </w:rPr>
        <w:t xml:space="preserve"> </w:t>
      </w:r>
      <w:r w:rsidRPr="00C367D7">
        <w:rPr>
          <w:rFonts w:ascii="Garamond" w:hAnsi="Garamond"/>
        </w:rPr>
        <w:t>CFOs are subordinate to the CEO in the corporate hierarchy</w:t>
      </w:r>
      <w:r>
        <w:rPr>
          <w:rFonts w:ascii="Garamond" w:hAnsi="Garamond"/>
        </w:rPr>
        <w:t xml:space="preserve"> and t</w:t>
      </w:r>
      <w:r w:rsidRPr="00C367D7">
        <w:rPr>
          <w:rFonts w:ascii="Garamond" w:hAnsi="Garamond"/>
        </w:rPr>
        <w:t xml:space="preserve">his subordination allows us to test whether the </w:t>
      </w:r>
      <w:r w:rsidRPr="004048A1">
        <w:rPr>
          <w:rFonts w:ascii="Garamond" w:hAnsi="Garamond"/>
        </w:rPr>
        <w:t xml:space="preserve">impact of female CFOs on corporate leverage is moderated by the power of the CEO. </w:t>
      </w:r>
      <w:r w:rsidRPr="004048A1">
        <w:rPr>
          <w:rFonts w:ascii="Garamond" w:hAnsi="Garamond"/>
          <w:color w:val="000000" w:themeColor="text1"/>
        </w:rPr>
        <w:t xml:space="preserve">In particular, we argue that we only expect to see differences in corporate leverage between firms run by female and male CFOs </w:t>
      </w:r>
      <w:r w:rsidRPr="004048A1">
        <w:rPr>
          <w:rFonts w:ascii="Garamond" w:hAnsi="Garamond"/>
        </w:rPr>
        <w:t>if they are not dominated</w:t>
      </w:r>
      <w:r w:rsidRPr="00C367D7">
        <w:rPr>
          <w:rFonts w:ascii="Garamond" w:hAnsi="Garamond"/>
        </w:rPr>
        <w:t xml:space="preserve"> </w:t>
      </w:r>
      <w:r w:rsidRPr="004048A1">
        <w:rPr>
          <w:rFonts w:ascii="Garamond" w:hAnsi="Garamond"/>
        </w:rPr>
        <w:t xml:space="preserve">by a powerful CEO. </w:t>
      </w:r>
      <w:r w:rsidR="006579B1">
        <w:rPr>
          <w:rFonts w:ascii="Garamond" w:hAnsi="Garamond"/>
        </w:rPr>
        <w:t>In addition</w:t>
      </w:r>
      <w:r w:rsidRPr="004048A1">
        <w:rPr>
          <w:rFonts w:ascii="Garamond" w:hAnsi="Garamond"/>
          <w:color w:val="000000" w:themeColor="text1"/>
        </w:rPr>
        <w:t xml:space="preserve">, we </w:t>
      </w:r>
      <w:r w:rsidR="006579B1">
        <w:rPr>
          <w:rFonts w:ascii="Garamond" w:hAnsi="Garamond"/>
          <w:color w:val="000000" w:themeColor="text1"/>
        </w:rPr>
        <w:t>expect</w:t>
      </w:r>
      <w:r w:rsidR="006579B1" w:rsidRPr="004048A1">
        <w:rPr>
          <w:rFonts w:ascii="Garamond" w:hAnsi="Garamond"/>
          <w:color w:val="000000" w:themeColor="text1"/>
        </w:rPr>
        <w:t xml:space="preserve"> </w:t>
      </w:r>
      <w:r w:rsidRPr="004048A1">
        <w:rPr>
          <w:rFonts w:ascii="Garamond" w:hAnsi="Garamond"/>
          <w:color w:val="000000" w:themeColor="text1"/>
        </w:rPr>
        <w:t xml:space="preserve">that female CFOs will </w:t>
      </w:r>
      <w:r w:rsidR="00777A4C">
        <w:rPr>
          <w:rFonts w:ascii="Garamond" w:hAnsi="Garamond"/>
          <w:color w:val="000000" w:themeColor="text1"/>
        </w:rPr>
        <w:t>have a greater impact on</w:t>
      </w:r>
      <w:r w:rsidRPr="004048A1">
        <w:rPr>
          <w:rFonts w:ascii="Garamond" w:hAnsi="Garamond"/>
          <w:color w:val="000000" w:themeColor="text1"/>
        </w:rPr>
        <w:t xml:space="preserve"> leverage</w:t>
      </w:r>
      <w:r w:rsidR="00777A4C">
        <w:rPr>
          <w:rFonts w:ascii="Garamond" w:hAnsi="Garamond"/>
          <w:color w:val="000000" w:themeColor="text1"/>
        </w:rPr>
        <w:t xml:space="preserve"> choices</w:t>
      </w:r>
      <w:r w:rsidRPr="004048A1">
        <w:rPr>
          <w:rFonts w:ascii="Garamond" w:hAnsi="Garamond"/>
          <w:color w:val="000000" w:themeColor="text1"/>
        </w:rPr>
        <w:t xml:space="preserve"> </w:t>
      </w:r>
      <w:r w:rsidR="00771430" w:rsidRPr="00771430">
        <w:rPr>
          <w:rFonts w:ascii="Garamond" w:hAnsi="Garamond"/>
          <w:color w:val="000000" w:themeColor="text1"/>
        </w:rPr>
        <w:t>in firms with boards that are diverse with respect to gender, nationality and age</w:t>
      </w:r>
      <w:r w:rsidRPr="004048A1">
        <w:rPr>
          <w:rFonts w:ascii="Garamond" w:hAnsi="Garamond"/>
        </w:rPr>
        <w:t xml:space="preserve">. </w:t>
      </w:r>
      <w:r>
        <w:rPr>
          <w:rFonts w:ascii="Garamond" w:hAnsi="Garamond"/>
        </w:rPr>
        <w:t>Finally, internally appointed CFOs might be restricted in their managerial discretion due to closer ties</w:t>
      </w:r>
      <w:r w:rsidRPr="007D625E">
        <w:rPr>
          <w:rFonts w:ascii="Garamond" w:hAnsi="Garamond"/>
        </w:rPr>
        <w:t xml:space="preserve"> to the current CEO</w:t>
      </w:r>
      <w:r>
        <w:rPr>
          <w:rFonts w:ascii="Garamond" w:hAnsi="Garamond"/>
        </w:rPr>
        <w:t>, while e</w:t>
      </w:r>
      <w:r w:rsidRPr="007D625E">
        <w:rPr>
          <w:rFonts w:ascii="Garamond" w:hAnsi="Garamond"/>
        </w:rPr>
        <w:t xml:space="preserve">xternally appointed CFOs may have </w:t>
      </w:r>
      <w:proofErr w:type="gramStart"/>
      <w:r w:rsidRPr="007D625E">
        <w:rPr>
          <w:rFonts w:ascii="Garamond" w:hAnsi="Garamond"/>
        </w:rPr>
        <w:t>less allegiances</w:t>
      </w:r>
      <w:proofErr w:type="gramEnd"/>
      <w:r w:rsidRPr="007D625E">
        <w:rPr>
          <w:rFonts w:ascii="Garamond" w:hAnsi="Garamond"/>
        </w:rPr>
        <w:t xml:space="preserve"> to other top executives at the firm, allowing them greater managerial discretion.</w:t>
      </w:r>
      <w:r>
        <w:rPr>
          <w:rFonts w:ascii="Garamond" w:hAnsi="Garamond"/>
        </w:rPr>
        <w:t xml:space="preserve"> Thus, we expect that female CFOs who are externally appointed will reduce leverage more than internally appointed candidates. </w:t>
      </w:r>
      <w:r w:rsidRPr="004048A1">
        <w:rPr>
          <w:rFonts w:ascii="Garamond" w:hAnsi="Garamond"/>
        </w:rPr>
        <w:t xml:space="preserve">In line with the existence of gender-specific differences in leverage choices, </w:t>
      </w:r>
      <w:r w:rsidRPr="004048A1">
        <w:rPr>
          <w:rFonts w:ascii="Garamond" w:hAnsi="Garamond"/>
          <w:color w:val="000000" w:themeColor="text1"/>
        </w:rPr>
        <w:t xml:space="preserve">we find that firms run by female CFOs have lower leverage. In addition, female CFOs only </w:t>
      </w:r>
      <w:r w:rsidR="00313D16">
        <w:rPr>
          <w:rFonts w:ascii="Garamond" w:hAnsi="Garamond"/>
          <w:color w:val="000000" w:themeColor="text1"/>
        </w:rPr>
        <w:t>reduce</w:t>
      </w:r>
      <w:r w:rsidR="00313D16" w:rsidRPr="004048A1">
        <w:rPr>
          <w:rFonts w:ascii="Garamond" w:hAnsi="Garamond"/>
          <w:color w:val="000000" w:themeColor="text1"/>
        </w:rPr>
        <w:t xml:space="preserve"> </w:t>
      </w:r>
      <w:r w:rsidRPr="004048A1">
        <w:rPr>
          <w:rFonts w:ascii="Garamond" w:hAnsi="Garamond"/>
          <w:color w:val="000000" w:themeColor="text1"/>
        </w:rPr>
        <w:t>leverage</w:t>
      </w:r>
      <w:r>
        <w:rPr>
          <w:rFonts w:ascii="Garamond" w:hAnsi="Garamond"/>
          <w:color w:val="000000" w:themeColor="text1"/>
        </w:rPr>
        <w:t xml:space="preserve"> </w:t>
      </w:r>
      <w:r w:rsidRPr="004048A1">
        <w:rPr>
          <w:rFonts w:ascii="Garamond" w:hAnsi="Garamond"/>
        </w:rPr>
        <w:t>in an environment in which they have greater managerial discretion</w:t>
      </w:r>
      <w:r>
        <w:rPr>
          <w:rFonts w:ascii="Garamond" w:hAnsi="Garamond"/>
        </w:rPr>
        <w:t xml:space="preserve">, </w:t>
      </w:r>
      <w:r w:rsidR="008162EF">
        <w:rPr>
          <w:rFonts w:ascii="Garamond" w:hAnsi="Garamond"/>
        </w:rPr>
        <w:t>such as</w:t>
      </w:r>
      <w:r w:rsidRPr="004048A1">
        <w:rPr>
          <w:rFonts w:ascii="Garamond" w:hAnsi="Garamond"/>
          <w:color w:val="000000" w:themeColor="text1"/>
        </w:rPr>
        <w:t xml:space="preserve"> in firms </w:t>
      </w:r>
      <w:r w:rsidRPr="004048A1">
        <w:rPr>
          <w:rFonts w:ascii="Garamond" w:hAnsi="Garamond"/>
        </w:rPr>
        <w:t>with highly diverse boards</w:t>
      </w:r>
      <w:r>
        <w:rPr>
          <w:rFonts w:ascii="Garamond" w:hAnsi="Garamond"/>
        </w:rPr>
        <w:t>,</w:t>
      </w:r>
      <w:r w:rsidRPr="004048A1">
        <w:rPr>
          <w:rFonts w:ascii="Garamond" w:hAnsi="Garamond"/>
        </w:rPr>
        <w:t xml:space="preserve"> firms not run by a powerful CEO</w:t>
      </w:r>
      <w:r>
        <w:rPr>
          <w:rFonts w:ascii="Garamond" w:hAnsi="Garamond"/>
        </w:rPr>
        <w:t xml:space="preserve"> and if they are externally appointed</w:t>
      </w:r>
      <w:r w:rsidRPr="004048A1">
        <w:rPr>
          <w:rFonts w:ascii="Garamond" w:hAnsi="Garamond"/>
        </w:rPr>
        <w:t xml:space="preserve">. These findings are in line with prior studies which link women leaders to more conservative and less risky corporate </w:t>
      </w:r>
      <w:r w:rsidRPr="00F16C06">
        <w:rPr>
          <w:rFonts w:ascii="Garamond" w:hAnsi="Garamond"/>
        </w:rPr>
        <w:t xml:space="preserve">policies and outcomes (e.g. </w:t>
      </w:r>
      <w:proofErr w:type="spellStart"/>
      <w:r w:rsidRPr="00F16C06">
        <w:rPr>
          <w:rFonts w:ascii="Garamond" w:hAnsi="Garamond"/>
        </w:rPr>
        <w:t>Srinidhi</w:t>
      </w:r>
      <w:proofErr w:type="spellEnd"/>
      <w:r w:rsidRPr="00F16C06">
        <w:rPr>
          <w:rFonts w:ascii="Garamond" w:hAnsi="Garamond"/>
        </w:rPr>
        <w:t xml:space="preserve"> et al., 2011; Huang and </w:t>
      </w:r>
      <w:proofErr w:type="spellStart"/>
      <w:r w:rsidRPr="00F16C06">
        <w:rPr>
          <w:rFonts w:ascii="Garamond" w:hAnsi="Garamond"/>
        </w:rPr>
        <w:t>Kisgen</w:t>
      </w:r>
      <w:proofErr w:type="spellEnd"/>
      <w:r w:rsidRPr="00F16C06">
        <w:rPr>
          <w:rFonts w:ascii="Garamond" w:hAnsi="Garamond"/>
        </w:rPr>
        <w:t xml:space="preserve">, 2013; Levi et </w:t>
      </w:r>
      <w:r w:rsidR="00B80B72">
        <w:rPr>
          <w:rFonts w:ascii="Garamond" w:hAnsi="Garamond"/>
        </w:rPr>
        <w:t>al</w:t>
      </w:r>
      <w:r w:rsidRPr="00F16C06">
        <w:rPr>
          <w:rFonts w:ascii="Garamond" w:hAnsi="Garamond"/>
        </w:rPr>
        <w:t xml:space="preserve">., 2014;  Cumming et al., 2015; Francis et al., 2015; </w:t>
      </w:r>
      <w:proofErr w:type="spellStart"/>
      <w:r w:rsidRPr="00F16C06">
        <w:rPr>
          <w:rFonts w:ascii="Garamond" w:hAnsi="Garamond"/>
        </w:rPr>
        <w:t>Faccio</w:t>
      </w:r>
      <w:proofErr w:type="spellEnd"/>
      <w:r w:rsidRPr="00F16C06">
        <w:rPr>
          <w:rFonts w:ascii="Garamond" w:hAnsi="Garamond"/>
        </w:rPr>
        <w:t xml:space="preserve"> et al., 2016; Li and </w:t>
      </w:r>
      <w:proofErr w:type="spellStart"/>
      <w:r w:rsidRPr="00F16C06">
        <w:rPr>
          <w:rFonts w:ascii="Garamond" w:hAnsi="Garamond"/>
        </w:rPr>
        <w:t>Zeng</w:t>
      </w:r>
      <w:proofErr w:type="spellEnd"/>
      <w:r w:rsidRPr="00F16C06">
        <w:rPr>
          <w:rFonts w:ascii="Garamond" w:hAnsi="Garamond"/>
        </w:rPr>
        <w:t xml:space="preserve">, 2019; Gupta et al., 2020; </w:t>
      </w:r>
      <w:proofErr w:type="spellStart"/>
      <w:r w:rsidRPr="00F16C06">
        <w:rPr>
          <w:rFonts w:ascii="Garamond" w:hAnsi="Garamond"/>
        </w:rPr>
        <w:t>Shoham</w:t>
      </w:r>
      <w:proofErr w:type="spellEnd"/>
      <w:r w:rsidRPr="00F16C06">
        <w:rPr>
          <w:rFonts w:ascii="Garamond" w:hAnsi="Garamond"/>
        </w:rPr>
        <w:t xml:space="preserve"> et al., 2020), but unlike these existing studies we shed light on the conditions under which these gender effects are observed</w:t>
      </w:r>
      <w:r w:rsidRPr="004048A1">
        <w:rPr>
          <w:rFonts w:ascii="Garamond" w:hAnsi="Garamond"/>
        </w:rPr>
        <w:t xml:space="preserve"> and as such highlight the importance of the moderating impact of CEO power</w:t>
      </w:r>
      <w:r w:rsidR="00D913FF">
        <w:rPr>
          <w:rFonts w:ascii="Garamond" w:hAnsi="Garamond"/>
        </w:rPr>
        <w:t>,</w:t>
      </w:r>
      <w:r w:rsidRPr="004048A1">
        <w:rPr>
          <w:rFonts w:ascii="Garamond" w:hAnsi="Garamond"/>
        </w:rPr>
        <w:t xml:space="preserve"> board diversity </w:t>
      </w:r>
      <w:r w:rsidR="00D913FF">
        <w:rPr>
          <w:rFonts w:ascii="Garamond" w:hAnsi="Garamond"/>
        </w:rPr>
        <w:t xml:space="preserve">and hiring status </w:t>
      </w:r>
      <w:r w:rsidRPr="004048A1">
        <w:rPr>
          <w:rFonts w:ascii="Garamond" w:hAnsi="Garamond"/>
        </w:rPr>
        <w:t xml:space="preserve">on female </w:t>
      </w:r>
      <w:proofErr w:type="spellStart"/>
      <w:r w:rsidRPr="004048A1">
        <w:rPr>
          <w:rFonts w:ascii="Garamond" w:hAnsi="Garamond"/>
        </w:rPr>
        <w:t>CFOs’</w:t>
      </w:r>
      <w:proofErr w:type="spellEnd"/>
      <w:r w:rsidRPr="004048A1">
        <w:rPr>
          <w:rFonts w:ascii="Garamond" w:hAnsi="Garamond"/>
        </w:rPr>
        <w:t xml:space="preserve"> ability to affect leverage.</w:t>
      </w:r>
    </w:p>
    <w:p w:rsidR="003B5DA5" w:rsidRPr="004048A1" w:rsidRDefault="003B5DA5" w:rsidP="003B5DA5">
      <w:pPr>
        <w:spacing w:line="360" w:lineRule="auto"/>
        <w:jc w:val="both"/>
        <w:rPr>
          <w:rFonts w:ascii="Garamond" w:hAnsi="Garamond"/>
        </w:rPr>
      </w:pPr>
    </w:p>
    <w:p w:rsidR="003B5DA5" w:rsidRDefault="003B5DA5" w:rsidP="003B5DA5">
      <w:pPr>
        <w:spacing w:line="360" w:lineRule="auto"/>
        <w:jc w:val="both"/>
        <w:rPr>
          <w:rFonts w:ascii="Garamond" w:hAnsi="Garamond"/>
        </w:rPr>
      </w:pPr>
      <w:r w:rsidRPr="00C367D7">
        <w:rPr>
          <w:rFonts w:ascii="Garamond" w:hAnsi="Garamond"/>
        </w:rPr>
        <w:t>Our paper makes several contributions to the literature. First, we add to the small but growing literature on the impact of female CFOs on corporate policies. Several empirical studies find that female CFOs are associated with improved accrual quality and increased accounting conservatism (</w:t>
      </w:r>
      <w:proofErr w:type="spellStart"/>
      <w:r w:rsidRPr="00C367D7">
        <w:rPr>
          <w:rFonts w:ascii="Garamond" w:hAnsi="Garamond"/>
        </w:rPr>
        <w:t>Barua</w:t>
      </w:r>
      <w:proofErr w:type="spellEnd"/>
      <w:r w:rsidRPr="00C367D7">
        <w:rPr>
          <w:rFonts w:ascii="Garamond" w:hAnsi="Garamond"/>
        </w:rPr>
        <w:t xml:space="preserve"> et al., 2010; Francis et al., 2015), lower future stock price crash risk (Li and </w:t>
      </w:r>
      <w:proofErr w:type="spellStart"/>
      <w:r w:rsidRPr="00C367D7">
        <w:rPr>
          <w:rFonts w:ascii="Garamond" w:hAnsi="Garamond"/>
        </w:rPr>
        <w:t>Zeng</w:t>
      </w:r>
      <w:proofErr w:type="spellEnd"/>
      <w:r w:rsidRPr="00C367D7">
        <w:rPr>
          <w:rFonts w:ascii="Garamond" w:hAnsi="Garamond"/>
        </w:rPr>
        <w:t xml:space="preserve">, 2019), more favourable loan contract terms by banks (Francis et al., 2013) and a lower likelihood to manipulate financial statements (Gupta et al., 2020). Our results document that the presence of a female CFO is negatively associated with firm leverage, but only </w:t>
      </w:r>
      <w:r w:rsidR="00E66640">
        <w:rPr>
          <w:rFonts w:ascii="Garamond" w:hAnsi="Garamond"/>
        </w:rPr>
        <w:t xml:space="preserve">when they have </w:t>
      </w:r>
      <w:r w:rsidR="00E66640">
        <w:rPr>
          <w:rFonts w:ascii="Garamond" w:hAnsi="Garamond"/>
        </w:rPr>
        <w:lastRenderedPageBreak/>
        <w:t>greater</w:t>
      </w:r>
      <w:r w:rsidR="00DA3716">
        <w:rPr>
          <w:rFonts w:ascii="Garamond" w:hAnsi="Garamond"/>
        </w:rPr>
        <w:t xml:space="preserve"> leeway to influence corporate decisions</w:t>
      </w:r>
      <w:r w:rsidRPr="00C367D7">
        <w:rPr>
          <w:rFonts w:ascii="Garamond" w:hAnsi="Garamond"/>
        </w:rPr>
        <w:t xml:space="preserve">. To the best of our knowledge, only one further study </w:t>
      </w:r>
      <w:r>
        <w:rPr>
          <w:rFonts w:ascii="Garamond" w:hAnsi="Garamond"/>
        </w:rPr>
        <w:t>examines under which conditions</w:t>
      </w:r>
      <w:r w:rsidRPr="00C367D7">
        <w:rPr>
          <w:rFonts w:ascii="Garamond" w:hAnsi="Garamond"/>
        </w:rPr>
        <w:t xml:space="preserve"> female CFOs are most influential in affecting specific firm actions. Gupta et al. (2020) appl</w:t>
      </w:r>
      <w:r>
        <w:rPr>
          <w:rFonts w:ascii="Garamond" w:hAnsi="Garamond"/>
        </w:rPr>
        <w:t>y</w:t>
      </w:r>
      <w:r w:rsidRPr="00C367D7">
        <w:rPr>
          <w:rFonts w:ascii="Garamond" w:hAnsi="Garamond"/>
        </w:rPr>
        <w:t xml:space="preserve"> managerial discretion theory to explain female </w:t>
      </w:r>
      <w:proofErr w:type="spellStart"/>
      <w:r w:rsidRPr="00C367D7">
        <w:rPr>
          <w:rFonts w:ascii="Garamond" w:hAnsi="Garamond"/>
        </w:rPr>
        <w:t>CFOs’</w:t>
      </w:r>
      <w:proofErr w:type="spellEnd"/>
      <w:r w:rsidRPr="00C367D7">
        <w:rPr>
          <w:rFonts w:ascii="Garamond" w:hAnsi="Garamond"/>
        </w:rPr>
        <w:t xml:space="preserve"> likelihood to manipulate financial statements. However, </w:t>
      </w:r>
      <w:r w:rsidR="00D4198A">
        <w:rPr>
          <w:rFonts w:ascii="Garamond" w:hAnsi="Garamond"/>
        </w:rPr>
        <w:t xml:space="preserve">unlike our study, </w:t>
      </w:r>
      <w:r>
        <w:rPr>
          <w:rFonts w:ascii="Garamond" w:hAnsi="Garamond"/>
        </w:rPr>
        <w:t>they</w:t>
      </w:r>
      <w:r w:rsidRPr="00C367D7">
        <w:rPr>
          <w:rFonts w:ascii="Garamond" w:hAnsi="Garamond"/>
        </w:rPr>
        <w:t xml:space="preserve"> do not focus on the role of CEO power</w:t>
      </w:r>
      <w:r>
        <w:rPr>
          <w:rFonts w:ascii="Garamond" w:hAnsi="Garamond"/>
        </w:rPr>
        <w:t>,</w:t>
      </w:r>
      <w:r w:rsidRPr="00C367D7">
        <w:rPr>
          <w:rFonts w:ascii="Garamond" w:hAnsi="Garamond"/>
        </w:rPr>
        <w:t xml:space="preserve"> board diversity </w:t>
      </w:r>
      <w:r>
        <w:rPr>
          <w:rFonts w:ascii="Garamond" w:hAnsi="Garamond"/>
        </w:rPr>
        <w:t xml:space="preserve">and hiring status </w:t>
      </w:r>
      <w:r w:rsidRPr="00C367D7">
        <w:rPr>
          <w:rFonts w:ascii="Garamond" w:hAnsi="Garamond"/>
        </w:rPr>
        <w:t xml:space="preserve">as moderators of female </w:t>
      </w:r>
      <w:proofErr w:type="spellStart"/>
      <w:r w:rsidRPr="00C367D7">
        <w:rPr>
          <w:rFonts w:ascii="Garamond" w:hAnsi="Garamond"/>
        </w:rPr>
        <w:t>CFOs’</w:t>
      </w:r>
      <w:proofErr w:type="spellEnd"/>
      <w:r w:rsidRPr="00C367D7">
        <w:rPr>
          <w:rFonts w:ascii="Garamond" w:hAnsi="Garamond"/>
        </w:rPr>
        <w:t xml:space="preserve"> managerial discretion, but they examine the moderating impact of external stakeholders in the form of institutional investors and financial analysts. In this way, our study extends research into the conditions under which gender differences will be present by investigating the impact of the internal senior decision-making environment on the presence of gender effects.</w:t>
      </w:r>
    </w:p>
    <w:p w:rsidR="003B5DA5" w:rsidRPr="00C367D7" w:rsidRDefault="003B5DA5" w:rsidP="003B5DA5">
      <w:pPr>
        <w:spacing w:line="360" w:lineRule="auto"/>
        <w:jc w:val="both"/>
        <w:rPr>
          <w:rFonts w:ascii="Garamond" w:hAnsi="Garamond"/>
          <w:color w:val="FF0000"/>
        </w:rPr>
      </w:pPr>
    </w:p>
    <w:p w:rsidR="003B5DA5" w:rsidRDefault="003B5DA5" w:rsidP="003B5DA5">
      <w:pPr>
        <w:spacing w:line="360" w:lineRule="auto"/>
        <w:jc w:val="both"/>
        <w:rPr>
          <w:rFonts w:ascii="Garamond" w:hAnsi="Garamond"/>
        </w:rPr>
      </w:pPr>
      <w:r w:rsidRPr="00C367D7">
        <w:rPr>
          <w:rFonts w:ascii="Garamond" w:hAnsi="Garamond"/>
        </w:rPr>
        <w:t xml:space="preserve">Second, we contribute to the literature on board diversity by documenting that greater board diversity indirectly affects the degree to which female CFOs influence financial policies. There exists a broad literature that investigates the ‘value-added’ effect of board diversity along a variety of dimensions including gender, nationality, age and professional backgrounds (e.g., Adams and Ferreira, 2009; Anderson et al., 2011; </w:t>
      </w:r>
      <w:proofErr w:type="spellStart"/>
      <w:r w:rsidRPr="00C367D7">
        <w:rPr>
          <w:rFonts w:ascii="Garamond" w:hAnsi="Garamond"/>
        </w:rPr>
        <w:t>Gul</w:t>
      </w:r>
      <w:proofErr w:type="spellEnd"/>
      <w:r w:rsidRPr="00C367D7">
        <w:rPr>
          <w:rFonts w:ascii="Garamond" w:hAnsi="Garamond"/>
        </w:rPr>
        <w:t xml:space="preserve"> et al., 2011; </w:t>
      </w:r>
      <w:proofErr w:type="spellStart"/>
      <w:r w:rsidRPr="00C367D7">
        <w:rPr>
          <w:rFonts w:ascii="Garamond" w:hAnsi="Garamond"/>
        </w:rPr>
        <w:t>Matsa</w:t>
      </w:r>
      <w:proofErr w:type="spellEnd"/>
      <w:r w:rsidRPr="00C367D7">
        <w:rPr>
          <w:rFonts w:ascii="Garamond" w:hAnsi="Garamond"/>
        </w:rPr>
        <w:t xml:space="preserve"> and Miller, 2011, 2013; Francis et al., 2015; Fang et al., 2018; </w:t>
      </w:r>
      <w:proofErr w:type="spellStart"/>
      <w:r w:rsidRPr="00C367D7">
        <w:rPr>
          <w:rFonts w:ascii="Garamond" w:hAnsi="Garamond"/>
        </w:rPr>
        <w:t>Bernile</w:t>
      </w:r>
      <w:proofErr w:type="spellEnd"/>
      <w:r w:rsidRPr="00C367D7">
        <w:rPr>
          <w:rFonts w:ascii="Garamond" w:hAnsi="Garamond"/>
        </w:rPr>
        <w:t xml:space="preserve"> et al., 2018) showing that more diverse boards are associated with lower risk levels, greater persistence of corporate policies, board structure and attendance, more employee-friendly policies and greater diversity below the board level. However, to the best of our knowledge, we are the first to provide evidence that greater board diversity can also indirectly affect corporate policies of senior executives by creating a more inclusive decision-making environment that allows female CFOs to be more effective in shaping firms’ leverage policies. </w:t>
      </w:r>
    </w:p>
    <w:p w:rsidR="003B5DA5" w:rsidRPr="00C367D7" w:rsidRDefault="003B5DA5" w:rsidP="003B5DA5">
      <w:pPr>
        <w:spacing w:line="360" w:lineRule="auto"/>
        <w:jc w:val="both"/>
        <w:rPr>
          <w:rFonts w:ascii="Garamond" w:hAnsi="Garamond"/>
        </w:rPr>
      </w:pPr>
    </w:p>
    <w:p w:rsidR="003B5DA5" w:rsidRDefault="003B5DA5" w:rsidP="003B5DA5">
      <w:pPr>
        <w:spacing w:line="360" w:lineRule="auto"/>
        <w:jc w:val="both"/>
        <w:rPr>
          <w:rFonts w:ascii="Garamond" w:hAnsi="Garamond"/>
        </w:rPr>
      </w:pPr>
      <w:r w:rsidRPr="00C367D7">
        <w:rPr>
          <w:rFonts w:ascii="Garamond" w:hAnsi="Garamond"/>
        </w:rPr>
        <w:t xml:space="preserve">Third, our findings relate to research into the effect of powerful CEOs. There is a vast body of literature that shows the importance of CEO power in explaining a variety of corporate outcomes and the </w:t>
      </w:r>
      <w:r w:rsidR="0042676C" w:rsidRPr="00C367D7">
        <w:rPr>
          <w:rFonts w:ascii="Garamond" w:hAnsi="Garamond"/>
        </w:rPr>
        <w:t>adverse</w:t>
      </w:r>
      <w:r w:rsidRPr="00C367D7">
        <w:rPr>
          <w:rFonts w:ascii="Garamond" w:hAnsi="Garamond"/>
        </w:rPr>
        <w:t xml:space="preserve"> consequences of CEO power, such as biased performance measures (Friedman, 2014), rigging of incentive contracts (Morse et al., 2011), accounting manipulation (</w:t>
      </w:r>
      <w:proofErr w:type="spellStart"/>
      <w:r w:rsidRPr="00C367D7">
        <w:rPr>
          <w:rFonts w:ascii="Garamond" w:hAnsi="Garamond"/>
        </w:rPr>
        <w:t>Feng</w:t>
      </w:r>
      <w:proofErr w:type="spellEnd"/>
      <w:r w:rsidRPr="00C367D7">
        <w:rPr>
          <w:rFonts w:ascii="Garamond" w:hAnsi="Garamond"/>
        </w:rPr>
        <w:t xml:space="preserve"> et al., 2011), increased likelihood of fraud (</w:t>
      </w:r>
      <w:proofErr w:type="spellStart"/>
      <w:r w:rsidRPr="00C367D7">
        <w:rPr>
          <w:rFonts w:ascii="Garamond" w:hAnsi="Garamond"/>
        </w:rPr>
        <w:t>Khanna</w:t>
      </w:r>
      <w:proofErr w:type="spellEnd"/>
      <w:r w:rsidRPr="00C367D7">
        <w:rPr>
          <w:rFonts w:ascii="Garamond" w:hAnsi="Garamond"/>
        </w:rPr>
        <w:t xml:space="preserve"> et al., 2015), higher stock price crash risk (</w:t>
      </w:r>
      <w:proofErr w:type="spellStart"/>
      <w:r w:rsidRPr="00C367D7">
        <w:rPr>
          <w:rFonts w:ascii="Garamond" w:hAnsi="Garamond"/>
        </w:rPr>
        <w:t>Mamun</w:t>
      </w:r>
      <w:proofErr w:type="spellEnd"/>
      <w:r w:rsidRPr="00C367D7">
        <w:rPr>
          <w:rFonts w:ascii="Garamond" w:hAnsi="Garamond"/>
        </w:rPr>
        <w:t xml:space="preserve"> et al., 2020) and lower firm profitability (</w:t>
      </w:r>
      <w:proofErr w:type="spellStart"/>
      <w:r w:rsidRPr="00C367D7">
        <w:rPr>
          <w:rFonts w:ascii="Garamond" w:hAnsi="Garamond"/>
        </w:rPr>
        <w:t>Bebchuk</w:t>
      </w:r>
      <w:proofErr w:type="spellEnd"/>
      <w:r w:rsidRPr="00C367D7">
        <w:rPr>
          <w:rFonts w:ascii="Garamond" w:hAnsi="Garamond"/>
        </w:rPr>
        <w:t xml:space="preserve"> et al., 2011). However, much less research has been conducted on the moderating effect of CEO power and its impact on the managerial discretion of other executives. While previous studies have found that CEO power serves as a moderator for the ability of diverse boards to initiate strategic change (e.g. Haynes and Hillman, 2010), we are the first to show that CEO power also directly restricts female CFOs in their discretion to exert influence on corporate leverage policies. </w:t>
      </w:r>
    </w:p>
    <w:p w:rsidR="003B5DA5" w:rsidRPr="00C367D7" w:rsidRDefault="003B5DA5" w:rsidP="003B5DA5">
      <w:pPr>
        <w:spacing w:line="360" w:lineRule="auto"/>
        <w:jc w:val="both"/>
        <w:rPr>
          <w:rFonts w:ascii="Garamond" w:hAnsi="Garamond"/>
        </w:rPr>
      </w:pPr>
    </w:p>
    <w:p w:rsidR="003B5DA5" w:rsidRDefault="003B5DA5" w:rsidP="003B5DA5">
      <w:pPr>
        <w:spacing w:line="360" w:lineRule="auto"/>
        <w:jc w:val="both"/>
        <w:rPr>
          <w:rFonts w:ascii="Garamond" w:hAnsi="Garamond"/>
        </w:rPr>
      </w:pPr>
      <w:r w:rsidRPr="00C367D7">
        <w:rPr>
          <w:rFonts w:ascii="Garamond" w:hAnsi="Garamond"/>
        </w:rPr>
        <w:t>Finally, our findings have</w:t>
      </w:r>
      <w:r w:rsidR="002E514B">
        <w:rPr>
          <w:rFonts w:ascii="Garamond" w:hAnsi="Garamond"/>
        </w:rPr>
        <w:t xml:space="preserve"> practical</w:t>
      </w:r>
      <w:r w:rsidRPr="00C367D7">
        <w:rPr>
          <w:rFonts w:ascii="Garamond" w:hAnsi="Garamond"/>
        </w:rPr>
        <w:t xml:space="preserve"> implications for corporate boards and policy makers who aim to strengthen the role of female leaders in corporations. Given increasing pressures on </w:t>
      </w:r>
      <w:r w:rsidR="0028673D">
        <w:rPr>
          <w:rFonts w:ascii="Garamond" w:hAnsi="Garamond"/>
        </w:rPr>
        <w:t>policy</w:t>
      </w:r>
      <w:r w:rsidR="00F16302">
        <w:rPr>
          <w:rFonts w:ascii="Garamond" w:hAnsi="Garamond"/>
        </w:rPr>
        <w:t xml:space="preserve"> makers and boards of directors</w:t>
      </w:r>
      <w:r w:rsidRPr="00C367D7">
        <w:rPr>
          <w:rFonts w:ascii="Garamond" w:hAnsi="Garamond"/>
        </w:rPr>
        <w:t xml:space="preserve"> to have more female representation in executive posit</w:t>
      </w:r>
      <w:r w:rsidRPr="0042676C">
        <w:rPr>
          <w:rFonts w:ascii="Garamond" w:hAnsi="Garamond"/>
        </w:rPr>
        <w:t>ions (Adams, 2016</w:t>
      </w:r>
      <w:r w:rsidRPr="00C367D7">
        <w:rPr>
          <w:rFonts w:ascii="Garamond" w:hAnsi="Garamond"/>
        </w:rPr>
        <w:t>), our results suggest that merely increasing the number of women in specific roles, e.g. via female quotas, is unlikely to be sufficient in improving women’s impact on corporate policies. Instead, ou</w:t>
      </w:r>
      <w:r>
        <w:rPr>
          <w:rFonts w:ascii="Garamond" w:hAnsi="Garamond"/>
        </w:rPr>
        <w:t>r</w:t>
      </w:r>
      <w:r w:rsidRPr="00C367D7">
        <w:rPr>
          <w:rFonts w:ascii="Garamond" w:hAnsi="Garamond"/>
        </w:rPr>
        <w:t xml:space="preserve"> findings imply that strengthening female managers’ role and influence in corporations requires a consideration of the broader managerial decision-making environment in which they operate and their relation to other key decision makers</w:t>
      </w:r>
      <w:r w:rsidR="00192A95">
        <w:rPr>
          <w:rFonts w:ascii="Garamond" w:hAnsi="Garamond"/>
        </w:rPr>
        <w:t xml:space="preserve">, such as the CEO and </w:t>
      </w:r>
      <w:r w:rsidR="0042676C">
        <w:rPr>
          <w:rFonts w:ascii="Garamond" w:hAnsi="Garamond"/>
        </w:rPr>
        <w:t xml:space="preserve">other </w:t>
      </w:r>
      <w:r w:rsidR="00192A95">
        <w:rPr>
          <w:rFonts w:ascii="Garamond" w:hAnsi="Garamond"/>
        </w:rPr>
        <w:t>board</w:t>
      </w:r>
      <w:r w:rsidR="0042676C">
        <w:rPr>
          <w:rFonts w:ascii="Garamond" w:hAnsi="Garamond"/>
        </w:rPr>
        <w:t xml:space="preserve"> members</w:t>
      </w:r>
      <w:r w:rsidRPr="00C367D7">
        <w:rPr>
          <w:rFonts w:ascii="Garamond" w:hAnsi="Garamond"/>
        </w:rPr>
        <w:t xml:space="preserve">. In particular, </w:t>
      </w:r>
      <w:r w:rsidR="0070639C">
        <w:rPr>
          <w:rFonts w:ascii="Garamond" w:hAnsi="Garamond"/>
        </w:rPr>
        <w:t xml:space="preserve">policy makers and corporate boards should focus on creating an inclusive environment that allows female managers sufficient leeway </w:t>
      </w:r>
      <w:r w:rsidRPr="00C367D7">
        <w:rPr>
          <w:rFonts w:ascii="Garamond" w:hAnsi="Garamond"/>
        </w:rPr>
        <w:t>to shape corporate policies.</w:t>
      </w:r>
    </w:p>
    <w:p w:rsidR="003B5DA5" w:rsidRPr="00C367D7" w:rsidRDefault="003B5DA5" w:rsidP="003B5DA5">
      <w:pPr>
        <w:spacing w:line="360" w:lineRule="auto"/>
        <w:jc w:val="both"/>
        <w:rPr>
          <w:rFonts w:ascii="Garamond" w:hAnsi="Garamond"/>
        </w:rPr>
      </w:pPr>
    </w:p>
    <w:p w:rsidR="003B5DA5" w:rsidRPr="00C367D7" w:rsidRDefault="003B5DA5" w:rsidP="003B5DA5">
      <w:pPr>
        <w:spacing w:line="360" w:lineRule="auto"/>
        <w:jc w:val="both"/>
        <w:rPr>
          <w:rFonts w:ascii="Garamond" w:hAnsi="Garamond"/>
          <w:color w:val="000000" w:themeColor="text1"/>
        </w:rPr>
      </w:pPr>
      <w:r w:rsidRPr="00C367D7">
        <w:rPr>
          <w:rFonts w:ascii="Garamond" w:hAnsi="Garamond"/>
        </w:rPr>
        <w:t xml:space="preserve">The rest of this paper proceeds as follows. Section 2 derives testable hypotheses. Section 3 introduces the dataset, provides variable definitions and explains the baseline methodology. Section 4 presents results of the empirical tests on the overall impact of CFO gender on corporate leverage as well as the moderating effect of the senior decision-making environment on female </w:t>
      </w:r>
      <w:proofErr w:type="spellStart"/>
      <w:r w:rsidRPr="00C367D7">
        <w:rPr>
          <w:rFonts w:ascii="Garamond" w:hAnsi="Garamond"/>
        </w:rPr>
        <w:t>CFOs’</w:t>
      </w:r>
      <w:proofErr w:type="spellEnd"/>
      <w:r w:rsidRPr="00C367D7">
        <w:rPr>
          <w:rFonts w:ascii="Garamond" w:hAnsi="Garamond"/>
        </w:rPr>
        <w:t xml:space="preserve"> impact on corporate leverage. Section 5 tests the robustness of our results to alternative specifications, while Section 6 summarises our findings and discusses their implications for policy makers and corporate decision makers.</w:t>
      </w:r>
    </w:p>
    <w:p w:rsidR="00542F88" w:rsidRDefault="00542F88" w:rsidP="00542F88">
      <w:pPr>
        <w:spacing w:line="360" w:lineRule="auto"/>
        <w:jc w:val="both"/>
      </w:pPr>
    </w:p>
    <w:p w:rsidR="00427DD7" w:rsidRPr="00446D34" w:rsidRDefault="00427DD7" w:rsidP="00446D34">
      <w:pPr>
        <w:spacing w:line="360" w:lineRule="auto"/>
        <w:jc w:val="both"/>
        <w:rPr>
          <w:rFonts w:ascii="Garamond" w:hAnsi="Garamond"/>
          <w:color w:val="000000" w:themeColor="text1"/>
        </w:rPr>
      </w:pPr>
    </w:p>
    <w:p w:rsidR="00427DD7" w:rsidRPr="00472520" w:rsidRDefault="00427DD7" w:rsidP="00446D34">
      <w:pPr>
        <w:pStyle w:val="a3"/>
        <w:numPr>
          <w:ilvl w:val="0"/>
          <w:numId w:val="1"/>
        </w:numPr>
        <w:spacing w:line="360" w:lineRule="auto"/>
        <w:jc w:val="both"/>
        <w:rPr>
          <w:rFonts w:ascii="Garamond" w:hAnsi="Garamond"/>
          <w:b/>
        </w:rPr>
      </w:pPr>
      <w:r w:rsidRPr="00472520">
        <w:rPr>
          <w:rFonts w:ascii="Garamond" w:hAnsi="Garamond"/>
          <w:b/>
        </w:rPr>
        <w:t xml:space="preserve">Hypothesis Development </w:t>
      </w:r>
    </w:p>
    <w:p w:rsidR="00446D34" w:rsidRPr="00446D34" w:rsidRDefault="00446D34" w:rsidP="00446D34">
      <w:pPr>
        <w:jc w:val="both"/>
        <w:rPr>
          <w:rFonts w:ascii="Garamond" w:hAnsi="Garamond"/>
        </w:rPr>
      </w:pPr>
    </w:p>
    <w:p w:rsidR="00FD151D" w:rsidRPr="00130045" w:rsidRDefault="00FD151D" w:rsidP="00FD151D">
      <w:pPr>
        <w:spacing w:line="360" w:lineRule="auto"/>
        <w:jc w:val="both"/>
        <w:rPr>
          <w:rFonts w:ascii="Garamond" w:hAnsi="Garamond"/>
          <w:i/>
          <w:iCs/>
        </w:rPr>
      </w:pPr>
      <w:r w:rsidRPr="00130045">
        <w:rPr>
          <w:rFonts w:ascii="Garamond" w:hAnsi="Garamond"/>
          <w:i/>
          <w:iCs/>
        </w:rPr>
        <w:t>Leverage and Female Risk Aversion</w:t>
      </w:r>
    </w:p>
    <w:p w:rsidR="00FD151D" w:rsidRDefault="00FD151D" w:rsidP="00FD151D">
      <w:pPr>
        <w:spacing w:line="360" w:lineRule="auto"/>
        <w:jc w:val="both"/>
        <w:rPr>
          <w:rFonts w:ascii="Garamond" w:hAnsi="Garamond"/>
        </w:rPr>
      </w:pPr>
      <w:r>
        <w:rPr>
          <w:rFonts w:ascii="Garamond" w:hAnsi="Garamond"/>
        </w:rPr>
        <w:t xml:space="preserve">There is a broad literature on the determinants of corporate leverage starting with the seminal work by Modigliani and Miller (1958). Traditionally, studies aimed to link corporate leverage to </w:t>
      </w:r>
      <w:r w:rsidRPr="00412A63">
        <w:rPr>
          <w:rFonts w:ascii="Garamond" w:hAnsi="Garamond"/>
        </w:rPr>
        <w:t>market, industry, and firm characteristics</w:t>
      </w:r>
      <w:r>
        <w:rPr>
          <w:rFonts w:ascii="Garamond" w:hAnsi="Garamond"/>
        </w:rPr>
        <w:t>, while more recently a stream of the literature argues that one central determinant of firms’ leverage are the debt preferences and personal characteristics of the managers that run these firms.</w:t>
      </w:r>
      <w:r>
        <w:rPr>
          <w:rStyle w:val="a9"/>
          <w:rFonts w:ascii="Garamond" w:hAnsi="Garamond"/>
        </w:rPr>
        <w:footnoteReference w:id="4"/>
      </w:r>
      <w:r>
        <w:rPr>
          <w:rFonts w:ascii="Garamond" w:hAnsi="Garamond"/>
        </w:rPr>
        <w:t xml:space="preserve"> For instance, </w:t>
      </w:r>
      <w:proofErr w:type="spellStart"/>
      <w:r w:rsidRPr="00535ABD">
        <w:rPr>
          <w:rFonts w:ascii="Garamond" w:hAnsi="Garamond"/>
        </w:rPr>
        <w:t>Cronqvist</w:t>
      </w:r>
      <w:proofErr w:type="spellEnd"/>
      <w:r w:rsidRPr="00535ABD">
        <w:rPr>
          <w:rFonts w:ascii="Garamond" w:hAnsi="Garamond"/>
        </w:rPr>
        <w:t xml:space="preserve"> et al. (2012) and </w:t>
      </w:r>
      <w:proofErr w:type="spellStart"/>
      <w:r w:rsidRPr="00535ABD">
        <w:rPr>
          <w:rFonts w:ascii="Garamond" w:hAnsi="Garamond"/>
        </w:rPr>
        <w:t>Korkeamäki</w:t>
      </w:r>
      <w:proofErr w:type="spellEnd"/>
      <w:r w:rsidRPr="00535ABD">
        <w:rPr>
          <w:rFonts w:ascii="Garamond" w:hAnsi="Garamond"/>
        </w:rPr>
        <w:t xml:space="preserve"> et al. (2017) demonstrate that </w:t>
      </w:r>
      <w:r>
        <w:rPr>
          <w:rFonts w:ascii="Garamond" w:hAnsi="Garamond"/>
        </w:rPr>
        <w:t>managers’</w:t>
      </w:r>
      <w:r w:rsidRPr="00535ABD">
        <w:rPr>
          <w:rFonts w:ascii="Garamond" w:hAnsi="Garamond"/>
        </w:rPr>
        <w:t xml:space="preserve"> personal debt preferences are </w:t>
      </w:r>
      <w:r>
        <w:rPr>
          <w:rFonts w:ascii="Garamond" w:hAnsi="Garamond"/>
        </w:rPr>
        <w:t>reflected in the</w:t>
      </w:r>
      <w:r w:rsidRPr="00535ABD">
        <w:rPr>
          <w:rFonts w:ascii="Garamond" w:hAnsi="Garamond"/>
        </w:rPr>
        <w:t xml:space="preserve"> capital structure of their firms</w:t>
      </w:r>
      <w:r>
        <w:rPr>
          <w:rFonts w:ascii="Garamond" w:hAnsi="Garamond"/>
        </w:rPr>
        <w:t xml:space="preserve">. </w:t>
      </w:r>
      <w:r w:rsidRPr="00412A63">
        <w:rPr>
          <w:rFonts w:ascii="Garamond" w:hAnsi="Garamond"/>
        </w:rPr>
        <w:t xml:space="preserve">Bertrand and </w:t>
      </w:r>
      <w:proofErr w:type="spellStart"/>
      <w:r w:rsidRPr="00412A63">
        <w:rPr>
          <w:rFonts w:ascii="Garamond" w:hAnsi="Garamond"/>
        </w:rPr>
        <w:t>Schoar</w:t>
      </w:r>
      <w:proofErr w:type="spellEnd"/>
      <w:r w:rsidRPr="00412A63">
        <w:rPr>
          <w:rFonts w:ascii="Garamond" w:hAnsi="Garamond"/>
        </w:rPr>
        <w:t xml:space="preserve"> (2003) and Frank and </w:t>
      </w:r>
      <w:proofErr w:type="spellStart"/>
      <w:r w:rsidRPr="00412A63">
        <w:rPr>
          <w:rFonts w:ascii="Garamond" w:hAnsi="Garamond"/>
        </w:rPr>
        <w:t>Goyal</w:t>
      </w:r>
      <w:proofErr w:type="spellEnd"/>
      <w:r w:rsidRPr="00412A63">
        <w:rPr>
          <w:rFonts w:ascii="Garamond" w:hAnsi="Garamond"/>
        </w:rPr>
        <w:t xml:space="preserve"> (2007)</w:t>
      </w:r>
      <w:r>
        <w:rPr>
          <w:rFonts w:ascii="Garamond" w:hAnsi="Garamond"/>
        </w:rPr>
        <w:t>, using manager fixed effects,</w:t>
      </w:r>
      <w:r w:rsidRPr="00412A63">
        <w:rPr>
          <w:rFonts w:ascii="Garamond" w:hAnsi="Garamond"/>
        </w:rPr>
        <w:t xml:space="preserve"> show that CFOs significantly affect their firms’ </w:t>
      </w:r>
      <w:r w:rsidRPr="00535ABD">
        <w:rPr>
          <w:rFonts w:ascii="Garamond" w:hAnsi="Garamond"/>
        </w:rPr>
        <w:t>capital structure and are more important in explaining corporate leverage than CEOs</w:t>
      </w:r>
      <w:r>
        <w:rPr>
          <w:rFonts w:ascii="Garamond" w:hAnsi="Garamond"/>
        </w:rPr>
        <w:t xml:space="preserve">, while survey evidence </w:t>
      </w:r>
      <w:r>
        <w:rPr>
          <w:rFonts w:ascii="Garamond" w:hAnsi="Garamond"/>
        </w:rPr>
        <w:lastRenderedPageBreak/>
        <w:t>presented in Beattie et al. (2006) reports that company’s senior management, and particularly the CFO, are considered the most important determinant of UK firms’ capital structure targets. L</w:t>
      </w:r>
      <w:r w:rsidRPr="00C367D7">
        <w:rPr>
          <w:rFonts w:ascii="Garamond" w:hAnsi="Garamond"/>
        </w:rPr>
        <w:t xml:space="preserve">everage is </w:t>
      </w:r>
      <w:r>
        <w:rPr>
          <w:rFonts w:ascii="Garamond" w:hAnsi="Garamond"/>
        </w:rPr>
        <w:t>a key indicator of a</w:t>
      </w:r>
      <w:r w:rsidRPr="00C367D7">
        <w:rPr>
          <w:rFonts w:ascii="Garamond" w:hAnsi="Garamond"/>
        </w:rPr>
        <w:t xml:space="preserve"> firm’s riskiness</w:t>
      </w:r>
      <w:r>
        <w:rPr>
          <w:rFonts w:ascii="Garamond" w:hAnsi="Garamond"/>
        </w:rPr>
        <w:t>:</w:t>
      </w:r>
      <w:r w:rsidRPr="00C367D7">
        <w:rPr>
          <w:rFonts w:ascii="Garamond" w:hAnsi="Garamond"/>
        </w:rPr>
        <w:t xml:space="preserve"> higher leverage is shown to raise a firm’s likelihood of financial distress and default risk (Molina 2005; </w:t>
      </w:r>
      <w:proofErr w:type="spellStart"/>
      <w:r w:rsidRPr="00C367D7">
        <w:rPr>
          <w:rFonts w:ascii="Garamond" w:hAnsi="Garamond"/>
        </w:rPr>
        <w:t>Bhagat</w:t>
      </w:r>
      <w:proofErr w:type="spellEnd"/>
      <w:r w:rsidRPr="00C367D7">
        <w:rPr>
          <w:rFonts w:ascii="Garamond" w:hAnsi="Garamond"/>
        </w:rPr>
        <w:t xml:space="preserve"> et al. 2015; </w:t>
      </w:r>
      <w:proofErr w:type="spellStart"/>
      <w:r w:rsidRPr="00C367D7">
        <w:rPr>
          <w:rFonts w:ascii="Garamond" w:hAnsi="Garamond"/>
        </w:rPr>
        <w:t>Faccio</w:t>
      </w:r>
      <w:proofErr w:type="spellEnd"/>
      <w:r w:rsidRPr="00C367D7">
        <w:rPr>
          <w:rFonts w:ascii="Garamond" w:hAnsi="Garamond"/>
        </w:rPr>
        <w:t xml:space="preserve"> et al. 2016)</w:t>
      </w:r>
      <w:r>
        <w:rPr>
          <w:rFonts w:ascii="Garamond" w:hAnsi="Garamond"/>
        </w:rPr>
        <w:t xml:space="preserve"> and these increased firm risks can translate into higher career risks for the managers of these firms. In particular, managers of</w:t>
      </w:r>
      <w:r w:rsidRPr="00C367D7">
        <w:rPr>
          <w:rFonts w:ascii="Garamond" w:hAnsi="Garamond"/>
        </w:rPr>
        <w:t xml:space="preserve"> firms experiencing financial distress and default have a higher likelihood of career turnover (Gilson, 1989; </w:t>
      </w:r>
      <w:proofErr w:type="spellStart"/>
      <w:r w:rsidRPr="00C367D7">
        <w:rPr>
          <w:rFonts w:ascii="Garamond" w:hAnsi="Garamond"/>
        </w:rPr>
        <w:t>Nini</w:t>
      </w:r>
      <w:proofErr w:type="spellEnd"/>
      <w:r w:rsidRPr="00C367D7">
        <w:rPr>
          <w:rFonts w:ascii="Garamond" w:hAnsi="Garamond"/>
        </w:rPr>
        <w:t xml:space="preserve"> et al., 2012) and lower chances of onward employment in other firms (Gilson, 1989; </w:t>
      </w:r>
      <w:proofErr w:type="spellStart"/>
      <w:r w:rsidRPr="00C367D7">
        <w:rPr>
          <w:rFonts w:ascii="Garamond" w:hAnsi="Garamond"/>
        </w:rPr>
        <w:t>Eckbo</w:t>
      </w:r>
      <w:proofErr w:type="spellEnd"/>
      <w:r w:rsidRPr="00C367D7">
        <w:rPr>
          <w:rFonts w:ascii="Garamond" w:hAnsi="Garamond"/>
        </w:rPr>
        <w:t xml:space="preserve"> and </w:t>
      </w:r>
      <w:proofErr w:type="spellStart"/>
      <w:r w:rsidRPr="00C367D7">
        <w:rPr>
          <w:rFonts w:ascii="Garamond" w:hAnsi="Garamond"/>
        </w:rPr>
        <w:t>Thorburn</w:t>
      </w:r>
      <w:proofErr w:type="spellEnd"/>
      <w:r w:rsidRPr="00C367D7">
        <w:rPr>
          <w:rFonts w:ascii="Garamond" w:hAnsi="Garamond"/>
        </w:rPr>
        <w:t xml:space="preserve">, 2003). </w:t>
      </w:r>
      <w:r>
        <w:rPr>
          <w:rFonts w:ascii="Garamond" w:hAnsi="Garamond"/>
        </w:rPr>
        <w:t xml:space="preserve">Taken together, these studies </w:t>
      </w:r>
      <w:r w:rsidR="004D14E2">
        <w:rPr>
          <w:rFonts w:ascii="Garamond" w:hAnsi="Garamond"/>
        </w:rPr>
        <w:t>indicate</w:t>
      </w:r>
      <w:r>
        <w:rPr>
          <w:rFonts w:ascii="Garamond" w:hAnsi="Garamond"/>
        </w:rPr>
        <w:t xml:space="preserve"> that</w:t>
      </w:r>
      <w:r w:rsidRPr="00C367D7">
        <w:rPr>
          <w:rFonts w:ascii="Garamond" w:hAnsi="Garamond"/>
        </w:rPr>
        <w:t xml:space="preserve"> more risk-averse </w:t>
      </w:r>
      <w:r>
        <w:rPr>
          <w:rFonts w:ascii="Garamond" w:hAnsi="Garamond"/>
        </w:rPr>
        <w:t>CFOs</w:t>
      </w:r>
      <w:r w:rsidRPr="00C367D7">
        <w:rPr>
          <w:rFonts w:ascii="Garamond" w:hAnsi="Garamond"/>
        </w:rPr>
        <w:t xml:space="preserve"> may prefer lower corporate leverage to mitigate negative career consequences resulting from financial distress</w:t>
      </w:r>
      <w:r>
        <w:rPr>
          <w:rFonts w:ascii="Garamond" w:hAnsi="Garamond"/>
        </w:rPr>
        <w:t xml:space="preserve"> and to align their corporate decisions with their personal risk-taking preferences (</w:t>
      </w:r>
      <w:proofErr w:type="spellStart"/>
      <w:r>
        <w:rPr>
          <w:rFonts w:ascii="Garamond" w:hAnsi="Garamond"/>
        </w:rPr>
        <w:t>Hackbarth</w:t>
      </w:r>
      <w:proofErr w:type="spellEnd"/>
      <w:r>
        <w:rPr>
          <w:rFonts w:ascii="Garamond" w:hAnsi="Garamond"/>
        </w:rPr>
        <w:t>, 2008)</w:t>
      </w:r>
      <w:r w:rsidRPr="00C367D7">
        <w:rPr>
          <w:rFonts w:ascii="Garamond" w:hAnsi="Garamond"/>
        </w:rPr>
        <w:t xml:space="preserve">. </w:t>
      </w:r>
    </w:p>
    <w:p w:rsidR="00FD151D" w:rsidRDefault="00FD151D" w:rsidP="00FD151D">
      <w:pPr>
        <w:spacing w:line="360" w:lineRule="auto"/>
        <w:jc w:val="both"/>
        <w:rPr>
          <w:rFonts w:ascii="Garamond" w:hAnsi="Garamond"/>
        </w:rPr>
      </w:pPr>
    </w:p>
    <w:p w:rsidR="00FD151D" w:rsidRDefault="00FD151D" w:rsidP="00FD151D">
      <w:pPr>
        <w:spacing w:line="360" w:lineRule="auto"/>
        <w:jc w:val="both"/>
        <w:rPr>
          <w:rFonts w:ascii="Garamond" w:hAnsi="Garamond"/>
        </w:rPr>
      </w:pPr>
      <w:r>
        <w:rPr>
          <w:rFonts w:ascii="Garamond" w:hAnsi="Garamond"/>
        </w:rPr>
        <w:t xml:space="preserve">This prediction provides an interesting testing ground for the impact of CFO gender on corporate leverage. There is a </w:t>
      </w:r>
      <w:r w:rsidRPr="00583BD3">
        <w:rPr>
          <w:rFonts w:ascii="Garamond" w:hAnsi="Garamond"/>
        </w:rPr>
        <w:t>broad literature which suggests that women tend to make less risky decisions, are more</w:t>
      </w:r>
      <w:r w:rsidRPr="007456CF">
        <w:rPr>
          <w:rFonts w:ascii="Garamond" w:hAnsi="Garamond"/>
        </w:rPr>
        <w:t xml:space="preserve"> conservative in their investment choices and exhibit </w:t>
      </w:r>
      <w:r w:rsidRPr="0061560C">
        <w:rPr>
          <w:rFonts w:ascii="Garamond" w:hAnsi="Garamond"/>
        </w:rPr>
        <w:t>lower levels</w:t>
      </w:r>
      <w:r w:rsidRPr="00583BD3">
        <w:rPr>
          <w:rFonts w:ascii="Garamond" w:hAnsi="Garamond"/>
        </w:rPr>
        <w:t xml:space="preserve"> of overconfidence than men (</w:t>
      </w:r>
      <w:proofErr w:type="spellStart"/>
      <w:r w:rsidRPr="00583BD3">
        <w:rPr>
          <w:rFonts w:ascii="Garamond" w:hAnsi="Garamond"/>
        </w:rPr>
        <w:t>Croson</w:t>
      </w:r>
      <w:proofErr w:type="spellEnd"/>
      <w:r w:rsidRPr="00583BD3">
        <w:rPr>
          <w:rFonts w:ascii="Garamond" w:hAnsi="Garamond"/>
        </w:rPr>
        <w:t xml:space="preserve"> and </w:t>
      </w:r>
      <w:proofErr w:type="spellStart"/>
      <w:r w:rsidRPr="00583BD3">
        <w:rPr>
          <w:rFonts w:ascii="Garamond" w:hAnsi="Garamond"/>
        </w:rPr>
        <w:t>Gneezy</w:t>
      </w:r>
      <w:proofErr w:type="spellEnd"/>
      <w:r w:rsidRPr="00583BD3">
        <w:rPr>
          <w:rFonts w:ascii="Garamond" w:hAnsi="Garamond"/>
        </w:rPr>
        <w:t xml:space="preserve">, 2009; Bertrand, 2011). Women have also been shown to focus more on strategies that avoid the worst outcomes and offer greater security (Byrnes et al., 1999: Cumming et al, 2015). For instance, the portfolios of women investors are found to be less risky than those of their male counterparts (Barber and </w:t>
      </w:r>
      <w:proofErr w:type="spellStart"/>
      <w:r w:rsidRPr="00583BD3">
        <w:rPr>
          <w:rFonts w:ascii="Garamond" w:hAnsi="Garamond"/>
        </w:rPr>
        <w:t>Odean</w:t>
      </w:r>
      <w:proofErr w:type="spellEnd"/>
      <w:r w:rsidRPr="00583BD3">
        <w:rPr>
          <w:rFonts w:ascii="Garamond" w:hAnsi="Garamond"/>
        </w:rPr>
        <w:t xml:space="preserve">, 2001), female investors </w:t>
      </w:r>
      <w:r w:rsidRPr="007456CF">
        <w:rPr>
          <w:rFonts w:ascii="Garamond" w:hAnsi="Garamond"/>
        </w:rPr>
        <w:t>tend to consider</w:t>
      </w:r>
      <w:r w:rsidRPr="0061560C">
        <w:rPr>
          <w:rFonts w:ascii="Garamond" w:hAnsi="Garamond"/>
        </w:rPr>
        <w:t xml:space="preserve"> risk attributes, such as </w:t>
      </w:r>
      <w:r w:rsidRPr="00583BD3">
        <w:rPr>
          <w:rFonts w:ascii="Garamond" w:hAnsi="Garamond"/>
        </w:rPr>
        <w:t>the possibility of loss and ambiguity, more heavily and are more likely to focus on risk reduction than men in their portfolio investments (Olsen and Cox, 2001), and women prefer to hold less risky assets in their retirement plans (Agnew</w:t>
      </w:r>
      <w:r w:rsidRPr="007456CF">
        <w:rPr>
          <w:rFonts w:ascii="Garamond" w:hAnsi="Garamond"/>
        </w:rPr>
        <w:t xml:space="preserve"> et al.</w:t>
      </w:r>
      <w:r w:rsidRPr="0061560C">
        <w:rPr>
          <w:rFonts w:ascii="Garamond" w:hAnsi="Garamond"/>
        </w:rPr>
        <w:t>, 2003)</w:t>
      </w:r>
      <w:r w:rsidRPr="00583BD3">
        <w:rPr>
          <w:rFonts w:ascii="Garamond" w:hAnsi="Garamond"/>
        </w:rPr>
        <w:t>. In addition, there is mounting evidence that these gender-specific risk-taking preferences also translate into</w:t>
      </w:r>
      <w:r>
        <w:rPr>
          <w:rFonts w:ascii="Garamond" w:hAnsi="Garamond"/>
        </w:rPr>
        <w:t xml:space="preserve"> corporate decision making in senior management. For instance, firms run by female CFOs are found to exhibit less risky corporate policies and firm actions, including more conservative financial reporting practices (</w:t>
      </w:r>
      <w:proofErr w:type="spellStart"/>
      <w:r w:rsidRPr="006E3CC9">
        <w:rPr>
          <w:rFonts w:ascii="Garamond" w:hAnsi="Garamond"/>
        </w:rPr>
        <w:t>Barua</w:t>
      </w:r>
      <w:proofErr w:type="spellEnd"/>
      <w:r w:rsidRPr="006E3CC9">
        <w:rPr>
          <w:rFonts w:ascii="Garamond" w:hAnsi="Garamond"/>
        </w:rPr>
        <w:t xml:space="preserve"> et al.</w:t>
      </w:r>
      <w:r>
        <w:rPr>
          <w:rFonts w:ascii="Garamond" w:hAnsi="Garamond"/>
        </w:rPr>
        <w:t xml:space="preserve">, </w:t>
      </w:r>
      <w:r w:rsidRPr="006E3CC9">
        <w:rPr>
          <w:rFonts w:ascii="Garamond" w:hAnsi="Garamond"/>
        </w:rPr>
        <w:t>2010</w:t>
      </w:r>
      <w:r>
        <w:rPr>
          <w:rFonts w:ascii="Garamond" w:hAnsi="Garamond"/>
        </w:rPr>
        <w:t>;</w:t>
      </w:r>
      <w:r w:rsidRPr="006E3CC9">
        <w:rPr>
          <w:rFonts w:ascii="Garamond" w:hAnsi="Garamond"/>
        </w:rPr>
        <w:t xml:space="preserve"> </w:t>
      </w:r>
      <w:r w:rsidRPr="00C367D7">
        <w:rPr>
          <w:rFonts w:ascii="Garamond" w:hAnsi="Garamond"/>
        </w:rPr>
        <w:t>Francis et al., 2015</w:t>
      </w:r>
      <w:r>
        <w:rPr>
          <w:rFonts w:ascii="Garamond" w:hAnsi="Garamond"/>
        </w:rPr>
        <w:t>), lower stock price crash risks (</w:t>
      </w:r>
      <w:r w:rsidRPr="00C367D7">
        <w:rPr>
          <w:rFonts w:ascii="Garamond" w:hAnsi="Garamond"/>
        </w:rPr>
        <w:t xml:space="preserve">Li and </w:t>
      </w:r>
      <w:proofErr w:type="spellStart"/>
      <w:r w:rsidRPr="00C367D7">
        <w:rPr>
          <w:rFonts w:ascii="Garamond" w:hAnsi="Garamond"/>
        </w:rPr>
        <w:t>Zeng</w:t>
      </w:r>
      <w:proofErr w:type="spellEnd"/>
      <w:r w:rsidRPr="00C367D7">
        <w:rPr>
          <w:rFonts w:ascii="Garamond" w:hAnsi="Garamond"/>
        </w:rPr>
        <w:t>, 2019</w:t>
      </w:r>
      <w:r>
        <w:rPr>
          <w:rFonts w:ascii="Garamond" w:hAnsi="Garamond"/>
        </w:rPr>
        <w:t>), lower likelihood of financial misreporting (</w:t>
      </w:r>
      <w:r w:rsidRPr="00C367D7">
        <w:rPr>
          <w:rFonts w:ascii="Garamond" w:hAnsi="Garamond"/>
        </w:rPr>
        <w:t>Gupta et al., 2020</w:t>
      </w:r>
      <w:r>
        <w:rPr>
          <w:rFonts w:ascii="Garamond" w:hAnsi="Garamond"/>
        </w:rPr>
        <w:t xml:space="preserve">) and a </w:t>
      </w:r>
      <w:r w:rsidRPr="006E3CC9">
        <w:rPr>
          <w:rFonts w:ascii="Garamond" w:hAnsi="Garamond"/>
        </w:rPr>
        <w:t>lower propensity to engage in mergers and acquisitions and</w:t>
      </w:r>
      <w:r>
        <w:rPr>
          <w:rFonts w:ascii="Garamond" w:hAnsi="Garamond"/>
        </w:rPr>
        <w:t xml:space="preserve"> to</w:t>
      </w:r>
      <w:r w:rsidRPr="006E3CC9">
        <w:rPr>
          <w:rFonts w:ascii="Garamond" w:hAnsi="Garamond"/>
        </w:rPr>
        <w:t xml:space="preserve"> issue debt</w:t>
      </w:r>
      <w:r w:rsidRPr="00C367D7">
        <w:rPr>
          <w:rFonts w:ascii="Garamond" w:hAnsi="Garamond"/>
        </w:rPr>
        <w:t xml:space="preserve"> </w:t>
      </w:r>
      <w:r>
        <w:rPr>
          <w:rFonts w:ascii="Garamond" w:hAnsi="Garamond"/>
        </w:rPr>
        <w:t>(</w:t>
      </w:r>
      <w:r w:rsidRPr="00C367D7">
        <w:rPr>
          <w:rFonts w:ascii="Garamond" w:hAnsi="Garamond"/>
        </w:rPr>
        <w:t xml:space="preserve">Huang and </w:t>
      </w:r>
      <w:proofErr w:type="spellStart"/>
      <w:r w:rsidRPr="00C367D7">
        <w:rPr>
          <w:rFonts w:ascii="Garamond" w:hAnsi="Garamond"/>
        </w:rPr>
        <w:t>Kisgen</w:t>
      </w:r>
      <w:proofErr w:type="spellEnd"/>
      <w:r w:rsidRPr="00C367D7">
        <w:rPr>
          <w:rFonts w:ascii="Garamond" w:hAnsi="Garamond"/>
        </w:rPr>
        <w:t>, 2013</w:t>
      </w:r>
      <w:r>
        <w:rPr>
          <w:rFonts w:ascii="Garamond" w:hAnsi="Garamond"/>
        </w:rPr>
        <w:t>).</w:t>
      </w:r>
    </w:p>
    <w:p w:rsidR="00FD151D" w:rsidRDefault="00FD151D" w:rsidP="00FD151D">
      <w:pPr>
        <w:spacing w:line="360" w:lineRule="auto"/>
        <w:jc w:val="both"/>
        <w:rPr>
          <w:rFonts w:ascii="Garamond" w:hAnsi="Garamond"/>
        </w:rPr>
      </w:pPr>
    </w:p>
    <w:p w:rsidR="00FD151D" w:rsidRDefault="00FD151D" w:rsidP="00FD151D">
      <w:pPr>
        <w:spacing w:line="360" w:lineRule="auto"/>
        <w:jc w:val="both"/>
        <w:rPr>
          <w:rFonts w:ascii="Garamond" w:hAnsi="Garamond"/>
        </w:rPr>
      </w:pPr>
      <w:r>
        <w:rPr>
          <w:rFonts w:ascii="Garamond" w:hAnsi="Garamond"/>
        </w:rPr>
        <w:t>Therefore</w:t>
      </w:r>
      <w:r w:rsidRPr="00C367D7">
        <w:rPr>
          <w:rFonts w:ascii="Garamond" w:hAnsi="Garamond"/>
        </w:rPr>
        <w:t>, if female CFOs are more risk-averse and this preference translates into their corporate decisions, we expect to observe lower leverage levels for firms run by female CFOs</w:t>
      </w:r>
      <w:r>
        <w:rPr>
          <w:rFonts w:ascii="Garamond" w:hAnsi="Garamond"/>
        </w:rPr>
        <w:t>:</w:t>
      </w:r>
    </w:p>
    <w:p w:rsidR="00FD151D" w:rsidRDefault="00FD151D" w:rsidP="00FD151D">
      <w:pPr>
        <w:spacing w:line="360" w:lineRule="auto"/>
        <w:jc w:val="both"/>
        <w:rPr>
          <w:rFonts w:ascii="Garamond" w:hAnsi="Garamond"/>
        </w:rPr>
      </w:pPr>
    </w:p>
    <w:p w:rsidR="00FD151D" w:rsidRPr="00446D34" w:rsidRDefault="00FD151D" w:rsidP="00FD151D">
      <w:pPr>
        <w:spacing w:line="360" w:lineRule="auto"/>
        <w:ind w:firstLine="720"/>
        <w:jc w:val="center"/>
        <w:rPr>
          <w:rFonts w:ascii="Garamond" w:hAnsi="Garamond"/>
          <w:i/>
        </w:rPr>
      </w:pPr>
      <w:r w:rsidRPr="00446D34">
        <w:rPr>
          <w:rFonts w:ascii="Garamond" w:hAnsi="Garamond"/>
          <w:i/>
        </w:rPr>
        <w:t>H1: Firms with female CFOs have lower leverage than firms with male CFOs.</w:t>
      </w:r>
    </w:p>
    <w:p w:rsidR="00FD151D" w:rsidRDefault="00FD151D" w:rsidP="00FD151D">
      <w:pPr>
        <w:spacing w:line="360" w:lineRule="auto"/>
        <w:jc w:val="both"/>
        <w:rPr>
          <w:rFonts w:ascii="Garamond" w:hAnsi="Garamond"/>
        </w:rPr>
      </w:pPr>
    </w:p>
    <w:p w:rsidR="00FD151D" w:rsidRDefault="00FD151D" w:rsidP="00FD151D">
      <w:pPr>
        <w:spacing w:line="360" w:lineRule="auto"/>
        <w:jc w:val="both"/>
        <w:rPr>
          <w:rFonts w:ascii="Garamond" w:hAnsi="Garamond"/>
        </w:rPr>
      </w:pPr>
      <w:r>
        <w:rPr>
          <w:rFonts w:ascii="Garamond" w:hAnsi="Garamond"/>
        </w:rPr>
        <w:t xml:space="preserve">On the contrary, if women at the highest level of the managerial hierarchy, such as female CFOs, are different from the general public in their risk-taking preferences as suggested by evidence in Adams and Funk (2012) and </w:t>
      </w:r>
      <w:proofErr w:type="spellStart"/>
      <w:r>
        <w:rPr>
          <w:rFonts w:ascii="Garamond" w:hAnsi="Garamond"/>
        </w:rPr>
        <w:t>Matsa</w:t>
      </w:r>
      <w:proofErr w:type="spellEnd"/>
      <w:r>
        <w:rPr>
          <w:rFonts w:ascii="Garamond" w:hAnsi="Garamond"/>
        </w:rPr>
        <w:t xml:space="preserve"> and Miller (2013), we would expect firms run by female CFOs not to differ in their leverage from firms run by male CFOs.</w:t>
      </w:r>
    </w:p>
    <w:p w:rsidR="00FD151D" w:rsidRDefault="00FD151D" w:rsidP="00FD151D">
      <w:pPr>
        <w:spacing w:line="360" w:lineRule="auto"/>
        <w:jc w:val="both"/>
        <w:rPr>
          <w:rFonts w:ascii="Garamond" w:hAnsi="Garamond"/>
        </w:rPr>
      </w:pPr>
    </w:p>
    <w:p w:rsidR="00FD151D" w:rsidRPr="00BC008A" w:rsidRDefault="00FD151D" w:rsidP="00FD151D">
      <w:pPr>
        <w:spacing w:line="360" w:lineRule="auto"/>
        <w:jc w:val="both"/>
        <w:rPr>
          <w:rFonts w:ascii="Garamond" w:hAnsi="Garamond"/>
          <w:i/>
          <w:iCs/>
        </w:rPr>
      </w:pPr>
      <w:r w:rsidRPr="00BC008A">
        <w:rPr>
          <w:rFonts w:ascii="Garamond" w:hAnsi="Garamond"/>
          <w:i/>
          <w:iCs/>
        </w:rPr>
        <w:t xml:space="preserve">Managerial Discretion as a moderator of Female </w:t>
      </w:r>
      <w:proofErr w:type="spellStart"/>
      <w:r w:rsidRPr="00BC008A">
        <w:rPr>
          <w:rFonts w:ascii="Garamond" w:hAnsi="Garamond"/>
          <w:i/>
          <w:iCs/>
        </w:rPr>
        <w:t>CFOs’</w:t>
      </w:r>
      <w:proofErr w:type="spellEnd"/>
      <w:r w:rsidRPr="00BC008A">
        <w:rPr>
          <w:rFonts w:ascii="Garamond" w:hAnsi="Garamond"/>
          <w:i/>
          <w:iCs/>
        </w:rPr>
        <w:t xml:space="preserve"> Impact on Leverage</w:t>
      </w:r>
    </w:p>
    <w:p w:rsidR="00FD151D" w:rsidRDefault="00FD151D" w:rsidP="00FD151D">
      <w:pPr>
        <w:spacing w:line="360" w:lineRule="auto"/>
        <w:jc w:val="both"/>
        <w:rPr>
          <w:rFonts w:ascii="Garamond" w:hAnsi="Garamond"/>
        </w:rPr>
      </w:pPr>
      <w:r>
        <w:rPr>
          <w:rFonts w:ascii="Garamond" w:hAnsi="Garamond"/>
        </w:rPr>
        <w:t xml:space="preserve">Another consideration that could explain differing findings in the literature on the effect of gender on managerial decision-making and hence corporate outcomes relates to the decision-making environment and the critical factors under which gender differences might materialise. We deploy managerial discretion theory to derive hypotheses regarding the conditions under which female </w:t>
      </w:r>
      <w:proofErr w:type="spellStart"/>
      <w:r>
        <w:rPr>
          <w:rFonts w:ascii="Garamond" w:hAnsi="Garamond"/>
        </w:rPr>
        <w:t>CFOs’</w:t>
      </w:r>
      <w:proofErr w:type="spellEnd"/>
      <w:r>
        <w:rPr>
          <w:rFonts w:ascii="Garamond" w:hAnsi="Garamond"/>
        </w:rPr>
        <w:t xml:space="preserve"> risk-taking preferences are more likely to translate into a measurable impact on corporate leverage, and under which conditions we do not expect gender differences to lead to observable effects on corporate outcomes. Managerial discretion theory focuses on the leeway available to managers to influence corporate policies, i.e. their managerial discretion (</w:t>
      </w:r>
      <w:proofErr w:type="spellStart"/>
      <w:r>
        <w:rPr>
          <w:rFonts w:ascii="Garamond" w:hAnsi="Garamond"/>
        </w:rPr>
        <w:t>Hambrick</w:t>
      </w:r>
      <w:proofErr w:type="spellEnd"/>
      <w:r>
        <w:rPr>
          <w:rFonts w:ascii="Garamond" w:hAnsi="Garamond"/>
        </w:rPr>
        <w:t xml:space="preserve">, 2007): if managers have greater managerial discretion, i.e. greater leeway and power to influence corporate actions, managerial characteristics, such as gender-specific risk-taking preferences, are more likely to be reflected in corporate policies, whereas if their leeway and decision-making power is restricted, their preferences do not translate into corporate outcomes </w:t>
      </w:r>
      <w:r w:rsidRPr="00C367D7">
        <w:rPr>
          <w:rFonts w:ascii="Garamond" w:hAnsi="Garamond"/>
        </w:rPr>
        <w:t xml:space="preserve">(Quigley </w:t>
      </w:r>
      <w:r w:rsidR="008C54E9">
        <w:rPr>
          <w:rFonts w:ascii="Garamond" w:hAnsi="Garamond"/>
        </w:rPr>
        <w:t>and</w:t>
      </w:r>
      <w:r w:rsidR="008C54E9" w:rsidRPr="00C367D7">
        <w:rPr>
          <w:rFonts w:ascii="Garamond" w:hAnsi="Garamond"/>
        </w:rPr>
        <w:t xml:space="preserve"> </w:t>
      </w:r>
      <w:proofErr w:type="spellStart"/>
      <w:r w:rsidRPr="00C367D7">
        <w:rPr>
          <w:rFonts w:ascii="Garamond" w:hAnsi="Garamond"/>
        </w:rPr>
        <w:t>Hambrick</w:t>
      </w:r>
      <w:proofErr w:type="spellEnd"/>
      <w:r w:rsidRPr="00C367D7">
        <w:rPr>
          <w:rFonts w:ascii="Garamond" w:hAnsi="Garamond"/>
        </w:rPr>
        <w:t xml:space="preserve">, 2015; </w:t>
      </w:r>
      <w:proofErr w:type="spellStart"/>
      <w:r w:rsidRPr="00C367D7">
        <w:rPr>
          <w:rFonts w:ascii="Garamond" w:hAnsi="Garamond"/>
        </w:rPr>
        <w:t>Wangrow</w:t>
      </w:r>
      <w:proofErr w:type="spellEnd"/>
      <w:r w:rsidRPr="00C367D7">
        <w:rPr>
          <w:rFonts w:ascii="Garamond" w:hAnsi="Garamond"/>
        </w:rPr>
        <w:t xml:space="preserve"> et al., 2015)</w:t>
      </w:r>
      <w:r>
        <w:rPr>
          <w:rFonts w:ascii="Garamond" w:hAnsi="Garamond"/>
        </w:rPr>
        <w:t>. Female managers’ d</w:t>
      </w:r>
      <w:r w:rsidRPr="00CA061E">
        <w:rPr>
          <w:rFonts w:ascii="Garamond" w:hAnsi="Garamond"/>
        </w:rPr>
        <w:t xml:space="preserve">iscretion depends, in large part, on </w:t>
      </w:r>
      <w:r>
        <w:rPr>
          <w:rFonts w:ascii="Garamond" w:hAnsi="Garamond"/>
        </w:rPr>
        <w:t>their relationship to other executives and directors</w:t>
      </w:r>
      <w:r w:rsidRPr="00CA061E">
        <w:rPr>
          <w:rFonts w:ascii="Garamond" w:hAnsi="Garamond"/>
        </w:rPr>
        <w:t xml:space="preserve"> who can constrain or </w:t>
      </w:r>
      <w:r>
        <w:rPr>
          <w:rFonts w:ascii="Garamond" w:hAnsi="Garamond"/>
        </w:rPr>
        <w:t>enhance</w:t>
      </w:r>
      <w:r w:rsidRPr="00CA061E">
        <w:rPr>
          <w:rFonts w:ascii="Garamond" w:hAnsi="Garamond"/>
        </w:rPr>
        <w:t xml:space="preserve"> </w:t>
      </w:r>
      <w:r>
        <w:rPr>
          <w:rFonts w:ascii="Garamond" w:hAnsi="Garamond"/>
        </w:rPr>
        <w:t>their impact</w:t>
      </w:r>
      <w:r w:rsidRPr="00CA061E">
        <w:rPr>
          <w:rFonts w:ascii="Garamond" w:hAnsi="Garamond"/>
        </w:rPr>
        <w:t xml:space="preserve"> on corporate outcomes (</w:t>
      </w:r>
      <w:proofErr w:type="spellStart"/>
      <w:r w:rsidRPr="00CA061E">
        <w:rPr>
          <w:rFonts w:ascii="Garamond" w:hAnsi="Garamond"/>
        </w:rPr>
        <w:t>Wangrow</w:t>
      </w:r>
      <w:proofErr w:type="spellEnd"/>
      <w:r>
        <w:rPr>
          <w:rFonts w:ascii="Garamond" w:hAnsi="Garamond"/>
        </w:rPr>
        <w:t xml:space="preserve"> et al.</w:t>
      </w:r>
      <w:r w:rsidRPr="00CA061E">
        <w:rPr>
          <w:rFonts w:ascii="Garamond" w:hAnsi="Garamond"/>
        </w:rPr>
        <w:t xml:space="preserve">, 2015). </w:t>
      </w:r>
      <w:r>
        <w:rPr>
          <w:rFonts w:ascii="Garamond" w:hAnsi="Garamond"/>
        </w:rPr>
        <w:t xml:space="preserve">In the context of female CFOs and their leeway and power to influence corporate leverage choices, we argue that the power of the CEO, the diversity of the board of directors and </w:t>
      </w:r>
      <w:proofErr w:type="spellStart"/>
      <w:r>
        <w:rPr>
          <w:rFonts w:ascii="Garamond" w:hAnsi="Garamond"/>
        </w:rPr>
        <w:t>CFOs’</w:t>
      </w:r>
      <w:proofErr w:type="spellEnd"/>
      <w:r>
        <w:rPr>
          <w:rFonts w:ascii="Garamond" w:hAnsi="Garamond"/>
        </w:rPr>
        <w:t xml:space="preserve"> hiring status are important moderators of female </w:t>
      </w:r>
      <w:proofErr w:type="spellStart"/>
      <w:r>
        <w:rPr>
          <w:rFonts w:ascii="Garamond" w:hAnsi="Garamond"/>
        </w:rPr>
        <w:t>CFOs’</w:t>
      </w:r>
      <w:proofErr w:type="spellEnd"/>
      <w:r>
        <w:rPr>
          <w:rFonts w:ascii="Garamond" w:hAnsi="Garamond"/>
        </w:rPr>
        <w:t xml:space="preserve"> impact on corporate leverage. We derive testable hypotheses regarding the moderating effect of these factors below.</w:t>
      </w:r>
    </w:p>
    <w:p w:rsidR="00FD151D" w:rsidRDefault="00FD151D" w:rsidP="00FD151D">
      <w:pPr>
        <w:spacing w:line="360" w:lineRule="auto"/>
        <w:jc w:val="both"/>
        <w:rPr>
          <w:rFonts w:ascii="Garamond" w:hAnsi="Garamond"/>
        </w:rPr>
      </w:pPr>
    </w:p>
    <w:p w:rsidR="00FD151D" w:rsidRPr="001413E4" w:rsidRDefault="00FD151D" w:rsidP="00FD151D">
      <w:pPr>
        <w:spacing w:line="360" w:lineRule="auto"/>
        <w:jc w:val="both"/>
        <w:rPr>
          <w:rFonts w:ascii="Garamond" w:hAnsi="Garamond"/>
          <w:i/>
          <w:iCs/>
        </w:rPr>
      </w:pPr>
      <w:r w:rsidRPr="001413E4">
        <w:rPr>
          <w:rFonts w:ascii="Garamond" w:hAnsi="Garamond"/>
          <w:i/>
          <w:iCs/>
        </w:rPr>
        <w:t>Moderating Effect of Board Diversity</w:t>
      </w:r>
    </w:p>
    <w:p w:rsidR="00FD151D" w:rsidRDefault="00FD151D" w:rsidP="00FD151D">
      <w:pPr>
        <w:spacing w:line="360" w:lineRule="auto"/>
        <w:jc w:val="both"/>
        <w:rPr>
          <w:rFonts w:ascii="Garamond" w:hAnsi="Garamond"/>
        </w:rPr>
      </w:pPr>
      <w:r>
        <w:rPr>
          <w:rFonts w:ascii="Garamond" w:hAnsi="Garamond"/>
        </w:rPr>
        <w:t>Building on the literature on group heterogeneity, a recent stream of research investigates the role of board diversity in affecting the decision-making environment in firms and its impact on corporate policies. In particular, a more diverse board capturing a high diversity of gender, culture, nationality and age may affect the quality and processes of decision making (</w:t>
      </w:r>
      <w:proofErr w:type="spellStart"/>
      <w:r>
        <w:rPr>
          <w:rFonts w:ascii="Garamond" w:hAnsi="Garamond"/>
        </w:rPr>
        <w:t>Hoogendoorn</w:t>
      </w:r>
      <w:proofErr w:type="spellEnd"/>
      <w:r>
        <w:rPr>
          <w:rFonts w:ascii="Garamond" w:hAnsi="Garamond"/>
        </w:rPr>
        <w:t xml:space="preserve"> et al., 2013) through the advice directors provide to executives and by acting as gatekeepers for strategic proposals (Stiles, 2001). As argued by Fang et al. (2018: 475), “a high </w:t>
      </w:r>
      <w:r>
        <w:rPr>
          <w:rFonts w:ascii="Garamond" w:hAnsi="Garamond"/>
        </w:rPr>
        <w:lastRenderedPageBreak/>
        <w:t xml:space="preserve">degree of diversity of culture, gender, and race can effectively weaken social barriers” and hence may create a decision-making environment in which female CFOs have a greater ability to affect corporate policies. Relating to </w:t>
      </w:r>
      <w:proofErr w:type="spellStart"/>
      <w:r>
        <w:rPr>
          <w:rFonts w:ascii="Garamond" w:hAnsi="Garamond"/>
        </w:rPr>
        <w:t>Kanter’s</w:t>
      </w:r>
      <w:proofErr w:type="spellEnd"/>
      <w:r>
        <w:rPr>
          <w:rFonts w:ascii="Garamond" w:hAnsi="Garamond"/>
        </w:rPr>
        <w:t xml:space="preserve"> (1977) argument regarding the tokenism status of many women in corporate leadership roles and their associated lower influence and status, greater board diversity may alleviate the potential tokenism status of a female CFO and equip female CFOs with greater influence over corporate policies (see also Liu et al., 2014). In addition, greater board diversity may foster creativity and openness to new ideas in the boardroom and therefore improve the decision-making process. For instance, Haynes and Hillman (2010) show that boards which possess more diverse human and social capital are more likely to adopt strategic changes than homogeneous boards who tend to show patterns of ‘groupthink’ (e.g. Gompers et al., 2016), which can hinder the adoption and discussion of new strategic proposals. Also, results presented in </w:t>
      </w:r>
      <w:proofErr w:type="spellStart"/>
      <w:r>
        <w:rPr>
          <w:rFonts w:ascii="Garamond" w:hAnsi="Garamond"/>
        </w:rPr>
        <w:t>Joecks</w:t>
      </w:r>
      <w:proofErr w:type="spellEnd"/>
      <w:r>
        <w:rPr>
          <w:rFonts w:ascii="Garamond" w:hAnsi="Garamond"/>
        </w:rPr>
        <w:t xml:space="preserve"> et al. (2013) suggest that firms require a critical mass of women representation on the board for these women to influence firm performance. As most CFOs in UK corporations sit on the board of their firms (</w:t>
      </w:r>
      <w:proofErr w:type="spellStart"/>
      <w:r>
        <w:rPr>
          <w:rFonts w:ascii="Garamond" w:hAnsi="Garamond"/>
        </w:rPr>
        <w:t>Florackis</w:t>
      </w:r>
      <w:proofErr w:type="spellEnd"/>
      <w:r>
        <w:rPr>
          <w:rFonts w:ascii="Garamond" w:hAnsi="Garamond"/>
        </w:rPr>
        <w:t xml:space="preserve"> and </w:t>
      </w:r>
      <w:proofErr w:type="spellStart"/>
      <w:r>
        <w:rPr>
          <w:rFonts w:ascii="Garamond" w:hAnsi="Garamond"/>
        </w:rPr>
        <w:t>Sainani</w:t>
      </w:r>
      <w:proofErr w:type="spellEnd"/>
      <w:r>
        <w:rPr>
          <w:rFonts w:ascii="Garamond" w:hAnsi="Garamond"/>
        </w:rPr>
        <w:t xml:space="preserve">, 2018), female </w:t>
      </w:r>
      <w:proofErr w:type="spellStart"/>
      <w:r>
        <w:rPr>
          <w:rFonts w:ascii="Garamond" w:hAnsi="Garamond"/>
        </w:rPr>
        <w:t>CFOs’</w:t>
      </w:r>
      <w:proofErr w:type="spellEnd"/>
      <w:r>
        <w:rPr>
          <w:rFonts w:ascii="Garamond" w:hAnsi="Garamond"/>
        </w:rPr>
        <w:t xml:space="preserve"> relationship to the other board members and their potential ‘tokenism’ status can affect their actual or perceived leeway to influence, and change, existing leverage structures. In contrast, if the board of directors is characterised by high levels of diversity, this might alleviate female </w:t>
      </w:r>
      <w:proofErr w:type="spellStart"/>
      <w:r>
        <w:rPr>
          <w:rFonts w:ascii="Garamond" w:hAnsi="Garamond"/>
        </w:rPr>
        <w:t>CFOs’</w:t>
      </w:r>
      <w:proofErr w:type="spellEnd"/>
      <w:r>
        <w:rPr>
          <w:rFonts w:ascii="Garamond" w:hAnsi="Garamond"/>
        </w:rPr>
        <w:t xml:space="preserve"> minority status and grant them greater influence over leverage choices. In line with this reasoning, we </w:t>
      </w:r>
      <w:r w:rsidR="00036AEF">
        <w:rPr>
          <w:rFonts w:ascii="Garamond" w:hAnsi="Garamond"/>
        </w:rPr>
        <w:t xml:space="preserve">state </w:t>
      </w:r>
      <w:r>
        <w:rPr>
          <w:rFonts w:ascii="Garamond" w:hAnsi="Garamond"/>
        </w:rPr>
        <w:t>the following hypothesis:</w:t>
      </w:r>
    </w:p>
    <w:p w:rsidR="00FD151D" w:rsidRDefault="00FD151D" w:rsidP="00FD151D">
      <w:pPr>
        <w:spacing w:line="360" w:lineRule="auto"/>
        <w:jc w:val="both"/>
        <w:rPr>
          <w:rFonts w:ascii="Garamond" w:hAnsi="Garamond"/>
        </w:rPr>
      </w:pPr>
    </w:p>
    <w:p w:rsidR="00FD151D" w:rsidRPr="00446D34" w:rsidRDefault="00FD151D" w:rsidP="00FD151D">
      <w:pPr>
        <w:spacing w:line="360" w:lineRule="auto"/>
        <w:ind w:firstLine="720"/>
        <w:jc w:val="center"/>
        <w:rPr>
          <w:rFonts w:ascii="Garamond" w:hAnsi="Garamond"/>
          <w:i/>
        </w:rPr>
      </w:pPr>
      <w:r w:rsidRPr="00446D34">
        <w:rPr>
          <w:rFonts w:ascii="Garamond" w:hAnsi="Garamond"/>
          <w:i/>
        </w:rPr>
        <w:t>H</w:t>
      </w:r>
      <w:r>
        <w:rPr>
          <w:rFonts w:ascii="Garamond" w:hAnsi="Garamond"/>
          <w:i/>
        </w:rPr>
        <w:t>2</w:t>
      </w:r>
      <w:r w:rsidRPr="00446D34">
        <w:rPr>
          <w:rFonts w:ascii="Garamond" w:hAnsi="Garamond"/>
          <w:i/>
        </w:rPr>
        <w:t xml:space="preserve">: Female CFOs </w:t>
      </w:r>
      <w:r>
        <w:rPr>
          <w:rFonts w:ascii="Garamond" w:hAnsi="Garamond"/>
          <w:i/>
        </w:rPr>
        <w:t>are more effective</w:t>
      </w:r>
      <w:r w:rsidRPr="00446D34">
        <w:rPr>
          <w:rFonts w:ascii="Garamond" w:hAnsi="Garamond"/>
          <w:i/>
        </w:rPr>
        <w:t xml:space="preserve"> </w:t>
      </w:r>
      <w:r>
        <w:rPr>
          <w:rFonts w:ascii="Garamond" w:hAnsi="Garamond"/>
          <w:i/>
        </w:rPr>
        <w:t xml:space="preserve">in affecting leverage </w:t>
      </w:r>
      <w:r w:rsidRPr="00446D34">
        <w:rPr>
          <w:rFonts w:ascii="Garamond" w:hAnsi="Garamond"/>
          <w:i/>
        </w:rPr>
        <w:t>in firms with a diverse board.</w:t>
      </w:r>
    </w:p>
    <w:p w:rsidR="00FD151D" w:rsidRDefault="00FD151D" w:rsidP="00FD151D">
      <w:pPr>
        <w:spacing w:line="360" w:lineRule="auto"/>
        <w:jc w:val="both"/>
        <w:rPr>
          <w:rFonts w:ascii="Garamond" w:hAnsi="Garamond"/>
        </w:rPr>
      </w:pPr>
    </w:p>
    <w:p w:rsidR="00FD151D" w:rsidRPr="001413E4" w:rsidRDefault="00FD151D" w:rsidP="00FD151D">
      <w:pPr>
        <w:spacing w:line="360" w:lineRule="auto"/>
        <w:jc w:val="both"/>
        <w:rPr>
          <w:rFonts w:ascii="Garamond" w:hAnsi="Garamond"/>
          <w:i/>
          <w:iCs/>
        </w:rPr>
      </w:pPr>
      <w:r w:rsidRPr="001413E4">
        <w:rPr>
          <w:rFonts w:ascii="Garamond" w:hAnsi="Garamond"/>
          <w:i/>
          <w:iCs/>
        </w:rPr>
        <w:t>Moderating Effect of CEO Power</w:t>
      </w:r>
    </w:p>
    <w:p w:rsidR="00FD151D" w:rsidRDefault="00FD151D" w:rsidP="00FD151D">
      <w:pPr>
        <w:spacing w:line="360" w:lineRule="auto"/>
        <w:jc w:val="both"/>
        <w:rPr>
          <w:rFonts w:ascii="Garamond" w:hAnsi="Garamond"/>
        </w:rPr>
      </w:pPr>
      <w:r>
        <w:rPr>
          <w:rFonts w:ascii="Garamond" w:hAnsi="Garamond"/>
        </w:rPr>
        <w:t>CEO power also serves as a moderator of the influence of other executives and directors on corporate decisions and policies. Haynes and Hillman (2010) find that powerful CEOs threaten the independent judgement of directors and other executives in matters of strategic change which results in an environment where the preferences of the CEO dominate those of other executives. Following Finkelstein’s definition, we can understand CEO power as “</w:t>
      </w:r>
      <w:r w:rsidRPr="00043879">
        <w:rPr>
          <w:rFonts w:ascii="Garamond" w:hAnsi="Garamond"/>
        </w:rPr>
        <w:t>the capacity of indivi</w:t>
      </w:r>
      <w:r>
        <w:rPr>
          <w:rFonts w:ascii="Garamond" w:hAnsi="Garamond"/>
        </w:rPr>
        <w:t>dual actors to exert their will”</w:t>
      </w:r>
      <w:r w:rsidRPr="00043879">
        <w:rPr>
          <w:rFonts w:ascii="Garamond" w:hAnsi="Garamond"/>
        </w:rPr>
        <w:t xml:space="preserve"> (Finkelstein, 1992: 506)</w:t>
      </w:r>
      <w:r>
        <w:rPr>
          <w:rFonts w:ascii="Garamond" w:hAnsi="Garamond"/>
        </w:rPr>
        <w:t xml:space="preserve">. Hence, in a firm that is run by a powerful CEO, other executives subordinate to the CEO, such as the CFO, will have less influence to shape corporate policies but can be regarded as the operational arm of the CEO, merely executing the CEO’s policy preferences. This is in line with findings by Adams et al. (2005) who show that more powerful CEOs are less open to compromise with other executives, leading to more extreme decisions and policies. Managerial discretion theory postulates that in </w:t>
      </w:r>
      <w:r>
        <w:rPr>
          <w:rFonts w:ascii="Garamond" w:hAnsi="Garamond"/>
        </w:rPr>
        <w:lastRenderedPageBreak/>
        <w:t xml:space="preserve">the presence of powerful stakeholders such as the CEO, the managerial discretion of other executives is restricted and their managerial characteristics, such as gender-specific </w:t>
      </w:r>
      <w:r w:rsidR="00583BD3">
        <w:rPr>
          <w:rFonts w:ascii="Garamond" w:hAnsi="Garamond"/>
        </w:rPr>
        <w:t>risk-taking</w:t>
      </w:r>
      <w:r>
        <w:rPr>
          <w:rFonts w:ascii="Garamond" w:hAnsi="Garamond"/>
        </w:rPr>
        <w:t xml:space="preserve"> preferences, will not affect corporate outcomes (</w:t>
      </w:r>
      <w:proofErr w:type="spellStart"/>
      <w:r>
        <w:rPr>
          <w:rFonts w:ascii="Garamond" w:hAnsi="Garamond"/>
        </w:rPr>
        <w:t>Wangrow</w:t>
      </w:r>
      <w:proofErr w:type="spellEnd"/>
      <w:r>
        <w:rPr>
          <w:rFonts w:ascii="Garamond" w:hAnsi="Garamond"/>
        </w:rPr>
        <w:t xml:space="preserve"> et al., 2015). The lack of influence in the presence of powerful CEOs might be particularly severe for executives that represent minority groups in leadership positions, such as women. Assuming that under the presence of powerful CEOs female CFOs will be restricted in their power and influence to adopt corporate policies based on their preferences, we can derive the following hypothesis:</w:t>
      </w:r>
    </w:p>
    <w:p w:rsidR="00FD151D" w:rsidRDefault="00FD151D" w:rsidP="00FD151D">
      <w:pPr>
        <w:spacing w:line="360" w:lineRule="auto"/>
        <w:jc w:val="both"/>
        <w:rPr>
          <w:rFonts w:ascii="Garamond" w:hAnsi="Garamond"/>
        </w:rPr>
      </w:pPr>
    </w:p>
    <w:p w:rsidR="00FD151D" w:rsidRPr="00446D34" w:rsidRDefault="00FD151D" w:rsidP="00FD151D">
      <w:pPr>
        <w:spacing w:line="360" w:lineRule="auto"/>
        <w:ind w:firstLine="360"/>
        <w:jc w:val="center"/>
        <w:rPr>
          <w:rFonts w:ascii="Garamond" w:hAnsi="Garamond"/>
          <w:i/>
        </w:rPr>
      </w:pPr>
      <w:r w:rsidRPr="00446D34">
        <w:rPr>
          <w:rFonts w:ascii="Garamond" w:hAnsi="Garamond"/>
          <w:i/>
        </w:rPr>
        <w:t>H</w:t>
      </w:r>
      <w:r>
        <w:rPr>
          <w:rFonts w:ascii="Garamond" w:hAnsi="Garamond"/>
          <w:i/>
        </w:rPr>
        <w:t>3</w:t>
      </w:r>
      <w:r w:rsidRPr="00446D34">
        <w:rPr>
          <w:rFonts w:ascii="Garamond" w:hAnsi="Garamond"/>
          <w:i/>
        </w:rPr>
        <w:t xml:space="preserve">: Female CFOs </w:t>
      </w:r>
      <w:r>
        <w:rPr>
          <w:rFonts w:ascii="Garamond" w:hAnsi="Garamond"/>
          <w:i/>
        </w:rPr>
        <w:t xml:space="preserve">are more effective </w:t>
      </w:r>
      <w:r w:rsidRPr="00446D34">
        <w:rPr>
          <w:rFonts w:ascii="Garamond" w:hAnsi="Garamond"/>
          <w:i/>
        </w:rPr>
        <w:t>in</w:t>
      </w:r>
      <w:r>
        <w:rPr>
          <w:rFonts w:ascii="Garamond" w:hAnsi="Garamond"/>
          <w:i/>
        </w:rPr>
        <w:t xml:space="preserve"> affecting leverage in</w:t>
      </w:r>
      <w:r w:rsidRPr="00446D34">
        <w:rPr>
          <w:rFonts w:ascii="Garamond" w:hAnsi="Garamond"/>
          <w:i/>
        </w:rPr>
        <w:t xml:space="preserve"> firms with </w:t>
      </w:r>
      <w:r>
        <w:rPr>
          <w:rFonts w:ascii="Garamond" w:hAnsi="Garamond"/>
          <w:i/>
        </w:rPr>
        <w:t xml:space="preserve">less </w:t>
      </w:r>
      <w:r w:rsidRPr="00446D34">
        <w:rPr>
          <w:rFonts w:ascii="Garamond" w:hAnsi="Garamond"/>
          <w:i/>
        </w:rPr>
        <w:t>powerful CEOs.</w:t>
      </w:r>
    </w:p>
    <w:p w:rsidR="00FD151D" w:rsidRDefault="00FD151D" w:rsidP="00FD151D">
      <w:pPr>
        <w:spacing w:line="360" w:lineRule="auto"/>
        <w:jc w:val="both"/>
        <w:rPr>
          <w:rFonts w:ascii="Garamond" w:hAnsi="Garamond"/>
        </w:rPr>
      </w:pPr>
    </w:p>
    <w:p w:rsidR="00FD151D" w:rsidRPr="001413E4" w:rsidRDefault="00FD151D" w:rsidP="00FD151D">
      <w:pPr>
        <w:spacing w:line="360" w:lineRule="auto"/>
        <w:jc w:val="both"/>
        <w:rPr>
          <w:rFonts w:ascii="Garamond" w:hAnsi="Garamond"/>
          <w:i/>
          <w:iCs/>
        </w:rPr>
      </w:pPr>
      <w:r w:rsidRPr="001413E4">
        <w:rPr>
          <w:rFonts w:ascii="Garamond" w:hAnsi="Garamond"/>
          <w:i/>
          <w:iCs/>
        </w:rPr>
        <w:t xml:space="preserve">Moderating Effect of </w:t>
      </w:r>
      <w:proofErr w:type="spellStart"/>
      <w:r w:rsidRPr="001413E4">
        <w:rPr>
          <w:rFonts w:ascii="Garamond" w:hAnsi="Garamond"/>
          <w:i/>
          <w:iCs/>
        </w:rPr>
        <w:t>CFOs’</w:t>
      </w:r>
      <w:proofErr w:type="spellEnd"/>
      <w:r w:rsidRPr="001413E4">
        <w:rPr>
          <w:rFonts w:ascii="Garamond" w:hAnsi="Garamond"/>
          <w:i/>
          <w:iCs/>
        </w:rPr>
        <w:t xml:space="preserve"> Hiring Status</w:t>
      </w:r>
    </w:p>
    <w:p w:rsidR="00FD151D" w:rsidRDefault="00FD151D" w:rsidP="00FD151D">
      <w:pPr>
        <w:spacing w:line="360" w:lineRule="auto"/>
        <w:jc w:val="both"/>
        <w:rPr>
          <w:rFonts w:ascii="Garamond" w:hAnsi="Garamond"/>
        </w:rPr>
      </w:pPr>
      <w:r>
        <w:rPr>
          <w:rFonts w:ascii="Garamond" w:hAnsi="Garamond"/>
        </w:rPr>
        <w:t xml:space="preserve">Finally, we argue that the hiring status of CFOs affects their degree of managerial discretion </w:t>
      </w:r>
      <w:r w:rsidRPr="00583BD3">
        <w:rPr>
          <w:rFonts w:ascii="Garamond" w:hAnsi="Garamond"/>
        </w:rPr>
        <w:t>(</w:t>
      </w:r>
      <w:proofErr w:type="spellStart"/>
      <w:r w:rsidRPr="00583BD3">
        <w:rPr>
          <w:rFonts w:ascii="Garamond" w:hAnsi="Garamond"/>
        </w:rPr>
        <w:t>Mian</w:t>
      </w:r>
      <w:proofErr w:type="spellEnd"/>
      <w:r w:rsidRPr="00583BD3">
        <w:rPr>
          <w:rFonts w:ascii="Garamond" w:hAnsi="Garamond"/>
        </w:rPr>
        <w:t>, 2001) and hence their likelihood and ability to make changes to existing corporate practices (Geiger and North, 2006), such as leverage choices. In particular, internally appointed CFOs may be more aligned to the current structures and policies of the firm and more closely tied to the current CEO, which restricts their leeway to shape leverage bas</w:t>
      </w:r>
      <w:r w:rsidRPr="000727E8">
        <w:rPr>
          <w:rFonts w:ascii="Garamond" w:hAnsi="Garamond"/>
        </w:rPr>
        <w:t xml:space="preserve">ed on their personal preferences and makes them less likely to deviate from existing corporate policies. On the other hand, externally appointed CFOs are expected to have </w:t>
      </w:r>
      <w:proofErr w:type="gramStart"/>
      <w:r w:rsidRPr="000727E8">
        <w:rPr>
          <w:rFonts w:ascii="Garamond" w:hAnsi="Garamond"/>
        </w:rPr>
        <w:t>less allegiances</w:t>
      </w:r>
      <w:proofErr w:type="gramEnd"/>
      <w:r w:rsidRPr="000727E8">
        <w:rPr>
          <w:rFonts w:ascii="Garamond" w:hAnsi="Garamond"/>
        </w:rPr>
        <w:t xml:space="preserve"> to other top executives at the firm, allowing them greater managerial discretion, which in effect should make them more likely to deviate from the existing trend of corporate policies. In line with this argument, </w:t>
      </w:r>
      <w:r w:rsidRPr="00583BD3">
        <w:rPr>
          <w:rFonts w:ascii="Garamond" w:hAnsi="Garamond"/>
        </w:rPr>
        <w:t>Geiger and North (2006)</w:t>
      </w:r>
      <w:r>
        <w:rPr>
          <w:rFonts w:ascii="Garamond" w:hAnsi="Garamond"/>
        </w:rPr>
        <w:t xml:space="preserve"> find that firms appointing new CFOs from outside the firm exhibit a strong decrease in discretionary accruals, while internal appointments of CFOs do not lead to significant changes in financial reporting practices. Applying this logic to gender differences in </w:t>
      </w:r>
      <w:proofErr w:type="spellStart"/>
      <w:r>
        <w:rPr>
          <w:rFonts w:ascii="Garamond" w:hAnsi="Garamond"/>
        </w:rPr>
        <w:t>CFOs’</w:t>
      </w:r>
      <w:proofErr w:type="spellEnd"/>
      <w:r>
        <w:rPr>
          <w:rFonts w:ascii="Garamond" w:hAnsi="Garamond"/>
        </w:rPr>
        <w:t xml:space="preserve"> leverage choices, we expect that externally appointed female CFOs will have greater managerial discretion to change corporate leverage based on their risk-taking preferences than internally appointed female CFOs, resulting in the following hypothesis:</w:t>
      </w:r>
    </w:p>
    <w:p w:rsidR="00FD151D" w:rsidRDefault="00FD151D" w:rsidP="00FD151D">
      <w:pPr>
        <w:spacing w:line="360" w:lineRule="auto"/>
        <w:jc w:val="both"/>
        <w:rPr>
          <w:rFonts w:ascii="Garamond" w:hAnsi="Garamond"/>
        </w:rPr>
      </w:pPr>
    </w:p>
    <w:p w:rsidR="00446D34" w:rsidRDefault="00FD151D" w:rsidP="00A82429">
      <w:pPr>
        <w:spacing w:line="360" w:lineRule="auto"/>
        <w:jc w:val="center"/>
        <w:rPr>
          <w:rFonts w:ascii="Garamond" w:hAnsi="Garamond"/>
          <w:i/>
        </w:rPr>
      </w:pPr>
      <w:r w:rsidRPr="00446D34">
        <w:rPr>
          <w:rFonts w:ascii="Garamond" w:hAnsi="Garamond"/>
          <w:i/>
        </w:rPr>
        <w:t>H</w:t>
      </w:r>
      <w:r>
        <w:rPr>
          <w:rFonts w:ascii="Garamond" w:hAnsi="Garamond"/>
          <w:i/>
        </w:rPr>
        <w:t>4</w:t>
      </w:r>
      <w:r w:rsidRPr="00446D34">
        <w:rPr>
          <w:rFonts w:ascii="Garamond" w:hAnsi="Garamond"/>
          <w:i/>
        </w:rPr>
        <w:t xml:space="preserve">: Female CFOs </w:t>
      </w:r>
      <w:r>
        <w:rPr>
          <w:rFonts w:ascii="Garamond" w:hAnsi="Garamond"/>
          <w:i/>
        </w:rPr>
        <w:t xml:space="preserve">are more effective </w:t>
      </w:r>
      <w:r w:rsidRPr="00446D34">
        <w:rPr>
          <w:rFonts w:ascii="Garamond" w:hAnsi="Garamond"/>
          <w:i/>
        </w:rPr>
        <w:t>in</w:t>
      </w:r>
      <w:r>
        <w:rPr>
          <w:rFonts w:ascii="Garamond" w:hAnsi="Garamond"/>
          <w:i/>
        </w:rPr>
        <w:t xml:space="preserve"> affecting leverage when they are externally appointed</w:t>
      </w:r>
      <w:r w:rsidR="00A82429">
        <w:rPr>
          <w:rFonts w:ascii="Garamond" w:hAnsi="Garamond"/>
          <w:i/>
        </w:rPr>
        <w:t>.</w:t>
      </w:r>
    </w:p>
    <w:p w:rsidR="00FD151D" w:rsidRPr="00446D34" w:rsidRDefault="00FD151D" w:rsidP="00FD151D">
      <w:pPr>
        <w:spacing w:line="360" w:lineRule="auto"/>
        <w:jc w:val="both"/>
        <w:rPr>
          <w:rFonts w:ascii="Garamond" w:hAnsi="Garamond"/>
        </w:rPr>
      </w:pPr>
    </w:p>
    <w:p w:rsidR="00446D34" w:rsidRPr="00446D34" w:rsidRDefault="00446D34" w:rsidP="00446D34">
      <w:pPr>
        <w:spacing w:line="360" w:lineRule="auto"/>
        <w:jc w:val="both"/>
        <w:rPr>
          <w:rFonts w:ascii="Garamond" w:hAnsi="Garamond"/>
        </w:rPr>
      </w:pPr>
    </w:p>
    <w:p w:rsidR="0057098D" w:rsidRDefault="000D73E2" w:rsidP="000D73E2">
      <w:pPr>
        <w:pStyle w:val="a3"/>
        <w:numPr>
          <w:ilvl w:val="0"/>
          <w:numId w:val="1"/>
        </w:numPr>
        <w:rPr>
          <w:rFonts w:ascii="Garamond" w:hAnsi="Garamond"/>
          <w:b/>
        </w:rPr>
      </w:pPr>
      <w:r w:rsidRPr="000D73E2">
        <w:rPr>
          <w:rFonts w:ascii="Garamond" w:hAnsi="Garamond"/>
          <w:b/>
        </w:rPr>
        <w:t>Data</w:t>
      </w:r>
      <w:r w:rsidR="00E15527">
        <w:rPr>
          <w:rFonts w:ascii="Garamond" w:hAnsi="Garamond"/>
          <w:b/>
        </w:rPr>
        <w:t xml:space="preserve"> and Methodology</w:t>
      </w:r>
    </w:p>
    <w:p w:rsidR="00E15527" w:rsidRDefault="00E15527" w:rsidP="00E15527">
      <w:pPr>
        <w:pStyle w:val="a3"/>
        <w:rPr>
          <w:rFonts w:ascii="Garamond" w:hAnsi="Garamond"/>
          <w:b/>
        </w:rPr>
      </w:pPr>
    </w:p>
    <w:p w:rsidR="00E15527" w:rsidRPr="00E15527" w:rsidRDefault="00427DD7" w:rsidP="00F530E0">
      <w:pPr>
        <w:ind w:firstLine="360"/>
        <w:rPr>
          <w:rFonts w:ascii="Garamond" w:hAnsi="Garamond"/>
          <w:i/>
        </w:rPr>
      </w:pPr>
      <w:r>
        <w:rPr>
          <w:rFonts w:ascii="Garamond" w:hAnsi="Garamond"/>
          <w:i/>
        </w:rPr>
        <w:t>3.</w:t>
      </w:r>
      <w:r w:rsidR="00E15527" w:rsidRPr="00E15527">
        <w:rPr>
          <w:rFonts w:ascii="Garamond" w:hAnsi="Garamond"/>
          <w:i/>
        </w:rPr>
        <w:t>1. Sample Selection</w:t>
      </w:r>
    </w:p>
    <w:p w:rsidR="0057098D" w:rsidRDefault="0057098D">
      <w:pPr>
        <w:rPr>
          <w:rFonts w:ascii="Garamond" w:hAnsi="Garamond"/>
        </w:rPr>
      </w:pPr>
    </w:p>
    <w:p w:rsidR="00AC6558" w:rsidRDefault="000D73E2" w:rsidP="00CE067C">
      <w:pPr>
        <w:spacing w:line="360" w:lineRule="auto"/>
        <w:jc w:val="both"/>
        <w:rPr>
          <w:rFonts w:ascii="Garamond" w:hAnsi="Garamond"/>
          <w:color w:val="000000"/>
        </w:rPr>
      </w:pPr>
      <w:r w:rsidRPr="00290A89">
        <w:rPr>
          <w:rFonts w:ascii="Garamond" w:hAnsi="Garamond"/>
        </w:rPr>
        <w:t xml:space="preserve">The analysis is based on a sample of CFOs at </w:t>
      </w:r>
      <w:r w:rsidR="006862A2" w:rsidRPr="00290A89">
        <w:rPr>
          <w:rFonts w:ascii="Garamond" w:hAnsi="Garamond"/>
        </w:rPr>
        <w:t>publicly listed</w:t>
      </w:r>
      <w:r w:rsidRPr="00290A89">
        <w:rPr>
          <w:rFonts w:ascii="Garamond" w:hAnsi="Garamond"/>
        </w:rPr>
        <w:t xml:space="preserve"> firms</w:t>
      </w:r>
      <w:r w:rsidR="003F5098">
        <w:rPr>
          <w:rFonts w:ascii="Garamond" w:hAnsi="Garamond"/>
        </w:rPr>
        <w:t xml:space="preserve"> on the London Stock Exchange</w:t>
      </w:r>
      <w:r w:rsidRPr="00290A89">
        <w:rPr>
          <w:rFonts w:ascii="Garamond" w:hAnsi="Garamond"/>
        </w:rPr>
        <w:t xml:space="preserve">. </w:t>
      </w:r>
      <w:r w:rsidR="005B1BE5">
        <w:rPr>
          <w:rFonts w:ascii="Garamond" w:hAnsi="Garamond"/>
          <w:color w:val="000000" w:themeColor="text1"/>
        </w:rPr>
        <w:t xml:space="preserve">The UK setting provides an ideal context for our study since CFOs play more </w:t>
      </w:r>
      <w:r w:rsidR="005B1BE5">
        <w:rPr>
          <w:rFonts w:ascii="Garamond" w:hAnsi="Garamond"/>
          <w:color w:val="000000" w:themeColor="text1"/>
        </w:rPr>
        <w:lastRenderedPageBreak/>
        <w:t>important roles in the UK corporate landscape than in the US (</w:t>
      </w:r>
      <w:proofErr w:type="spellStart"/>
      <w:r w:rsidR="005B1BE5">
        <w:rPr>
          <w:rFonts w:ascii="Garamond" w:hAnsi="Garamond"/>
          <w:color w:val="000000" w:themeColor="text1"/>
        </w:rPr>
        <w:t>Florackis</w:t>
      </w:r>
      <w:proofErr w:type="spellEnd"/>
      <w:r w:rsidR="005B1BE5">
        <w:rPr>
          <w:rFonts w:ascii="Garamond" w:hAnsi="Garamond"/>
          <w:color w:val="000000" w:themeColor="text1"/>
        </w:rPr>
        <w:t xml:space="preserve"> and </w:t>
      </w:r>
      <w:proofErr w:type="spellStart"/>
      <w:r w:rsidR="005B1BE5">
        <w:rPr>
          <w:rFonts w:ascii="Garamond" w:hAnsi="Garamond"/>
          <w:color w:val="000000" w:themeColor="text1"/>
        </w:rPr>
        <w:t>Sainani</w:t>
      </w:r>
      <w:proofErr w:type="spellEnd"/>
      <w:r w:rsidR="005B1BE5">
        <w:rPr>
          <w:rFonts w:ascii="Garamond" w:hAnsi="Garamond"/>
          <w:color w:val="000000" w:themeColor="text1"/>
        </w:rPr>
        <w:t xml:space="preserve">, 2018) and CEOs in the UK are less powerful than in the US (Keenan, 2004; Aguilera et al., 2006). </w:t>
      </w:r>
      <w:r w:rsidRPr="00290A89">
        <w:rPr>
          <w:rFonts w:ascii="Garamond" w:hAnsi="Garamond"/>
        </w:rPr>
        <w:t xml:space="preserve">Our sample period is from 1999-2017 where we begin by extracting data on CFOs from the </w:t>
      </w:r>
      <w:proofErr w:type="spellStart"/>
      <w:r w:rsidRPr="00290A89">
        <w:rPr>
          <w:rFonts w:ascii="Garamond" w:hAnsi="Garamond"/>
        </w:rPr>
        <w:t>BoardEx</w:t>
      </w:r>
      <w:proofErr w:type="spellEnd"/>
      <w:r w:rsidRPr="00290A89">
        <w:rPr>
          <w:rFonts w:ascii="Garamond" w:hAnsi="Garamond"/>
        </w:rPr>
        <w:t xml:space="preserve"> database which provides detailed data on the CFOs of firms.</w:t>
      </w:r>
      <w:r w:rsidRPr="00290A89">
        <w:rPr>
          <w:rStyle w:val="a9"/>
          <w:rFonts w:ascii="Garamond" w:hAnsi="Garamond"/>
        </w:rPr>
        <w:footnoteReference w:id="5"/>
      </w:r>
      <w:r w:rsidR="00D00A60" w:rsidRPr="00290A89">
        <w:rPr>
          <w:rFonts w:ascii="Garamond" w:hAnsi="Garamond"/>
        </w:rPr>
        <w:t xml:space="preserve">  </w:t>
      </w:r>
      <w:r w:rsidR="00EC098F">
        <w:rPr>
          <w:rFonts w:ascii="Garamond" w:hAnsi="Garamond"/>
        </w:rPr>
        <w:t>C</w:t>
      </w:r>
      <w:r w:rsidR="00EC098F" w:rsidRPr="00290A89">
        <w:rPr>
          <w:rFonts w:ascii="Garamond" w:hAnsi="Garamond"/>
        </w:rPr>
        <w:t xml:space="preserve">onsistent with </w:t>
      </w:r>
      <w:proofErr w:type="spellStart"/>
      <w:r w:rsidR="00EC098F" w:rsidRPr="00290A89">
        <w:rPr>
          <w:rFonts w:ascii="Garamond" w:hAnsi="Garamond"/>
          <w:color w:val="000000" w:themeColor="text1"/>
        </w:rPr>
        <w:t>Florackis</w:t>
      </w:r>
      <w:proofErr w:type="spellEnd"/>
      <w:r w:rsidR="00EC098F" w:rsidRPr="00290A89">
        <w:rPr>
          <w:rFonts w:ascii="Garamond" w:hAnsi="Garamond"/>
          <w:color w:val="000000" w:themeColor="text1"/>
        </w:rPr>
        <w:t xml:space="preserve"> and </w:t>
      </w:r>
      <w:proofErr w:type="spellStart"/>
      <w:r w:rsidR="00EC098F" w:rsidRPr="00290A89">
        <w:rPr>
          <w:rFonts w:ascii="Garamond" w:hAnsi="Garamond"/>
          <w:color w:val="000000" w:themeColor="text1"/>
        </w:rPr>
        <w:t>Sainani</w:t>
      </w:r>
      <w:proofErr w:type="spellEnd"/>
      <w:r w:rsidR="00EC098F" w:rsidRPr="00290A89">
        <w:rPr>
          <w:rFonts w:ascii="Garamond" w:hAnsi="Garamond"/>
          <w:color w:val="000000" w:themeColor="text1"/>
        </w:rPr>
        <w:t xml:space="preserve"> (2018)</w:t>
      </w:r>
      <w:r w:rsidR="00EC098F">
        <w:rPr>
          <w:rFonts w:ascii="Garamond" w:hAnsi="Garamond"/>
          <w:color w:val="000000" w:themeColor="text1"/>
        </w:rPr>
        <w:t xml:space="preserve">, </w:t>
      </w:r>
      <w:r w:rsidR="00EC098F">
        <w:rPr>
          <w:rFonts w:ascii="Garamond" w:hAnsi="Garamond"/>
        </w:rPr>
        <w:t>w</w:t>
      </w:r>
      <w:r w:rsidR="00D00A60" w:rsidRPr="00290A89">
        <w:rPr>
          <w:rFonts w:ascii="Garamond" w:hAnsi="Garamond"/>
        </w:rPr>
        <w:t xml:space="preserve">e </w:t>
      </w:r>
      <w:r w:rsidR="00290A89" w:rsidRPr="00290A89">
        <w:rPr>
          <w:rFonts w:ascii="Garamond" w:hAnsi="Garamond"/>
        </w:rPr>
        <w:t>identify</w:t>
      </w:r>
      <w:r w:rsidR="00D00A60" w:rsidRPr="00290A89">
        <w:rPr>
          <w:rFonts w:ascii="Garamond" w:hAnsi="Garamond"/>
        </w:rPr>
        <w:t xml:space="preserve"> CFOs based on the data item “individual role” and by pinpointing the following titles: CFO, chief financial officer, finance director (FD), group finance director (GFD) and executive director (finance)</w:t>
      </w:r>
      <w:r w:rsidR="00D00A60" w:rsidRPr="00290A89">
        <w:rPr>
          <w:rFonts w:ascii="Garamond" w:hAnsi="Garamond"/>
          <w:color w:val="000000" w:themeColor="text1"/>
        </w:rPr>
        <w:t xml:space="preserve">. Board </w:t>
      </w:r>
      <w:r w:rsidR="00290A89" w:rsidRPr="00290A89">
        <w:rPr>
          <w:rFonts w:ascii="Garamond" w:hAnsi="Garamond"/>
          <w:color w:val="000000" w:themeColor="text1"/>
        </w:rPr>
        <w:t>characteristics</w:t>
      </w:r>
      <w:r w:rsidR="00D00A60" w:rsidRPr="00290A89">
        <w:rPr>
          <w:rFonts w:ascii="Garamond" w:hAnsi="Garamond"/>
          <w:color w:val="000000" w:themeColor="text1"/>
        </w:rPr>
        <w:t xml:space="preserve"> are also obtained from </w:t>
      </w:r>
      <w:proofErr w:type="spellStart"/>
      <w:r w:rsidR="00D00A60" w:rsidRPr="00290A89">
        <w:rPr>
          <w:rFonts w:ascii="Garamond" w:hAnsi="Garamond"/>
          <w:color w:val="000000" w:themeColor="text1"/>
        </w:rPr>
        <w:t>BoardEx</w:t>
      </w:r>
      <w:proofErr w:type="spellEnd"/>
      <w:r w:rsidR="00D00A60" w:rsidRPr="00290A89">
        <w:rPr>
          <w:rFonts w:ascii="Garamond" w:hAnsi="Garamond"/>
          <w:color w:val="000000" w:themeColor="text1"/>
        </w:rPr>
        <w:t xml:space="preserve"> while firm characteristics and accounting information are </w:t>
      </w:r>
      <w:r w:rsidR="00E62260">
        <w:rPr>
          <w:rFonts w:ascii="Garamond" w:hAnsi="Garamond"/>
          <w:color w:val="000000" w:themeColor="text1"/>
        </w:rPr>
        <w:t xml:space="preserve">obtained </w:t>
      </w:r>
      <w:r w:rsidR="00D00A60" w:rsidRPr="00290A89">
        <w:rPr>
          <w:rFonts w:ascii="Garamond" w:hAnsi="Garamond"/>
          <w:color w:val="000000" w:themeColor="text1"/>
        </w:rPr>
        <w:t xml:space="preserve">from Thomson Reuters </w:t>
      </w:r>
      <w:proofErr w:type="spellStart"/>
      <w:r w:rsidR="00D00A60" w:rsidRPr="00290A89">
        <w:rPr>
          <w:rFonts w:ascii="Garamond" w:hAnsi="Garamond"/>
          <w:color w:val="000000" w:themeColor="text1"/>
        </w:rPr>
        <w:t>Datastream</w:t>
      </w:r>
      <w:proofErr w:type="spellEnd"/>
      <w:r w:rsidR="00D00A60" w:rsidRPr="00290A89">
        <w:rPr>
          <w:rFonts w:ascii="Garamond" w:hAnsi="Garamond"/>
          <w:color w:val="000000" w:themeColor="text1"/>
        </w:rPr>
        <w:t>. Following prior literature, we exclude all financial and utility firms from the analysis</w:t>
      </w:r>
      <w:r w:rsidR="00054EA4" w:rsidRPr="00290A89">
        <w:rPr>
          <w:rFonts w:ascii="Garamond" w:hAnsi="Garamond"/>
          <w:color w:val="000000" w:themeColor="text1"/>
        </w:rPr>
        <w:t xml:space="preserve"> </w:t>
      </w:r>
      <w:r w:rsidR="00432E9F">
        <w:rPr>
          <w:rFonts w:ascii="Garamond" w:hAnsi="Garamond"/>
          <w:color w:val="000000" w:themeColor="text1"/>
        </w:rPr>
        <w:t>as they have very different corporate structures to other firms and we also exclude</w:t>
      </w:r>
      <w:r w:rsidR="003937F5">
        <w:rPr>
          <w:rFonts w:ascii="Garamond" w:hAnsi="Garamond"/>
          <w:color w:val="000000" w:themeColor="text1"/>
        </w:rPr>
        <w:t xml:space="preserve"> </w:t>
      </w:r>
      <w:r w:rsidR="002B6200">
        <w:rPr>
          <w:rFonts w:ascii="Garamond" w:hAnsi="Garamond"/>
          <w:color w:val="000000" w:themeColor="text1"/>
        </w:rPr>
        <w:t>observations</w:t>
      </w:r>
      <w:r w:rsidR="00432E9F">
        <w:rPr>
          <w:rFonts w:ascii="Garamond" w:hAnsi="Garamond"/>
          <w:color w:val="000000" w:themeColor="text1"/>
        </w:rPr>
        <w:t xml:space="preserve"> </w:t>
      </w:r>
      <w:r w:rsidR="00054EA4" w:rsidRPr="00290A89">
        <w:rPr>
          <w:rFonts w:ascii="Garamond" w:hAnsi="Garamond"/>
          <w:color w:val="000000" w:themeColor="text1"/>
        </w:rPr>
        <w:t xml:space="preserve">with missing values. Our final sample contains </w:t>
      </w:r>
      <w:r w:rsidR="00220E9A">
        <w:rPr>
          <w:rFonts w:ascii="Garamond" w:hAnsi="Garamond"/>
          <w:color w:val="000000"/>
        </w:rPr>
        <w:t>7,899</w:t>
      </w:r>
      <w:r w:rsidR="00054EA4" w:rsidRPr="00290A89">
        <w:rPr>
          <w:rFonts w:ascii="Garamond" w:hAnsi="Garamond"/>
          <w:color w:val="000000"/>
        </w:rPr>
        <w:t xml:space="preserve"> firm</w:t>
      </w:r>
      <w:r w:rsidR="002B6200">
        <w:rPr>
          <w:rFonts w:ascii="Garamond" w:hAnsi="Garamond"/>
          <w:color w:val="000000"/>
        </w:rPr>
        <w:t>-</w:t>
      </w:r>
      <w:r w:rsidR="00054EA4" w:rsidRPr="00290A89">
        <w:rPr>
          <w:rFonts w:ascii="Garamond" w:hAnsi="Garamond"/>
          <w:color w:val="000000"/>
        </w:rPr>
        <w:t xml:space="preserve">year observations and </w:t>
      </w:r>
      <w:r w:rsidR="003566D1" w:rsidRPr="00427DD7">
        <w:rPr>
          <w:rFonts w:ascii="Garamond" w:hAnsi="Garamond"/>
          <w:color w:val="000000" w:themeColor="text1"/>
        </w:rPr>
        <w:t>1,131</w:t>
      </w:r>
      <w:r w:rsidR="00054EA4" w:rsidRPr="00427DD7">
        <w:rPr>
          <w:rFonts w:ascii="Garamond" w:hAnsi="Garamond"/>
          <w:color w:val="000000" w:themeColor="text1"/>
        </w:rPr>
        <w:t xml:space="preserve"> </w:t>
      </w:r>
      <w:r w:rsidR="00054EA4" w:rsidRPr="00290A89">
        <w:rPr>
          <w:rFonts w:ascii="Garamond" w:hAnsi="Garamond"/>
          <w:color w:val="000000"/>
        </w:rPr>
        <w:t>firms listed on the London Stock Exchange</w:t>
      </w:r>
      <w:r w:rsidR="00F46CA6">
        <w:rPr>
          <w:rFonts w:ascii="Garamond" w:hAnsi="Garamond"/>
          <w:color w:val="000000"/>
        </w:rPr>
        <w:t>.</w:t>
      </w:r>
      <w:r w:rsidR="00F81E63">
        <w:rPr>
          <w:rFonts w:ascii="Garamond" w:hAnsi="Garamond"/>
          <w:color w:val="000000"/>
        </w:rPr>
        <w:t xml:space="preserve"> The number of firms that disappear during our sample</w:t>
      </w:r>
      <w:r w:rsidR="00054EA4" w:rsidRPr="00290A89">
        <w:rPr>
          <w:rFonts w:ascii="Garamond" w:hAnsi="Garamond"/>
          <w:color w:val="000000"/>
        </w:rPr>
        <w:t xml:space="preserve"> </w:t>
      </w:r>
      <w:r w:rsidR="00F81E63">
        <w:rPr>
          <w:rFonts w:ascii="Garamond" w:hAnsi="Garamond"/>
          <w:color w:val="000000"/>
        </w:rPr>
        <w:t xml:space="preserve">is 260. </w:t>
      </w:r>
      <w:r w:rsidR="003566D1">
        <w:rPr>
          <w:rFonts w:ascii="Garamond" w:hAnsi="Garamond"/>
          <w:color w:val="000000"/>
        </w:rPr>
        <w:t xml:space="preserve">All continuous variables are </w:t>
      </w:r>
      <w:proofErr w:type="spellStart"/>
      <w:r w:rsidR="00052DAB" w:rsidRPr="00642D09">
        <w:rPr>
          <w:rFonts w:ascii="Garamond" w:hAnsi="Garamond"/>
        </w:rPr>
        <w:t>winsorised</w:t>
      </w:r>
      <w:proofErr w:type="spellEnd"/>
      <w:r w:rsidR="003566D1" w:rsidRPr="00642D09">
        <w:rPr>
          <w:rFonts w:ascii="Garamond" w:hAnsi="Garamond"/>
        </w:rPr>
        <w:t xml:space="preserve"> at </w:t>
      </w:r>
      <w:r w:rsidR="003566D1">
        <w:rPr>
          <w:rFonts w:ascii="Garamond" w:hAnsi="Garamond"/>
          <w:color w:val="000000"/>
        </w:rPr>
        <w:t>the 1</w:t>
      </w:r>
      <w:r w:rsidR="003566D1" w:rsidRPr="003566D1">
        <w:rPr>
          <w:rFonts w:ascii="Garamond" w:hAnsi="Garamond"/>
          <w:color w:val="000000"/>
          <w:vertAlign w:val="superscript"/>
        </w:rPr>
        <w:t>st</w:t>
      </w:r>
      <w:r w:rsidR="003566D1">
        <w:rPr>
          <w:rFonts w:ascii="Garamond" w:hAnsi="Garamond"/>
          <w:color w:val="000000"/>
        </w:rPr>
        <w:t xml:space="preserve"> and 99</w:t>
      </w:r>
      <w:r w:rsidR="003566D1" w:rsidRPr="003566D1">
        <w:rPr>
          <w:rFonts w:ascii="Garamond" w:hAnsi="Garamond"/>
          <w:color w:val="000000"/>
          <w:vertAlign w:val="superscript"/>
        </w:rPr>
        <w:t>th</w:t>
      </w:r>
      <w:r w:rsidR="003566D1">
        <w:rPr>
          <w:rFonts w:ascii="Garamond" w:hAnsi="Garamond"/>
          <w:color w:val="000000"/>
        </w:rPr>
        <w:t xml:space="preserve"> percentiles</w:t>
      </w:r>
      <w:r w:rsidR="003F5098">
        <w:rPr>
          <w:rFonts w:ascii="Garamond" w:hAnsi="Garamond"/>
          <w:color w:val="000000"/>
        </w:rPr>
        <w:t xml:space="preserve"> to avoid outliers skewing our results.</w:t>
      </w:r>
      <w:r w:rsidR="00BE6317">
        <w:rPr>
          <w:rStyle w:val="a9"/>
          <w:rFonts w:ascii="Garamond" w:hAnsi="Garamond"/>
          <w:color w:val="000000"/>
        </w:rPr>
        <w:footnoteReference w:id="6"/>
      </w:r>
    </w:p>
    <w:p w:rsidR="00AC6558" w:rsidRDefault="00AC6558" w:rsidP="00CE067C">
      <w:pPr>
        <w:spacing w:line="360" w:lineRule="auto"/>
        <w:jc w:val="both"/>
        <w:rPr>
          <w:rFonts w:ascii="Garamond" w:hAnsi="Garamond"/>
          <w:color w:val="000000"/>
        </w:rPr>
      </w:pPr>
    </w:p>
    <w:p w:rsidR="00A42039" w:rsidRDefault="00052DAB" w:rsidP="00CE067C">
      <w:pPr>
        <w:spacing w:line="360" w:lineRule="auto"/>
        <w:jc w:val="both"/>
        <w:rPr>
          <w:rFonts w:ascii="Garamond" w:hAnsi="Garamond"/>
          <w:color w:val="000000"/>
        </w:rPr>
      </w:pPr>
      <w:r>
        <w:rPr>
          <w:rFonts w:ascii="Garamond" w:hAnsi="Garamond"/>
          <w:color w:val="000000"/>
        </w:rPr>
        <w:t xml:space="preserve">Figure 1 and </w:t>
      </w:r>
      <w:r w:rsidR="00054EA4" w:rsidRPr="00290A89">
        <w:rPr>
          <w:rFonts w:ascii="Garamond" w:hAnsi="Garamond"/>
          <w:color w:val="000000"/>
        </w:rPr>
        <w:t xml:space="preserve">Table 1 </w:t>
      </w:r>
      <w:r>
        <w:rPr>
          <w:rFonts w:ascii="Garamond" w:hAnsi="Garamond"/>
          <w:color w:val="000000"/>
        </w:rPr>
        <w:t>show</w:t>
      </w:r>
      <w:r w:rsidR="00054EA4" w:rsidRPr="00290A89">
        <w:rPr>
          <w:rFonts w:ascii="Garamond" w:hAnsi="Garamond"/>
          <w:color w:val="000000"/>
        </w:rPr>
        <w:t xml:space="preserve"> the distribution of female CFOs </w:t>
      </w:r>
      <w:r w:rsidR="000D371B">
        <w:rPr>
          <w:rFonts w:ascii="Garamond" w:hAnsi="Garamond"/>
          <w:color w:val="000000"/>
        </w:rPr>
        <w:t>over</w:t>
      </w:r>
      <w:r w:rsidR="00054EA4" w:rsidRPr="00290A89">
        <w:rPr>
          <w:rFonts w:ascii="Garamond" w:hAnsi="Garamond"/>
          <w:color w:val="000000"/>
        </w:rPr>
        <w:t xml:space="preserve"> our sample period.</w:t>
      </w:r>
      <w:r w:rsidR="00290A89">
        <w:rPr>
          <w:rFonts w:ascii="Garamond" w:hAnsi="Garamond"/>
          <w:color w:val="000000"/>
        </w:rPr>
        <w:t xml:space="preserve">  We clearly see a substantial increase in female CFOs throughout our sample period, with 10% of firms having a female CFO in 2017 compared to just 4% in 1999 and 2% in 2000 and 2001. We also </w:t>
      </w:r>
      <w:r w:rsidR="00A322B2">
        <w:rPr>
          <w:rFonts w:ascii="Garamond" w:hAnsi="Garamond"/>
          <w:color w:val="000000"/>
        </w:rPr>
        <w:t xml:space="preserve">observe </w:t>
      </w:r>
      <w:r w:rsidR="00290A89">
        <w:rPr>
          <w:rFonts w:ascii="Garamond" w:hAnsi="Garamond"/>
          <w:color w:val="000000"/>
        </w:rPr>
        <w:t>a strong increase in the percentage of female directors on the board, starting with only 4% in 1999 to 13% in 2017</w:t>
      </w:r>
      <w:r w:rsidR="003D527C">
        <w:rPr>
          <w:rFonts w:ascii="Garamond" w:hAnsi="Garamond"/>
          <w:color w:val="000000"/>
        </w:rPr>
        <w:t xml:space="preserve">. </w:t>
      </w:r>
      <w:r w:rsidR="00747AE7">
        <w:rPr>
          <w:rFonts w:ascii="Garamond" w:hAnsi="Garamond"/>
          <w:color w:val="000000"/>
        </w:rPr>
        <w:t xml:space="preserve">As </w:t>
      </w:r>
      <w:r w:rsidR="00BC1E39">
        <w:rPr>
          <w:rFonts w:ascii="Garamond" w:hAnsi="Garamond"/>
          <w:color w:val="000000"/>
        </w:rPr>
        <w:t>shown</w:t>
      </w:r>
      <w:r w:rsidR="00747AE7">
        <w:rPr>
          <w:rFonts w:ascii="Garamond" w:hAnsi="Garamond"/>
          <w:color w:val="000000"/>
        </w:rPr>
        <w:t xml:space="preserve"> in Figure 1, the rise of female representation among UK CFOs and directors in general has seen a particularly strong </w:t>
      </w:r>
      <w:r w:rsidR="00F13CBC">
        <w:rPr>
          <w:rFonts w:ascii="Garamond" w:hAnsi="Garamond"/>
          <w:color w:val="000000"/>
        </w:rPr>
        <w:t>growth from 2011 onwards. This trend coincides with the publication of the ‘Women on Boards</w:t>
      </w:r>
      <w:r w:rsidR="00971979">
        <w:rPr>
          <w:rFonts w:ascii="Garamond" w:hAnsi="Garamond"/>
          <w:color w:val="000000"/>
        </w:rPr>
        <w:t xml:space="preserve">’ report by Lord Davies in February 2011 which recommended an increase of women in UK boards. We will explore this issue further in </w:t>
      </w:r>
      <w:r w:rsidR="00971979" w:rsidRPr="005E6CA8">
        <w:rPr>
          <w:rFonts w:ascii="Garamond" w:hAnsi="Garamond"/>
        </w:rPr>
        <w:t xml:space="preserve">Section </w:t>
      </w:r>
      <w:r w:rsidR="005E6CA8" w:rsidRPr="005E6CA8">
        <w:rPr>
          <w:rFonts w:ascii="Garamond" w:hAnsi="Garamond"/>
        </w:rPr>
        <w:t>5.1.4</w:t>
      </w:r>
      <w:r w:rsidR="00971979" w:rsidRPr="005E6CA8">
        <w:rPr>
          <w:rFonts w:ascii="Garamond" w:hAnsi="Garamond"/>
        </w:rPr>
        <w:t xml:space="preserve">. </w:t>
      </w:r>
      <w:r w:rsidR="00DB547A">
        <w:rPr>
          <w:rFonts w:ascii="Garamond" w:hAnsi="Garamond"/>
          <w:color w:val="000000"/>
        </w:rPr>
        <w:t xml:space="preserve">In comparison, the presence of female CEOs in our sample firms is much lower with only 2% of firms being run by a female CEO on average </w:t>
      </w:r>
      <w:proofErr w:type="gramStart"/>
      <w:r w:rsidR="00DB547A">
        <w:rPr>
          <w:rFonts w:ascii="Garamond" w:hAnsi="Garamond"/>
          <w:color w:val="000000"/>
        </w:rPr>
        <w:t>between 1999-2017</w:t>
      </w:r>
      <w:proofErr w:type="gramEnd"/>
      <w:r w:rsidR="004836B9">
        <w:rPr>
          <w:rFonts w:ascii="Garamond" w:hAnsi="Garamond"/>
          <w:color w:val="000000"/>
        </w:rPr>
        <w:t>. In addition, the rise of female representation among CEOs has been much more muted with only 5% of firms being led by a woman</w:t>
      </w:r>
      <w:r w:rsidR="00C839B1">
        <w:rPr>
          <w:rFonts w:ascii="Garamond" w:hAnsi="Garamond"/>
          <w:color w:val="000000"/>
        </w:rPr>
        <w:t xml:space="preserve"> in 2017</w:t>
      </w:r>
      <w:r w:rsidR="004836B9">
        <w:rPr>
          <w:rFonts w:ascii="Garamond" w:hAnsi="Garamond"/>
          <w:color w:val="000000"/>
        </w:rPr>
        <w:t xml:space="preserve">. </w:t>
      </w:r>
      <w:r w:rsidR="008C6211">
        <w:rPr>
          <w:rFonts w:ascii="Garamond" w:hAnsi="Garamond"/>
          <w:color w:val="000000"/>
        </w:rPr>
        <w:t>Looking at the board composition more generally, w</w:t>
      </w:r>
      <w:r w:rsidR="00290A89">
        <w:rPr>
          <w:rFonts w:ascii="Garamond" w:hAnsi="Garamond"/>
          <w:color w:val="000000"/>
        </w:rPr>
        <w:t>e see a small decrease in board size over time</w:t>
      </w:r>
      <w:r w:rsidR="008C6211">
        <w:rPr>
          <w:rFonts w:ascii="Garamond" w:hAnsi="Garamond"/>
          <w:color w:val="000000"/>
        </w:rPr>
        <w:t>, whereas b</w:t>
      </w:r>
      <w:r w:rsidR="007858F9">
        <w:rPr>
          <w:rFonts w:ascii="Garamond" w:hAnsi="Garamond"/>
          <w:color w:val="000000"/>
        </w:rPr>
        <w:t xml:space="preserve">oard independence </w:t>
      </w:r>
      <w:r w:rsidR="000C73A3">
        <w:rPr>
          <w:rFonts w:ascii="Garamond" w:hAnsi="Garamond"/>
          <w:color w:val="000000"/>
        </w:rPr>
        <w:t xml:space="preserve">has </w:t>
      </w:r>
      <w:r w:rsidR="007858F9">
        <w:rPr>
          <w:rFonts w:ascii="Garamond" w:hAnsi="Garamond"/>
          <w:color w:val="000000"/>
        </w:rPr>
        <w:t xml:space="preserve">gradually </w:t>
      </w:r>
      <w:r w:rsidR="006E1E67">
        <w:rPr>
          <w:rFonts w:ascii="Garamond" w:hAnsi="Garamond"/>
          <w:color w:val="000000"/>
        </w:rPr>
        <w:t>risen</w:t>
      </w:r>
      <w:r w:rsidR="00DA623B">
        <w:rPr>
          <w:rFonts w:ascii="Garamond" w:hAnsi="Garamond"/>
          <w:color w:val="000000"/>
        </w:rPr>
        <w:t xml:space="preserve"> </w:t>
      </w:r>
      <w:r w:rsidR="007858F9">
        <w:rPr>
          <w:rFonts w:ascii="Garamond" w:hAnsi="Garamond"/>
          <w:color w:val="000000"/>
        </w:rPr>
        <w:t xml:space="preserve">indicating </w:t>
      </w:r>
      <w:r w:rsidR="00790236">
        <w:rPr>
          <w:rFonts w:ascii="Garamond" w:hAnsi="Garamond"/>
          <w:color w:val="000000"/>
        </w:rPr>
        <w:t xml:space="preserve">a shift in corporate governance structures in UK public companies. </w:t>
      </w:r>
      <w:r w:rsidR="00DA29DC">
        <w:rPr>
          <w:rFonts w:ascii="Garamond" w:hAnsi="Garamond"/>
          <w:color w:val="000000"/>
        </w:rPr>
        <w:t>T</w:t>
      </w:r>
      <w:r w:rsidR="007858F9">
        <w:rPr>
          <w:rFonts w:ascii="Garamond" w:hAnsi="Garamond"/>
          <w:color w:val="000000"/>
        </w:rPr>
        <w:t>he final column</w:t>
      </w:r>
      <w:r w:rsidR="00342733">
        <w:rPr>
          <w:rFonts w:ascii="Garamond" w:hAnsi="Garamond"/>
          <w:color w:val="000000"/>
        </w:rPr>
        <w:t xml:space="preserve"> in Table 1</w:t>
      </w:r>
      <w:r w:rsidR="007858F9">
        <w:rPr>
          <w:rFonts w:ascii="Garamond" w:hAnsi="Garamond"/>
          <w:color w:val="000000"/>
        </w:rPr>
        <w:t xml:space="preserve"> reports the number of firms in our sample in each year, reflecting </w:t>
      </w:r>
      <w:r w:rsidR="007858F9">
        <w:rPr>
          <w:rFonts w:ascii="Garamond" w:hAnsi="Garamond"/>
          <w:color w:val="000000"/>
        </w:rPr>
        <w:lastRenderedPageBreak/>
        <w:t>the omission of firms with</w:t>
      </w:r>
      <w:r w:rsidR="008D6C35">
        <w:rPr>
          <w:rFonts w:ascii="Garamond" w:hAnsi="Garamond"/>
          <w:color w:val="000000"/>
        </w:rPr>
        <w:t xml:space="preserve"> </w:t>
      </w:r>
      <w:r w:rsidR="007858F9">
        <w:rPr>
          <w:rFonts w:ascii="Garamond" w:hAnsi="Garamond"/>
          <w:color w:val="000000"/>
        </w:rPr>
        <w:t xml:space="preserve">missing values and the removal of finance and utility firms. </w:t>
      </w:r>
      <w:r w:rsidR="00B6174D">
        <w:rPr>
          <w:rFonts w:ascii="Garamond" w:hAnsi="Garamond"/>
          <w:color w:val="000000"/>
        </w:rPr>
        <w:t>Our sample comprises an average of around 416 UK firms per sample year.</w:t>
      </w:r>
      <w:r w:rsidR="007858F9">
        <w:rPr>
          <w:rFonts w:ascii="Garamond" w:hAnsi="Garamond"/>
          <w:color w:val="000000"/>
        </w:rPr>
        <w:t xml:space="preserve"> </w:t>
      </w:r>
    </w:p>
    <w:p w:rsidR="00BE6317" w:rsidRDefault="00BE6317" w:rsidP="00CE067C">
      <w:pPr>
        <w:spacing w:line="360" w:lineRule="auto"/>
        <w:jc w:val="both"/>
        <w:rPr>
          <w:rFonts w:ascii="Garamond" w:hAnsi="Garamond"/>
          <w:color w:val="000000"/>
        </w:rPr>
      </w:pPr>
    </w:p>
    <w:p w:rsidR="00220E9A" w:rsidRDefault="007858F9" w:rsidP="00CE067C">
      <w:pPr>
        <w:spacing w:line="360" w:lineRule="auto"/>
        <w:jc w:val="both"/>
        <w:rPr>
          <w:rFonts w:ascii="Garamond" w:hAnsi="Garamond"/>
          <w:color w:val="000000"/>
        </w:rPr>
      </w:pPr>
      <w:r>
        <w:rPr>
          <w:rFonts w:ascii="Garamond" w:hAnsi="Garamond"/>
          <w:color w:val="000000"/>
        </w:rPr>
        <w:t>Table 2 provides the distribution of female CFOs by industry in the UK</w:t>
      </w:r>
      <w:r w:rsidR="00C514BD">
        <w:rPr>
          <w:rFonts w:ascii="Garamond" w:hAnsi="Garamond"/>
          <w:color w:val="000000"/>
        </w:rPr>
        <w:t xml:space="preserve">. </w:t>
      </w:r>
      <w:r>
        <w:rPr>
          <w:rFonts w:ascii="Garamond" w:hAnsi="Garamond"/>
          <w:color w:val="000000"/>
        </w:rPr>
        <w:t xml:space="preserve">7% of firms have female CFOs in the consumer goods and technology industries, while only 3% of firms have female CFOs in the healthcare and telecommunications industries. </w:t>
      </w:r>
      <w:r w:rsidR="00DA4C48">
        <w:rPr>
          <w:rFonts w:ascii="Garamond" w:hAnsi="Garamond"/>
          <w:color w:val="000000"/>
        </w:rPr>
        <w:t>In addition, w</w:t>
      </w:r>
      <w:r>
        <w:rPr>
          <w:rFonts w:ascii="Garamond" w:hAnsi="Garamond"/>
          <w:color w:val="000000"/>
        </w:rPr>
        <w:t xml:space="preserve">e generally </w:t>
      </w:r>
      <w:r w:rsidR="00D11C2F">
        <w:rPr>
          <w:rFonts w:ascii="Garamond" w:hAnsi="Garamond"/>
          <w:color w:val="000000"/>
        </w:rPr>
        <w:t>observe</w:t>
      </w:r>
      <w:r>
        <w:rPr>
          <w:rFonts w:ascii="Garamond" w:hAnsi="Garamond"/>
          <w:color w:val="000000"/>
        </w:rPr>
        <w:t xml:space="preserve"> that industries with a higher percentage of female CFOs </w:t>
      </w:r>
      <w:r w:rsidR="00A42039">
        <w:rPr>
          <w:rFonts w:ascii="Garamond" w:hAnsi="Garamond"/>
          <w:color w:val="000000"/>
        </w:rPr>
        <w:t>tend to</w:t>
      </w:r>
      <w:r>
        <w:rPr>
          <w:rFonts w:ascii="Garamond" w:hAnsi="Garamond"/>
          <w:color w:val="000000"/>
        </w:rPr>
        <w:t xml:space="preserve"> have a higher percentage of female directors</w:t>
      </w:r>
      <w:r w:rsidR="00A42039">
        <w:rPr>
          <w:rFonts w:ascii="Garamond" w:hAnsi="Garamond"/>
          <w:color w:val="000000"/>
        </w:rPr>
        <w:t>, with the exception of the telecommunications sector</w:t>
      </w:r>
      <w:r>
        <w:rPr>
          <w:rFonts w:ascii="Garamond" w:hAnsi="Garamond"/>
          <w:color w:val="000000"/>
        </w:rPr>
        <w:t>.</w:t>
      </w:r>
    </w:p>
    <w:p w:rsidR="009638E8" w:rsidRDefault="009638E8" w:rsidP="00CE067C">
      <w:pPr>
        <w:spacing w:line="360" w:lineRule="auto"/>
        <w:jc w:val="both"/>
        <w:rPr>
          <w:rFonts w:ascii="Garamond" w:hAnsi="Garamond"/>
          <w:color w:val="000000"/>
        </w:rPr>
      </w:pPr>
    </w:p>
    <w:p w:rsidR="00E15527" w:rsidRDefault="00427DD7" w:rsidP="00F530E0">
      <w:pPr>
        <w:ind w:firstLine="360"/>
        <w:rPr>
          <w:rFonts w:ascii="Garamond" w:hAnsi="Garamond"/>
          <w:i/>
        </w:rPr>
      </w:pPr>
      <w:r>
        <w:rPr>
          <w:rFonts w:ascii="Garamond" w:hAnsi="Garamond"/>
          <w:i/>
        </w:rPr>
        <w:t>3</w:t>
      </w:r>
      <w:r w:rsidR="00E15527">
        <w:rPr>
          <w:rFonts w:ascii="Garamond" w:hAnsi="Garamond"/>
          <w:i/>
        </w:rPr>
        <w:t xml:space="preserve">.2. Methodology </w:t>
      </w:r>
    </w:p>
    <w:p w:rsidR="00F87B41" w:rsidRDefault="00F87B41" w:rsidP="00D0508D">
      <w:pPr>
        <w:ind w:firstLine="357"/>
        <w:rPr>
          <w:rFonts w:ascii="Garamond" w:hAnsi="Garamond"/>
          <w:i/>
        </w:rPr>
      </w:pPr>
    </w:p>
    <w:p w:rsidR="00E15527" w:rsidRDefault="00F475E8" w:rsidP="00F530E0">
      <w:pPr>
        <w:spacing w:line="360" w:lineRule="auto"/>
        <w:jc w:val="both"/>
        <w:rPr>
          <w:rFonts w:ascii="Garamond" w:hAnsi="Garamond"/>
        </w:rPr>
      </w:pPr>
      <w:r>
        <w:rPr>
          <w:rFonts w:ascii="Garamond" w:hAnsi="Garamond"/>
        </w:rPr>
        <w:t xml:space="preserve">In this paper, we examine the impact of </w:t>
      </w:r>
      <w:r w:rsidR="00DA0D6F">
        <w:rPr>
          <w:rFonts w:ascii="Garamond" w:hAnsi="Garamond"/>
        </w:rPr>
        <w:t>CFO gender on corporate leverage</w:t>
      </w:r>
      <w:r>
        <w:rPr>
          <w:rFonts w:ascii="Garamond" w:hAnsi="Garamond"/>
        </w:rPr>
        <w:t xml:space="preserve"> where </w:t>
      </w:r>
      <w:r w:rsidR="00E15527">
        <w:rPr>
          <w:rFonts w:ascii="Garamond" w:hAnsi="Garamond"/>
        </w:rPr>
        <w:t xml:space="preserve">we begin with the following </w:t>
      </w:r>
      <w:r w:rsidR="00FF4694">
        <w:rPr>
          <w:rFonts w:ascii="Garamond" w:hAnsi="Garamond"/>
        </w:rPr>
        <w:t xml:space="preserve">fixed effect </w:t>
      </w:r>
      <w:r w:rsidR="00E15527">
        <w:rPr>
          <w:rFonts w:ascii="Garamond" w:hAnsi="Garamond"/>
        </w:rPr>
        <w:t>panel data regression model:</w:t>
      </w:r>
    </w:p>
    <w:p w:rsidR="00E15527" w:rsidRDefault="00E15527" w:rsidP="00E15527">
      <w:pPr>
        <w:ind w:left="360"/>
        <w:jc w:val="both"/>
        <w:rPr>
          <w:rFonts w:ascii="Garamond" w:hAnsi="Garamond"/>
        </w:rPr>
      </w:pPr>
    </w:p>
    <w:tbl>
      <w:tblPr>
        <w:tblStyle w:val="a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6"/>
        <w:gridCol w:w="7945"/>
        <w:gridCol w:w="469"/>
      </w:tblGrid>
      <w:tr w:rsidR="00E15527" w:rsidRPr="00E15527" w:rsidTr="009638E8">
        <w:trPr>
          <w:trHeight w:val="981"/>
        </w:trPr>
        <w:tc>
          <w:tcPr>
            <w:tcW w:w="236" w:type="dxa"/>
          </w:tcPr>
          <w:p w:rsidR="00E15527" w:rsidRPr="00E15527" w:rsidRDefault="00E15527" w:rsidP="00B6418C">
            <w:pPr>
              <w:jc w:val="both"/>
              <w:rPr>
                <w:rFonts w:ascii="Garamond" w:hAnsi="Garamond"/>
              </w:rPr>
            </w:pPr>
          </w:p>
        </w:tc>
        <w:tc>
          <w:tcPr>
            <w:tcW w:w="7945" w:type="dxa"/>
          </w:tcPr>
          <w:p w:rsidR="00E15527" w:rsidRPr="00E15527" w:rsidRDefault="00583570" w:rsidP="0019338D">
            <w:pPr>
              <w:jc w:val="both"/>
              <w:rPr>
                <w:rFonts w:ascii="Garamond" w:hAnsi="Garamond"/>
              </w:rPr>
            </w:pPr>
            <m:oMathPara>
              <m:oMath>
                <m:sSub>
                  <m:sSubPr>
                    <m:ctrlPr>
                      <w:rPr>
                        <w:rFonts w:ascii="Cambria Math" w:hAnsi="Cambria Math"/>
                        <w:i/>
                      </w:rPr>
                    </m:ctrlPr>
                  </m:sSubPr>
                  <m:e>
                    <m:r>
                      <w:rPr>
                        <w:rFonts w:ascii="Cambria Math" w:hAnsi="Cambria Math"/>
                      </w:rPr>
                      <m:t>Leverage</m:t>
                    </m:r>
                  </m:e>
                  <m:sub>
                    <m:r>
                      <w:rPr>
                        <w:rFonts w:ascii="Cambria Math" w:hAnsi="Cambria Math"/>
                      </w:rPr>
                      <m:t>i,t</m:t>
                    </m:r>
                  </m:sub>
                </m:sSub>
                <m:r>
                  <w:rPr>
                    <w:rFonts w:ascii="Cambria Math" w:hAnsi="Cambria Math"/>
                  </w:rPr>
                  <m:t>=α+</m:t>
                </m:r>
                <m:sSub>
                  <m:sSubPr>
                    <m:ctrlPr>
                      <w:rPr>
                        <w:rFonts w:ascii="Cambria Math" w:hAnsi="Cambria Math"/>
                        <w:i/>
                      </w:rPr>
                    </m:ctrlPr>
                  </m:sSubPr>
                  <m:e>
                    <m:r>
                      <w:rPr>
                        <w:rFonts w:ascii="Cambria Math" w:hAnsi="Cambria Math"/>
                      </w:rPr>
                      <m:t>β*FemaleCFO</m:t>
                    </m:r>
                  </m:e>
                  <m:sub>
                    <m:r>
                      <w:rPr>
                        <w:rFonts w:ascii="Cambria Math" w:hAnsi="Cambria Math"/>
                      </w:rPr>
                      <m:t>i,t-1</m:t>
                    </m:r>
                  </m:sub>
                </m:sSub>
                <m:r>
                  <w:rPr>
                    <w:rFonts w:ascii="Cambria Math" w:hAnsi="Cambria Math"/>
                  </w:rPr>
                  <m:t>+</m:t>
                </m:r>
                <m:sSub>
                  <m:sSubPr>
                    <m:ctrlPr>
                      <w:rPr>
                        <w:rFonts w:ascii="Cambria Math" w:hAnsi="Cambria Math"/>
                        <w:i/>
                      </w:rPr>
                    </m:ctrlPr>
                  </m:sSubPr>
                  <m:e>
                    <m:r>
                      <w:rPr>
                        <w:rFonts w:ascii="Cambria Math" w:hAnsi="Cambria Math"/>
                      </w:rPr>
                      <m:t>θ*BoardDiversity</m:t>
                    </m:r>
                  </m:e>
                  <m:sub>
                    <m:r>
                      <w:rPr>
                        <w:rFonts w:ascii="Cambria Math" w:hAnsi="Cambria Math"/>
                      </w:rPr>
                      <m:t>i,t-1</m:t>
                    </m:r>
                  </m:sub>
                </m:sSub>
                <m:r>
                  <w:rPr>
                    <w:rFonts w:ascii="Cambria Math" w:hAnsi="Cambria Math"/>
                  </w:rPr>
                  <m:t>+</m:t>
                </m:r>
                <m:nary>
                  <m:naryPr>
                    <m:chr m:val="∑"/>
                    <m:limLoc m:val="undOvr"/>
                    <m:subHide m:val="on"/>
                    <m:supHide m:val="on"/>
                    <m:ctrlPr>
                      <w:rPr>
                        <w:rFonts w:ascii="Cambria Math" w:hAnsi="Cambria Math"/>
                        <w:i/>
                      </w:rPr>
                    </m:ctrlPr>
                  </m:naryPr>
                  <m:sub/>
                  <m:sup/>
                  <m:e>
                    <m:r>
                      <w:rPr>
                        <w:rFonts w:ascii="Cambria Math" w:hAnsi="Cambria Math"/>
                      </w:rPr>
                      <m:t>γ*</m:t>
                    </m:r>
                    <m:sSub>
                      <m:sSubPr>
                        <m:ctrlPr>
                          <w:rPr>
                            <w:rFonts w:ascii="Cambria Math" w:hAnsi="Cambria Math"/>
                            <w:i/>
                          </w:rPr>
                        </m:ctrlPr>
                      </m:sSubPr>
                      <m:e>
                        <m:r>
                          <w:rPr>
                            <w:rFonts w:ascii="Cambria Math" w:hAnsi="Cambria Math"/>
                          </w:rPr>
                          <m:t>ControlVariables</m:t>
                        </m:r>
                      </m:e>
                      <m:sub>
                        <m:r>
                          <w:rPr>
                            <w:rFonts w:ascii="Cambria Math" w:hAnsi="Cambria Math"/>
                          </w:rPr>
                          <m:t>i,t-1</m:t>
                        </m:r>
                      </m:sub>
                    </m:sSub>
                    <m:r>
                      <w:rPr>
                        <w:rFonts w:ascii="Cambria Math" w:hAnsi="Cambria Math"/>
                      </w:rPr>
                      <m:t>+</m:t>
                    </m:r>
                  </m:e>
                </m:nary>
                <m:sSub>
                  <m:sSubPr>
                    <m:ctrlPr>
                      <w:rPr>
                        <w:rFonts w:ascii="Cambria Math" w:hAnsi="Cambria Math"/>
                        <w:i/>
                      </w:rPr>
                    </m:ctrlPr>
                  </m:sSubPr>
                  <m:e>
                    <m:r>
                      <w:rPr>
                        <w:rFonts w:ascii="Cambria Math" w:hAnsi="Cambria Math"/>
                      </w:rPr>
                      <m:t>FirmFE+YearFE+ε</m:t>
                    </m:r>
                  </m:e>
                  <m:sub>
                    <m:r>
                      <w:rPr>
                        <w:rFonts w:ascii="Cambria Math" w:hAnsi="Cambria Math"/>
                      </w:rPr>
                      <m:t>i,t</m:t>
                    </m:r>
                  </m:sub>
                </m:sSub>
              </m:oMath>
            </m:oMathPara>
          </w:p>
        </w:tc>
        <w:tc>
          <w:tcPr>
            <w:tcW w:w="469" w:type="dxa"/>
          </w:tcPr>
          <w:p w:rsidR="00E15527" w:rsidRPr="00E15527" w:rsidRDefault="00E15527" w:rsidP="00B6418C">
            <w:pPr>
              <w:jc w:val="both"/>
              <w:rPr>
                <w:rFonts w:ascii="Garamond" w:hAnsi="Garamond"/>
              </w:rPr>
            </w:pPr>
            <w:r w:rsidRPr="00E15527">
              <w:rPr>
                <w:rFonts w:ascii="Garamond" w:hAnsi="Garamond"/>
              </w:rPr>
              <w:t>(1)</w:t>
            </w:r>
          </w:p>
        </w:tc>
      </w:tr>
    </w:tbl>
    <w:p w:rsidR="00E15527" w:rsidRPr="0095082A" w:rsidRDefault="00E15527" w:rsidP="00E15527">
      <w:pPr>
        <w:ind w:left="360"/>
        <w:jc w:val="both"/>
        <w:rPr>
          <w:rFonts w:ascii="Garamond" w:hAnsi="Garamond"/>
        </w:rPr>
      </w:pPr>
    </w:p>
    <w:p w:rsidR="00E15527" w:rsidRDefault="00E15527" w:rsidP="00EA0886">
      <w:pPr>
        <w:spacing w:line="360" w:lineRule="auto"/>
        <w:jc w:val="both"/>
        <w:rPr>
          <w:rFonts w:ascii="Garamond" w:hAnsi="Garamond"/>
          <w:color w:val="000000"/>
        </w:rPr>
      </w:pPr>
      <w:r>
        <w:rPr>
          <w:rFonts w:ascii="Garamond" w:hAnsi="Garamond"/>
        </w:rPr>
        <w:t xml:space="preserve">The dependent variable </w:t>
      </w:r>
      <m:oMath>
        <m:sSub>
          <m:sSubPr>
            <m:ctrlPr>
              <w:rPr>
                <w:rFonts w:ascii="Cambria Math" w:hAnsi="Cambria Math"/>
                <w:i/>
              </w:rPr>
            </m:ctrlPr>
          </m:sSubPr>
          <m:e>
            <m:r>
              <w:rPr>
                <w:rFonts w:ascii="Cambria Math" w:hAnsi="Cambria Math"/>
              </w:rPr>
              <m:t>Leverage</m:t>
            </m:r>
          </m:e>
          <m:sub>
            <m:r>
              <w:rPr>
                <w:rFonts w:ascii="Cambria Math" w:hAnsi="Cambria Math"/>
              </w:rPr>
              <m:t>i,t</m:t>
            </m:r>
          </m:sub>
        </m:sSub>
      </m:oMath>
      <w:r>
        <w:rPr>
          <w:rFonts w:ascii="Garamond" w:hAnsi="Garamond"/>
        </w:rPr>
        <w:t xml:space="preserve"> </w:t>
      </w:r>
      <w:r w:rsidR="00F475E8">
        <w:rPr>
          <w:rFonts w:ascii="Garamond" w:hAnsi="Garamond"/>
        </w:rPr>
        <w:t xml:space="preserve">is a measure </w:t>
      </w:r>
      <w:r w:rsidR="0034500C">
        <w:rPr>
          <w:rFonts w:ascii="Garamond" w:hAnsi="Garamond"/>
        </w:rPr>
        <w:t xml:space="preserve">of a </w:t>
      </w:r>
      <w:r w:rsidR="00F475E8">
        <w:rPr>
          <w:rFonts w:ascii="Garamond" w:hAnsi="Garamond"/>
        </w:rPr>
        <w:t>firm</w:t>
      </w:r>
      <w:r w:rsidR="0034500C">
        <w:rPr>
          <w:rFonts w:ascii="Garamond" w:hAnsi="Garamond"/>
        </w:rPr>
        <w:t>’s reliance on debt financing relative to equity financing</w:t>
      </w:r>
      <w:r w:rsidR="00F475E8">
        <w:rPr>
          <w:rFonts w:ascii="Garamond" w:hAnsi="Garamond"/>
        </w:rPr>
        <w:t xml:space="preserve">. </w:t>
      </w:r>
      <m:oMath>
        <m:sSub>
          <m:sSubPr>
            <m:ctrlPr>
              <w:rPr>
                <w:rFonts w:ascii="Cambria Math" w:hAnsi="Cambria Math"/>
                <w:i/>
              </w:rPr>
            </m:ctrlPr>
          </m:sSubPr>
          <m:e>
            <m:r>
              <w:rPr>
                <w:rFonts w:ascii="Cambria Math" w:hAnsi="Cambria Math"/>
              </w:rPr>
              <m:t>FemaleCFO</m:t>
            </m:r>
          </m:e>
          <m:sub>
            <m:r>
              <w:rPr>
                <w:rFonts w:ascii="Cambria Math" w:hAnsi="Cambria Math"/>
              </w:rPr>
              <m:t>i,t-1</m:t>
            </m:r>
          </m:sub>
        </m:sSub>
      </m:oMath>
      <w:r w:rsidR="00EA0886">
        <w:rPr>
          <w:rFonts w:ascii="Garamond" w:hAnsi="Garamond"/>
        </w:rPr>
        <w:t xml:space="preserve"> is a dummy variable equal to </w:t>
      </w:r>
      <w:r w:rsidR="005B534E">
        <w:rPr>
          <w:rFonts w:ascii="Garamond" w:hAnsi="Garamond"/>
        </w:rPr>
        <w:t xml:space="preserve">one </w:t>
      </w:r>
      <w:r w:rsidR="00EA0886">
        <w:rPr>
          <w:rFonts w:ascii="Garamond" w:hAnsi="Garamond"/>
        </w:rPr>
        <w:t xml:space="preserve">if the CFO is a </w:t>
      </w:r>
      <w:r w:rsidR="00097286">
        <w:rPr>
          <w:rFonts w:ascii="Garamond" w:hAnsi="Garamond"/>
        </w:rPr>
        <w:t>woman</w:t>
      </w:r>
      <w:r w:rsidR="00EA0886">
        <w:rPr>
          <w:rFonts w:ascii="Garamond" w:hAnsi="Garamond"/>
        </w:rPr>
        <w:t xml:space="preserve"> and zero otherwise, </w:t>
      </w:r>
      <m:oMath>
        <m:sSub>
          <m:sSubPr>
            <m:ctrlPr>
              <w:rPr>
                <w:rFonts w:ascii="Cambria Math" w:hAnsi="Cambria Math"/>
                <w:i/>
              </w:rPr>
            </m:ctrlPr>
          </m:sSubPr>
          <m:e>
            <m:r>
              <w:rPr>
                <w:rFonts w:ascii="Cambria Math" w:hAnsi="Cambria Math"/>
              </w:rPr>
              <m:t>BoardDiversity</m:t>
            </m:r>
          </m:e>
          <m:sub>
            <m:r>
              <w:rPr>
                <w:rFonts w:ascii="Cambria Math" w:hAnsi="Cambria Math"/>
              </w:rPr>
              <m:t>i,t-1</m:t>
            </m:r>
          </m:sub>
        </m:sSub>
      </m:oMath>
      <w:r w:rsidR="003566D1">
        <w:rPr>
          <w:rFonts w:ascii="Garamond" w:hAnsi="Garamond"/>
        </w:rPr>
        <w:t xml:space="preserve"> is</w:t>
      </w:r>
      <w:r w:rsidR="005B534E">
        <w:rPr>
          <w:rFonts w:ascii="Garamond" w:hAnsi="Garamond"/>
        </w:rPr>
        <w:t xml:space="preserve"> a set of measures that capture the diversity of the board with regard to gender, nationality and age</w:t>
      </w:r>
      <w:r w:rsidR="003566D1">
        <w:rPr>
          <w:rFonts w:ascii="Garamond" w:hAnsi="Garamond"/>
        </w:rPr>
        <w:t xml:space="preserve">, </w:t>
      </w:r>
      <w:r w:rsidR="00EA0886">
        <w:rPr>
          <w:rFonts w:ascii="Garamond" w:hAnsi="Garamond"/>
        </w:rPr>
        <w:t xml:space="preserve">while </w:t>
      </w:r>
      <m:oMath>
        <m:sSub>
          <m:sSubPr>
            <m:ctrlPr>
              <w:rPr>
                <w:rFonts w:ascii="Cambria Math" w:hAnsi="Cambria Math"/>
                <w:i/>
              </w:rPr>
            </m:ctrlPr>
          </m:sSubPr>
          <m:e>
            <m:r>
              <w:rPr>
                <w:rFonts w:ascii="Cambria Math" w:hAnsi="Cambria Math"/>
              </w:rPr>
              <m:t>ControlVariables</m:t>
            </m:r>
          </m:e>
          <m:sub>
            <m:r>
              <w:rPr>
                <w:rFonts w:ascii="Cambria Math" w:hAnsi="Cambria Math"/>
              </w:rPr>
              <m:t>i,t-1</m:t>
            </m:r>
          </m:sub>
        </m:sSub>
      </m:oMath>
      <w:r w:rsidR="00EA0886">
        <w:rPr>
          <w:rFonts w:ascii="Garamond" w:hAnsi="Garamond"/>
        </w:rPr>
        <w:t xml:space="preserve"> contains a set of </w:t>
      </w:r>
      <w:r w:rsidR="00EA0886">
        <w:rPr>
          <w:rFonts w:ascii="Garamond" w:hAnsi="Garamond"/>
          <w:color w:val="000000"/>
        </w:rPr>
        <w:t>board-, firm- and director-level control</w:t>
      </w:r>
      <w:r w:rsidR="00C91713">
        <w:rPr>
          <w:rFonts w:ascii="Garamond" w:hAnsi="Garamond"/>
          <w:color w:val="000000"/>
        </w:rPr>
        <w:t>s</w:t>
      </w:r>
      <w:r w:rsidR="008D6C35">
        <w:rPr>
          <w:rFonts w:ascii="Garamond" w:hAnsi="Garamond"/>
          <w:color w:val="000000"/>
        </w:rPr>
        <w:t xml:space="preserve"> described in Section 3.5</w:t>
      </w:r>
      <w:r w:rsidR="00EA0886">
        <w:rPr>
          <w:rFonts w:ascii="Garamond" w:hAnsi="Garamond"/>
          <w:color w:val="000000"/>
        </w:rPr>
        <w:t xml:space="preserve">.  </w:t>
      </w:r>
      <w:r w:rsidR="00655017">
        <w:rPr>
          <w:rFonts w:ascii="Garamond" w:hAnsi="Garamond"/>
          <w:color w:val="000000"/>
        </w:rPr>
        <w:t xml:space="preserve">All independent variables are at time </w:t>
      </w:r>
      <w:r w:rsidR="00655017" w:rsidRPr="00060EDA">
        <w:rPr>
          <w:rFonts w:ascii="Garamond" w:hAnsi="Garamond"/>
          <w:i/>
          <w:iCs/>
          <w:color w:val="000000"/>
        </w:rPr>
        <w:t>t-1</w:t>
      </w:r>
      <w:r w:rsidR="00655017">
        <w:rPr>
          <w:rFonts w:ascii="Garamond" w:hAnsi="Garamond"/>
          <w:color w:val="000000"/>
        </w:rPr>
        <w:t xml:space="preserve"> indicating that they are lagged with respect to the dependent variable. </w:t>
      </w:r>
      <w:r w:rsidR="00EA0886">
        <w:rPr>
          <w:rFonts w:ascii="Garamond" w:hAnsi="Garamond"/>
          <w:color w:val="000000"/>
        </w:rPr>
        <w:t xml:space="preserve">We also include </w:t>
      </w:r>
      <w:r w:rsidR="00253B11">
        <w:rPr>
          <w:rFonts w:ascii="Garamond" w:hAnsi="Garamond"/>
          <w:color w:val="000000"/>
        </w:rPr>
        <w:t xml:space="preserve">firm </w:t>
      </w:r>
      <w:r w:rsidR="00D67F4A">
        <w:rPr>
          <w:rFonts w:ascii="Garamond" w:hAnsi="Garamond"/>
          <w:color w:val="000000"/>
        </w:rPr>
        <w:t>fixed</w:t>
      </w:r>
      <w:r w:rsidR="00EA0886">
        <w:rPr>
          <w:rFonts w:ascii="Garamond" w:hAnsi="Garamond"/>
          <w:color w:val="000000"/>
        </w:rPr>
        <w:t xml:space="preserve"> effects</w:t>
      </w:r>
      <w:r w:rsidR="0079278A">
        <w:rPr>
          <w:rFonts w:ascii="Garamond" w:hAnsi="Garamond"/>
          <w:color w:val="000000"/>
        </w:rPr>
        <w:t xml:space="preserve"> and year fixed effects</w:t>
      </w:r>
      <w:r w:rsidR="00253B11">
        <w:rPr>
          <w:rFonts w:ascii="Garamond" w:hAnsi="Garamond"/>
          <w:color w:val="000000"/>
        </w:rPr>
        <w:t xml:space="preserve"> and cluster standard errors at the firm level.</w:t>
      </w:r>
    </w:p>
    <w:p w:rsidR="0017508C" w:rsidRDefault="0017508C" w:rsidP="00EA0886">
      <w:pPr>
        <w:spacing w:line="360" w:lineRule="auto"/>
        <w:jc w:val="both"/>
        <w:rPr>
          <w:rFonts w:ascii="Garamond" w:hAnsi="Garamond"/>
          <w:color w:val="000000"/>
        </w:rPr>
      </w:pPr>
    </w:p>
    <w:p w:rsidR="0017508C" w:rsidRDefault="00427DD7" w:rsidP="00D0508D">
      <w:pPr>
        <w:jc w:val="both"/>
        <w:rPr>
          <w:rFonts w:ascii="Garamond" w:hAnsi="Garamond"/>
          <w:i/>
          <w:color w:val="000000"/>
        </w:rPr>
      </w:pPr>
      <w:r>
        <w:rPr>
          <w:rFonts w:ascii="Garamond" w:hAnsi="Garamond"/>
          <w:i/>
          <w:color w:val="000000"/>
        </w:rPr>
        <w:t>3</w:t>
      </w:r>
      <w:r w:rsidR="0017508C" w:rsidRPr="0017508C">
        <w:rPr>
          <w:rFonts w:ascii="Garamond" w:hAnsi="Garamond"/>
          <w:i/>
          <w:color w:val="000000"/>
        </w:rPr>
        <w:t>.3. Dependent Variable</w:t>
      </w:r>
    </w:p>
    <w:p w:rsidR="00F87B41" w:rsidRDefault="00F87B41" w:rsidP="00D0508D">
      <w:pPr>
        <w:jc w:val="both"/>
        <w:rPr>
          <w:rFonts w:ascii="Garamond" w:hAnsi="Garamond"/>
          <w:i/>
          <w:color w:val="000000"/>
        </w:rPr>
      </w:pPr>
    </w:p>
    <w:p w:rsidR="003A154F" w:rsidRPr="00AD368E" w:rsidRDefault="004C78AA" w:rsidP="003A154F">
      <w:pPr>
        <w:spacing w:line="360" w:lineRule="auto"/>
        <w:jc w:val="both"/>
        <w:rPr>
          <w:rFonts w:ascii="Garamond" w:hAnsi="Garamond"/>
          <w:lang w:eastAsia="zh-CN"/>
        </w:rPr>
      </w:pPr>
      <w:r>
        <w:rPr>
          <w:rFonts w:ascii="Garamond" w:hAnsi="Garamond"/>
          <w:color w:val="000000"/>
        </w:rPr>
        <w:t>We employ</w:t>
      </w:r>
      <w:r w:rsidR="0068105F">
        <w:rPr>
          <w:rFonts w:ascii="Garamond" w:hAnsi="Garamond"/>
          <w:color w:val="000000"/>
        </w:rPr>
        <w:t xml:space="preserve"> leverage as our main dependent variable for two reasons. First, CFOs have direct oversight and influence </w:t>
      </w:r>
      <w:r w:rsidR="0079065D">
        <w:rPr>
          <w:rFonts w:ascii="Garamond" w:hAnsi="Garamond"/>
          <w:color w:val="000000"/>
        </w:rPr>
        <w:t xml:space="preserve">over corporate capital structure through their management of corporate financing </w:t>
      </w:r>
      <w:r w:rsidR="00DA4ED3">
        <w:rPr>
          <w:rFonts w:ascii="Garamond" w:hAnsi="Garamond"/>
          <w:color w:val="000000"/>
        </w:rPr>
        <w:t xml:space="preserve">and risk management. </w:t>
      </w:r>
      <w:r w:rsidR="009B2439">
        <w:rPr>
          <w:rFonts w:ascii="Garamond" w:hAnsi="Garamond"/>
          <w:iCs/>
        </w:rPr>
        <w:t xml:space="preserve">While a CEO has complete control of a firm and has more power to influence many other variables of the firm (such as return on assets and market measures of performance), the CFO role is more limited and </w:t>
      </w:r>
      <w:r w:rsidR="00915974">
        <w:rPr>
          <w:rFonts w:ascii="Garamond" w:hAnsi="Garamond"/>
          <w:iCs/>
        </w:rPr>
        <w:t xml:space="preserve">a </w:t>
      </w:r>
      <w:r w:rsidR="009B2439">
        <w:rPr>
          <w:rFonts w:ascii="Garamond" w:hAnsi="Garamond"/>
          <w:iCs/>
        </w:rPr>
        <w:t xml:space="preserve">key area of the firm they have significant control over is the firm’s debt structure. </w:t>
      </w:r>
      <w:r w:rsidR="00DA4ED3">
        <w:rPr>
          <w:rFonts w:ascii="Garamond" w:hAnsi="Garamond"/>
          <w:color w:val="000000"/>
        </w:rPr>
        <w:t>Second, leverage is a popular measure</w:t>
      </w:r>
      <w:r w:rsidR="00A61DF0">
        <w:rPr>
          <w:rFonts w:ascii="Garamond" w:hAnsi="Garamond"/>
          <w:color w:val="000000"/>
        </w:rPr>
        <w:t xml:space="preserve"> to examine the </w:t>
      </w:r>
      <w:r w:rsidR="0086684F">
        <w:rPr>
          <w:rFonts w:ascii="Garamond" w:hAnsi="Garamond"/>
          <w:color w:val="000000"/>
        </w:rPr>
        <w:t>degree of</w:t>
      </w:r>
      <w:r w:rsidR="00A90E54" w:rsidRPr="003A154F">
        <w:rPr>
          <w:rFonts w:ascii="Garamond" w:hAnsi="Garamond"/>
          <w:color w:val="000000"/>
        </w:rPr>
        <w:t xml:space="preserve"> </w:t>
      </w:r>
      <w:r w:rsidR="00F475E8" w:rsidRPr="003A154F">
        <w:rPr>
          <w:rFonts w:ascii="Garamond" w:hAnsi="Garamond"/>
          <w:color w:val="000000"/>
        </w:rPr>
        <w:t xml:space="preserve">riskiness of corporate financing choices. Given a negative shock to a firm’s underlying business conditions, the higher the leverage, the greater the negative impact of the shock on the firm’s net profitability. </w:t>
      </w:r>
      <w:r w:rsidR="00A90E54" w:rsidRPr="003A154F">
        <w:rPr>
          <w:rFonts w:ascii="Garamond" w:hAnsi="Garamond"/>
          <w:color w:val="000000"/>
        </w:rPr>
        <w:t xml:space="preserve">Leverage is defined as </w:t>
      </w:r>
      <w:r w:rsidR="003A154F" w:rsidRPr="003A154F">
        <w:rPr>
          <w:rFonts w:ascii="Garamond" w:hAnsi="Garamond"/>
        </w:rPr>
        <w:t xml:space="preserve">the ratio of current and long-term </w:t>
      </w:r>
      <w:r w:rsidR="003A154F" w:rsidRPr="003A154F">
        <w:rPr>
          <w:rFonts w:ascii="Garamond" w:hAnsi="Garamond"/>
        </w:rPr>
        <w:lastRenderedPageBreak/>
        <w:t xml:space="preserve">debt to total assets (book value) at the end of </w:t>
      </w:r>
      <w:r w:rsidR="00097286">
        <w:rPr>
          <w:rFonts w:ascii="Garamond" w:hAnsi="Garamond"/>
        </w:rPr>
        <w:t xml:space="preserve">a </w:t>
      </w:r>
      <w:r w:rsidR="003A154F" w:rsidRPr="003A154F">
        <w:rPr>
          <w:rFonts w:ascii="Garamond" w:hAnsi="Garamond"/>
        </w:rPr>
        <w:t>fiscal year</w:t>
      </w:r>
      <w:r w:rsidR="003A154F" w:rsidRPr="009B2439">
        <w:rPr>
          <w:rFonts w:ascii="Garamond" w:hAnsi="Garamond"/>
        </w:rPr>
        <w:t>.</w:t>
      </w:r>
      <w:r w:rsidR="00511721" w:rsidRPr="009B2439">
        <w:rPr>
          <w:rFonts w:ascii="Garamond" w:hAnsi="Garamond"/>
        </w:rPr>
        <w:t xml:space="preserve"> </w:t>
      </w:r>
      <w:r w:rsidR="007E3B9B">
        <w:rPr>
          <w:rFonts w:ascii="Garamond" w:hAnsi="Garamond"/>
        </w:rPr>
        <w:t xml:space="preserve">We rely on book leverage for the main part </w:t>
      </w:r>
      <w:r w:rsidR="006815B9">
        <w:rPr>
          <w:rFonts w:ascii="Garamond" w:hAnsi="Garamond"/>
        </w:rPr>
        <w:t>of our analysis as survey-based</w:t>
      </w:r>
      <w:r w:rsidR="00B1417A">
        <w:rPr>
          <w:rFonts w:ascii="Garamond" w:hAnsi="Garamond"/>
        </w:rPr>
        <w:t xml:space="preserve"> evidence suggests that UK CFOs mainly rely on book values when measuring debt ratios (see Beattie et al., 200</w:t>
      </w:r>
      <w:r w:rsidR="00E81992">
        <w:rPr>
          <w:rFonts w:ascii="Garamond" w:hAnsi="Garamond"/>
        </w:rPr>
        <w:t xml:space="preserve">6). But in robustness checks, we </w:t>
      </w:r>
      <w:r w:rsidR="00EF74AD">
        <w:rPr>
          <w:rFonts w:ascii="Garamond" w:hAnsi="Garamond"/>
        </w:rPr>
        <w:t>show that our results are robust to using market-based leverage ratios as dependent variable.</w:t>
      </w:r>
    </w:p>
    <w:p w:rsidR="0017508C" w:rsidRDefault="0017508C" w:rsidP="00EA0886">
      <w:pPr>
        <w:spacing w:line="360" w:lineRule="auto"/>
        <w:jc w:val="both"/>
        <w:rPr>
          <w:rFonts w:ascii="Garamond" w:hAnsi="Garamond"/>
          <w:color w:val="000000"/>
        </w:rPr>
      </w:pPr>
    </w:p>
    <w:p w:rsidR="005B534E" w:rsidRDefault="005B534E" w:rsidP="00D0508D">
      <w:pPr>
        <w:jc w:val="both"/>
        <w:rPr>
          <w:rFonts w:ascii="Garamond" w:hAnsi="Garamond"/>
          <w:i/>
          <w:color w:val="000000"/>
        </w:rPr>
      </w:pPr>
      <w:r w:rsidRPr="0086684F">
        <w:rPr>
          <w:rFonts w:ascii="Garamond" w:hAnsi="Garamond"/>
          <w:i/>
          <w:color w:val="000000"/>
        </w:rPr>
        <w:t>3.4. Main Independent Variables</w:t>
      </w:r>
    </w:p>
    <w:p w:rsidR="00F87B41" w:rsidRPr="0086684F" w:rsidRDefault="00F87B41" w:rsidP="00D0508D">
      <w:pPr>
        <w:jc w:val="both"/>
        <w:rPr>
          <w:rFonts w:ascii="Garamond" w:hAnsi="Garamond"/>
          <w:i/>
          <w:color w:val="000000"/>
        </w:rPr>
      </w:pPr>
    </w:p>
    <w:p w:rsidR="005B534E" w:rsidRDefault="005B534E" w:rsidP="005B534E">
      <w:pPr>
        <w:spacing w:line="360" w:lineRule="auto"/>
        <w:jc w:val="both"/>
        <w:rPr>
          <w:rFonts w:ascii="Garamond" w:hAnsi="Garamond"/>
          <w:color w:val="000000"/>
        </w:rPr>
      </w:pPr>
      <w:r>
        <w:rPr>
          <w:rFonts w:ascii="Garamond" w:hAnsi="Garamond"/>
          <w:color w:val="000000"/>
        </w:rPr>
        <w:t xml:space="preserve">Our main variable of interest is the dummy variable for a female CFO which indicates whether the firm has a female CFO. Given the vast literature on the importance of board diversity for corporate policies and </w:t>
      </w:r>
      <w:r w:rsidR="00AC03EE">
        <w:rPr>
          <w:rFonts w:ascii="Garamond" w:hAnsi="Garamond"/>
          <w:color w:val="000000"/>
        </w:rPr>
        <w:t>decision-making</w:t>
      </w:r>
      <w:r>
        <w:rPr>
          <w:rFonts w:ascii="Garamond" w:hAnsi="Garamond"/>
          <w:color w:val="000000"/>
        </w:rPr>
        <w:t xml:space="preserve"> processes, we further aim to test the effect of more diverse boards on firms’ leverage. In particular, we are interested in the diversity of the board along three dimensions: gender diversity, nationality diversity and age diversity.</w:t>
      </w:r>
      <w:r w:rsidR="007F3309">
        <w:rPr>
          <w:rFonts w:ascii="Garamond" w:hAnsi="Garamond"/>
          <w:color w:val="000000"/>
        </w:rPr>
        <w:t xml:space="preserve"> </w:t>
      </w:r>
      <w:r w:rsidR="00F87B41">
        <w:rPr>
          <w:rFonts w:ascii="Garamond" w:hAnsi="Garamond"/>
          <w:color w:val="000000"/>
        </w:rPr>
        <w:t>T</w:t>
      </w:r>
      <w:r w:rsidR="007F3309">
        <w:rPr>
          <w:rFonts w:ascii="Garamond" w:hAnsi="Garamond"/>
          <w:color w:val="000000"/>
        </w:rPr>
        <w:t xml:space="preserve">he diversity of a board is likely to be affected by a variety of firm characteristics and in addition is likely not to be independent of the gender, nationality and age characteristics of the CFO, our main variable of interest. </w:t>
      </w:r>
      <w:r w:rsidR="008C7DF5">
        <w:rPr>
          <w:rFonts w:ascii="Garamond" w:hAnsi="Garamond"/>
          <w:color w:val="000000"/>
        </w:rPr>
        <w:t>This is because in most UK firms the CFO sits on the board of directors</w:t>
      </w:r>
      <w:r w:rsidR="008C7DF5" w:rsidRPr="00712EE7">
        <w:rPr>
          <w:rFonts w:ascii="Garamond" w:hAnsi="Garamond"/>
          <w:color w:val="000000" w:themeColor="text1"/>
        </w:rPr>
        <w:t>.</w:t>
      </w:r>
      <w:r w:rsidR="00712EE7" w:rsidRPr="00712EE7">
        <w:rPr>
          <w:rStyle w:val="a9"/>
          <w:rFonts w:ascii="Garamond" w:hAnsi="Garamond"/>
          <w:color w:val="000000" w:themeColor="text1"/>
        </w:rPr>
        <w:footnoteReference w:id="7"/>
      </w:r>
      <w:r w:rsidR="008C7DF5" w:rsidRPr="00712EE7">
        <w:rPr>
          <w:rFonts w:ascii="Garamond" w:hAnsi="Garamond"/>
          <w:color w:val="000000" w:themeColor="text1"/>
        </w:rPr>
        <w:t xml:space="preserve"> </w:t>
      </w:r>
      <w:r w:rsidR="00712EE7">
        <w:rPr>
          <w:rFonts w:ascii="Garamond" w:hAnsi="Garamond"/>
          <w:color w:val="FF0000"/>
        </w:rPr>
        <w:t xml:space="preserve"> </w:t>
      </w:r>
      <w:r w:rsidR="007F3309">
        <w:rPr>
          <w:rFonts w:ascii="Garamond" w:hAnsi="Garamond"/>
          <w:color w:val="000000"/>
        </w:rPr>
        <w:t>To adjust our board diversity measure for firm and</w:t>
      </w:r>
      <w:r w:rsidR="00FB0CA9">
        <w:rPr>
          <w:rFonts w:ascii="Garamond" w:hAnsi="Garamond"/>
          <w:color w:val="000000"/>
        </w:rPr>
        <w:t xml:space="preserve"> especially</w:t>
      </w:r>
      <w:r w:rsidR="007F3309">
        <w:rPr>
          <w:rFonts w:ascii="Garamond" w:hAnsi="Garamond"/>
          <w:color w:val="000000"/>
        </w:rPr>
        <w:t xml:space="preserve"> CFO specific effects, w</w:t>
      </w:r>
      <w:r w:rsidR="0034319A">
        <w:rPr>
          <w:rFonts w:ascii="Garamond" w:hAnsi="Garamond"/>
          <w:color w:val="000000"/>
        </w:rPr>
        <w:t>e follow</w:t>
      </w:r>
      <w:r w:rsidR="0086684F">
        <w:rPr>
          <w:rFonts w:ascii="Garamond" w:hAnsi="Garamond"/>
          <w:color w:val="000000"/>
        </w:rPr>
        <w:t xml:space="preserve"> the methodology of</w:t>
      </w:r>
      <w:r>
        <w:rPr>
          <w:rFonts w:ascii="Garamond" w:hAnsi="Garamond"/>
          <w:color w:val="000000"/>
        </w:rPr>
        <w:t xml:space="preserve"> Fang et al. (2018)</w:t>
      </w:r>
      <w:r w:rsidR="0034319A">
        <w:rPr>
          <w:rFonts w:ascii="Garamond" w:hAnsi="Garamond"/>
          <w:color w:val="000000"/>
        </w:rPr>
        <w:t xml:space="preserve"> </w:t>
      </w:r>
      <w:r w:rsidR="007F3309">
        <w:rPr>
          <w:rFonts w:ascii="Garamond" w:hAnsi="Garamond"/>
          <w:color w:val="000000"/>
        </w:rPr>
        <w:t>who</w:t>
      </w:r>
      <w:r w:rsidR="0034319A">
        <w:rPr>
          <w:rFonts w:ascii="Garamond" w:hAnsi="Garamond"/>
          <w:color w:val="000000"/>
        </w:rPr>
        <w:t xml:space="preserve"> employ </w:t>
      </w:r>
      <w:r w:rsidR="007F3309">
        <w:rPr>
          <w:rFonts w:ascii="Garamond" w:hAnsi="Garamond"/>
          <w:color w:val="000000"/>
        </w:rPr>
        <w:t xml:space="preserve">a </w:t>
      </w:r>
      <w:r w:rsidR="0034319A">
        <w:rPr>
          <w:rFonts w:ascii="Garamond" w:hAnsi="Garamond"/>
          <w:color w:val="000000"/>
        </w:rPr>
        <w:t xml:space="preserve">similar </w:t>
      </w:r>
      <w:r w:rsidR="007F3309">
        <w:rPr>
          <w:rFonts w:ascii="Garamond" w:hAnsi="Garamond"/>
          <w:color w:val="000000"/>
        </w:rPr>
        <w:t>approach to generate measures</w:t>
      </w:r>
      <w:r w:rsidR="0034319A">
        <w:rPr>
          <w:rFonts w:ascii="Garamond" w:hAnsi="Garamond"/>
          <w:color w:val="000000"/>
        </w:rPr>
        <w:t xml:space="preserve"> for the diversity of </w:t>
      </w:r>
      <w:proofErr w:type="spellStart"/>
      <w:r w:rsidR="0034319A">
        <w:rPr>
          <w:rFonts w:ascii="Garamond" w:hAnsi="Garamond"/>
          <w:color w:val="000000"/>
        </w:rPr>
        <w:t>CEOs’</w:t>
      </w:r>
      <w:proofErr w:type="spellEnd"/>
      <w:r w:rsidR="0034319A">
        <w:rPr>
          <w:rFonts w:ascii="Garamond" w:hAnsi="Garamond"/>
          <w:color w:val="000000"/>
        </w:rPr>
        <w:t xml:space="preserve"> social networks. In </w:t>
      </w:r>
      <w:r w:rsidR="007F3309">
        <w:rPr>
          <w:rFonts w:ascii="Garamond" w:hAnsi="Garamond"/>
          <w:color w:val="000000"/>
        </w:rPr>
        <w:t xml:space="preserve">order to control for the effect of </w:t>
      </w:r>
      <w:proofErr w:type="spellStart"/>
      <w:r w:rsidR="007F3309">
        <w:rPr>
          <w:rFonts w:ascii="Garamond" w:hAnsi="Garamond"/>
          <w:color w:val="000000"/>
        </w:rPr>
        <w:t>CFOs’</w:t>
      </w:r>
      <w:proofErr w:type="spellEnd"/>
      <w:r w:rsidR="007F3309">
        <w:rPr>
          <w:rFonts w:ascii="Garamond" w:hAnsi="Garamond"/>
          <w:color w:val="000000"/>
        </w:rPr>
        <w:t xml:space="preserve"> gender, nationality and age on board diversity</w:t>
      </w:r>
      <w:r w:rsidR="0034319A">
        <w:rPr>
          <w:rFonts w:ascii="Garamond" w:hAnsi="Garamond"/>
          <w:color w:val="000000"/>
        </w:rPr>
        <w:t>, we first</w:t>
      </w:r>
      <w:r>
        <w:rPr>
          <w:rFonts w:ascii="Garamond" w:hAnsi="Garamond"/>
          <w:color w:val="000000"/>
        </w:rPr>
        <w:t xml:space="preserve"> estimate the following regressions for each of the three measures of board </w:t>
      </w:r>
      <w:r w:rsidR="0034319A">
        <w:rPr>
          <w:rFonts w:ascii="Garamond" w:hAnsi="Garamond"/>
          <w:color w:val="000000"/>
        </w:rPr>
        <w:t>diversity</w:t>
      </w:r>
      <w:r w:rsidR="007F3309">
        <w:rPr>
          <w:rFonts w:ascii="Garamond" w:hAnsi="Garamond"/>
          <w:color w:val="000000"/>
        </w:rPr>
        <w:t xml:space="preserve"> (gender diversity, nationality diversity, age diversity)</w:t>
      </w:r>
      <w:r w:rsidR="00FB0CA9">
        <w:rPr>
          <w:rFonts w:ascii="Garamond" w:hAnsi="Garamond"/>
          <w:color w:val="000000"/>
        </w:rPr>
        <w:t xml:space="preserve">. We also control for firm size </w:t>
      </w:r>
      <w:r w:rsidR="00DC01A5">
        <w:rPr>
          <w:rFonts w:ascii="Garamond" w:hAnsi="Garamond"/>
          <w:color w:val="000000"/>
        </w:rPr>
        <w:t xml:space="preserve">as </w:t>
      </w:r>
      <w:r w:rsidR="0056513D">
        <w:rPr>
          <w:rFonts w:ascii="Garamond" w:hAnsi="Garamond"/>
          <w:color w:val="000000"/>
        </w:rPr>
        <w:t>it</w:t>
      </w:r>
      <w:r w:rsidR="00FB0CA9">
        <w:rPr>
          <w:rFonts w:ascii="Garamond" w:hAnsi="Garamond"/>
          <w:color w:val="000000"/>
        </w:rPr>
        <w:t xml:space="preserve"> can affect the composition of the board</w:t>
      </w:r>
      <w:r w:rsidR="001E3BFC">
        <w:rPr>
          <w:rFonts w:ascii="Garamond" w:hAnsi="Garamond"/>
          <w:color w:val="000000"/>
        </w:rPr>
        <w:t>.</w:t>
      </w:r>
    </w:p>
    <w:p w:rsidR="00C0670F" w:rsidRDefault="00C0670F" w:rsidP="005B534E">
      <w:pPr>
        <w:spacing w:line="360" w:lineRule="auto"/>
        <w:jc w:val="both"/>
        <w:rPr>
          <w:rFonts w:ascii="Garamond" w:hAnsi="Garamond"/>
          <w:color w:val="000000"/>
        </w:rPr>
      </w:pPr>
    </w:p>
    <w:tbl>
      <w:tblPr>
        <w:tblStyle w:val="a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6"/>
        <w:gridCol w:w="7483"/>
        <w:gridCol w:w="566"/>
      </w:tblGrid>
      <w:tr w:rsidR="007F3309" w:rsidRPr="00E15527" w:rsidTr="00881915">
        <w:trPr>
          <w:trHeight w:val="981"/>
        </w:trPr>
        <w:tc>
          <w:tcPr>
            <w:tcW w:w="236" w:type="dxa"/>
            <w:shd w:val="clear" w:color="auto" w:fill="auto"/>
          </w:tcPr>
          <w:p w:rsidR="005B534E" w:rsidRPr="00E15527" w:rsidRDefault="005B534E" w:rsidP="00F52267">
            <w:pPr>
              <w:jc w:val="both"/>
              <w:rPr>
                <w:rFonts w:ascii="Garamond" w:hAnsi="Garamond"/>
              </w:rPr>
            </w:pPr>
          </w:p>
        </w:tc>
        <w:tc>
          <w:tcPr>
            <w:tcW w:w="7483" w:type="dxa"/>
            <w:shd w:val="clear" w:color="auto" w:fill="auto"/>
          </w:tcPr>
          <w:p w:rsidR="005B534E" w:rsidRPr="003A154F" w:rsidRDefault="00583570" w:rsidP="00F52267">
            <w:pPr>
              <w:spacing w:line="360" w:lineRule="auto"/>
              <w:jc w:val="both"/>
              <w:rPr>
                <w:rFonts w:ascii="Garamond" w:hAnsi="Garamond"/>
                <w:color w:val="000000"/>
              </w:rPr>
            </w:pPr>
            <m:oMathPara>
              <m:oMath>
                <m:sSub>
                  <m:sSubPr>
                    <m:ctrlPr>
                      <w:rPr>
                        <w:rFonts w:ascii="Cambria Math" w:hAnsi="Cambria Math"/>
                        <w:i/>
                        <w:color w:val="000000"/>
                      </w:rPr>
                    </m:ctrlPr>
                  </m:sSubPr>
                  <m:e>
                    <m:r>
                      <w:rPr>
                        <w:rFonts w:ascii="Cambria Math" w:hAnsi="Cambria Math"/>
                        <w:color w:val="000000"/>
                      </w:rPr>
                      <m:t>Gender Diversity</m:t>
                    </m:r>
                  </m:e>
                  <m:sub>
                    <m:r>
                      <w:rPr>
                        <w:rFonts w:ascii="Cambria Math" w:hAnsi="Cambria Math"/>
                        <w:color w:val="000000"/>
                      </w:rPr>
                      <m:t>i,t</m:t>
                    </m:r>
                  </m:sub>
                </m:sSub>
                <m:r>
                  <w:rPr>
                    <w:rFonts w:ascii="Cambria Math" w:hAnsi="Cambria Math"/>
                    <w:color w:val="000000"/>
                  </w:rPr>
                  <m:t xml:space="preserve">=f( </m:t>
                </m:r>
                <m:sSub>
                  <m:sSubPr>
                    <m:ctrlPr>
                      <w:rPr>
                        <w:rFonts w:ascii="Cambria Math" w:hAnsi="Cambria Math"/>
                        <w:i/>
                        <w:color w:val="000000"/>
                      </w:rPr>
                    </m:ctrlPr>
                  </m:sSubPr>
                  <m:e>
                    <m:r>
                      <w:rPr>
                        <w:rFonts w:ascii="Cambria Math" w:hAnsi="Cambria Math"/>
                        <w:color w:val="000000"/>
                      </w:rPr>
                      <m:t>AgeCFO</m:t>
                    </m:r>
                  </m:e>
                  <m:sub>
                    <m:r>
                      <w:rPr>
                        <w:rFonts w:ascii="Cambria Math" w:hAnsi="Cambria Math"/>
                        <w:color w:val="000000"/>
                      </w:rPr>
                      <m:t>i,t</m:t>
                    </m:r>
                  </m:sub>
                </m:sSub>
                <m:r>
                  <w:rPr>
                    <w:rFonts w:ascii="Cambria Math" w:hAnsi="Cambria Math"/>
                    <w:color w:val="000000"/>
                  </w:rPr>
                  <m:t xml:space="preserve">, </m:t>
                </m:r>
                <m:sSub>
                  <m:sSubPr>
                    <m:ctrlPr>
                      <w:rPr>
                        <w:rFonts w:ascii="Cambria Math" w:hAnsi="Cambria Math"/>
                        <w:i/>
                      </w:rPr>
                    </m:ctrlPr>
                  </m:sSubPr>
                  <m:e>
                    <m:r>
                      <w:rPr>
                        <w:rFonts w:ascii="Cambria Math" w:hAnsi="Cambria Math"/>
                      </w:rPr>
                      <m:t>FemaleCFO</m:t>
                    </m:r>
                  </m:e>
                  <m:sub>
                    <m:r>
                      <w:rPr>
                        <w:rFonts w:ascii="Cambria Math" w:hAnsi="Cambria Math"/>
                      </w:rPr>
                      <m:t>i,t</m:t>
                    </m:r>
                  </m:sub>
                </m:sSub>
                <m:r>
                  <w:rPr>
                    <w:rFonts w:ascii="Cambria Math" w:hAnsi="Cambria Math"/>
                    <w:color w:val="000000"/>
                  </w:rPr>
                  <m:t>,</m:t>
                </m:r>
                <m:sSub>
                  <m:sSubPr>
                    <m:ctrlPr>
                      <w:rPr>
                        <w:rFonts w:ascii="Cambria Math" w:hAnsi="Cambria Math"/>
                        <w:i/>
                      </w:rPr>
                    </m:ctrlPr>
                  </m:sSubPr>
                  <m:e>
                    <m:r>
                      <w:rPr>
                        <w:rFonts w:ascii="Cambria Math" w:hAnsi="Cambria Math"/>
                      </w:rPr>
                      <m:t>BritishCFO</m:t>
                    </m:r>
                  </m:e>
                  <m:sub>
                    <m:r>
                      <w:rPr>
                        <w:rFonts w:ascii="Cambria Math" w:hAnsi="Cambria Math"/>
                      </w:rPr>
                      <m:t>i,t</m:t>
                    </m:r>
                  </m:sub>
                </m:sSub>
                <m:r>
                  <w:rPr>
                    <w:rFonts w:ascii="Cambria Math" w:hAnsi="Cambria Math"/>
                    <w:color w:val="000000"/>
                  </w:rPr>
                  <m:t xml:space="preserve">, </m:t>
                </m:r>
              </m:oMath>
            </m:oMathPara>
          </w:p>
          <w:p w:rsidR="005B534E" w:rsidRPr="00E15527" w:rsidRDefault="00583570" w:rsidP="00C6745E">
            <w:pPr>
              <w:spacing w:line="360" w:lineRule="auto"/>
              <w:ind w:left="2166"/>
              <w:jc w:val="both"/>
              <w:rPr>
                <w:rFonts w:ascii="Garamond" w:hAnsi="Garamond"/>
              </w:rPr>
            </w:pPr>
            <m:oMathPara>
              <m:oMath>
                <m:sSub>
                  <m:sSubPr>
                    <m:ctrlPr>
                      <w:rPr>
                        <w:rFonts w:ascii="Cambria Math" w:hAnsi="Cambria Math"/>
                        <w:i/>
                        <w:color w:val="000000"/>
                      </w:rPr>
                    </m:ctrlPr>
                  </m:sSubPr>
                  <m:e>
                    <m:r>
                      <w:rPr>
                        <w:rFonts w:ascii="Cambria Math" w:hAnsi="Cambria Math"/>
                        <w:color w:val="000000"/>
                      </w:rPr>
                      <m:t>Firmsize</m:t>
                    </m:r>
                  </m:e>
                  <m:sub>
                    <m:r>
                      <w:rPr>
                        <w:rFonts w:ascii="Cambria Math" w:hAnsi="Cambria Math"/>
                        <w:color w:val="000000"/>
                      </w:rPr>
                      <m:t>i,t</m:t>
                    </m:r>
                  </m:sub>
                </m:sSub>
                <m:r>
                  <w:rPr>
                    <w:rFonts w:ascii="Cambria Math" w:hAnsi="Cambria Math"/>
                    <w:color w:val="000000"/>
                  </w:rPr>
                  <m:t>,</m:t>
                </m:r>
                <m:r>
                  <w:rPr>
                    <w:rFonts w:ascii="Cambria Math" w:hAnsi="Cambria Math"/>
                  </w:rPr>
                  <m:t>FirmFE,YearFE</m:t>
                </m:r>
                <m:r>
                  <w:rPr>
                    <w:rFonts w:ascii="Cambria Math" w:hAnsi="Cambria Math"/>
                    <w:color w:val="000000"/>
                  </w:rPr>
                  <m:t>)</m:t>
                </m:r>
              </m:oMath>
            </m:oMathPara>
          </w:p>
        </w:tc>
        <w:tc>
          <w:tcPr>
            <w:tcW w:w="566" w:type="dxa"/>
            <w:shd w:val="clear" w:color="auto" w:fill="auto"/>
          </w:tcPr>
          <w:p w:rsidR="005B534E" w:rsidRDefault="005B534E" w:rsidP="00F52267">
            <w:pPr>
              <w:jc w:val="both"/>
              <w:rPr>
                <w:rFonts w:ascii="Garamond" w:hAnsi="Garamond"/>
              </w:rPr>
            </w:pPr>
          </w:p>
          <w:p w:rsidR="005B534E" w:rsidRDefault="005B534E" w:rsidP="00F52267">
            <w:pPr>
              <w:jc w:val="both"/>
              <w:rPr>
                <w:rFonts w:ascii="Garamond" w:hAnsi="Garamond"/>
              </w:rPr>
            </w:pPr>
          </w:p>
          <w:p w:rsidR="005B534E" w:rsidRPr="00E15527" w:rsidRDefault="005B534E" w:rsidP="00F52267">
            <w:pPr>
              <w:jc w:val="both"/>
              <w:rPr>
                <w:rFonts w:ascii="Garamond" w:hAnsi="Garamond"/>
              </w:rPr>
            </w:pPr>
            <w:r w:rsidRPr="00E15527">
              <w:rPr>
                <w:rFonts w:ascii="Garamond" w:hAnsi="Garamond"/>
              </w:rPr>
              <w:t>(</w:t>
            </w:r>
            <w:r>
              <w:rPr>
                <w:rFonts w:ascii="Garamond" w:hAnsi="Garamond"/>
              </w:rPr>
              <w:t>2</w:t>
            </w:r>
            <w:r w:rsidR="001F62A9">
              <w:rPr>
                <w:rFonts w:ascii="Garamond" w:hAnsi="Garamond"/>
              </w:rPr>
              <w:t>a</w:t>
            </w:r>
            <w:r w:rsidRPr="00E15527">
              <w:rPr>
                <w:rFonts w:ascii="Garamond" w:hAnsi="Garamond"/>
              </w:rPr>
              <w:t>)</w:t>
            </w:r>
          </w:p>
        </w:tc>
      </w:tr>
    </w:tbl>
    <w:p w:rsidR="007F3309" w:rsidRDefault="007F3309" w:rsidP="005B534E">
      <w:pPr>
        <w:spacing w:line="360" w:lineRule="auto"/>
        <w:jc w:val="both"/>
        <w:rPr>
          <w:rFonts w:ascii="Garamond" w:hAnsi="Garamond"/>
          <w:color w:val="000000"/>
        </w:rPr>
      </w:pPr>
    </w:p>
    <w:tbl>
      <w:tblPr>
        <w:tblStyle w:val="a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02"/>
        <w:gridCol w:w="591"/>
      </w:tblGrid>
      <w:tr w:rsidR="001F62A9" w:rsidRPr="00E15527" w:rsidTr="00C52089">
        <w:trPr>
          <w:trHeight w:val="981"/>
        </w:trPr>
        <w:tc>
          <w:tcPr>
            <w:tcW w:w="7602" w:type="dxa"/>
            <w:shd w:val="clear" w:color="auto" w:fill="auto"/>
          </w:tcPr>
          <w:p w:rsidR="001F62A9" w:rsidRPr="003A154F" w:rsidRDefault="00583570" w:rsidP="00C52089">
            <w:pPr>
              <w:spacing w:line="360" w:lineRule="auto"/>
              <w:jc w:val="both"/>
              <w:rPr>
                <w:rFonts w:ascii="Garamond" w:hAnsi="Garamond"/>
                <w:color w:val="000000"/>
              </w:rPr>
            </w:pPr>
            <m:oMathPara>
              <m:oMath>
                <m:sSub>
                  <m:sSubPr>
                    <m:ctrlPr>
                      <w:rPr>
                        <w:rFonts w:ascii="Cambria Math" w:hAnsi="Cambria Math"/>
                        <w:i/>
                        <w:color w:val="000000"/>
                      </w:rPr>
                    </m:ctrlPr>
                  </m:sSubPr>
                  <m:e>
                    <m:r>
                      <w:rPr>
                        <w:rFonts w:ascii="Cambria Math" w:hAnsi="Cambria Math"/>
                        <w:color w:val="000000"/>
                      </w:rPr>
                      <m:t>Nationality Diversity</m:t>
                    </m:r>
                  </m:e>
                  <m:sub>
                    <m:r>
                      <w:rPr>
                        <w:rFonts w:ascii="Cambria Math" w:hAnsi="Cambria Math"/>
                        <w:color w:val="000000"/>
                      </w:rPr>
                      <m:t>i,t</m:t>
                    </m:r>
                  </m:sub>
                </m:sSub>
                <m:r>
                  <w:rPr>
                    <w:rFonts w:ascii="Cambria Math" w:hAnsi="Cambria Math"/>
                    <w:color w:val="000000"/>
                  </w:rPr>
                  <m:t xml:space="preserve">=f( </m:t>
                </m:r>
                <m:sSub>
                  <m:sSubPr>
                    <m:ctrlPr>
                      <w:rPr>
                        <w:rFonts w:ascii="Cambria Math" w:hAnsi="Cambria Math"/>
                        <w:i/>
                        <w:color w:val="000000"/>
                      </w:rPr>
                    </m:ctrlPr>
                  </m:sSubPr>
                  <m:e>
                    <m:r>
                      <w:rPr>
                        <w:rFonts w:ascii="Cambria Math" w:hAnsi="Cambria Math"/>
                        <w:color w:val="000000"/>
                      </w:rPr>
                      <m:t>AgeCFO</m:t>
                    </m:r>
                  </m:e>
                  <m:sub>
                    <m:r>
                      <w:rPr>
                        <w:rFonts w:ascii="Cambria Math" w:hAnsi="Cambria Math"/>
                        <w:color w:val="000000"/>
                      </w:rPr>
                      <m:t>i,t</m:t>
                    </m:r>
                  </m:sub>
                </m:sSub>
                <m:r>
                  <w:rPr>
                    <w:rFonts w:ascii="Cambria Math" w:hAnsi="Cambria Math"/>
                    <w:color w:val="000000"/>
                  </w:rPr>
                  <m:t xml:space="preserve">, </m:t>
                </m:r>
                <m:sSub>
                  <m:sSubPr>
                    <m:ctrlPr>
                      <w:rPr>
                        <w:rFonts w:ascii="Cambria Math" w:hAnsi="Cambria Math"/>
                        <w:i/>
                      </w:rPr>
                    </m:ctrlPr>
                  </m:sSubPr>
                  <m:e>
                    <m:r>
                      <w:rPr>
                        <w:rFonts w:ascii="Cambria Math" w:hAnsi="Cambria Math"/>
                      </w:rPr>
                      <m:t>FemaleCFO</m:t>
                    </m:r>
                  </m:e>
                  <m:sub>
                    <m:r>
                      <w:rPr>
                        <w:rFonts w:ascii="Cambria Math" w:hAnsi="Cambria Math"/>
                      </w:rPr>
                      <m:t>i,t</m:t>
                    </m:r>
                  </m:sub>
                </m:sSub>
                <m:r>
                  <w:rPr>
                    <w:rFonts w:ascii="Cambria Math" w:hAnsi="Cambria Math"/>
                    <w:color w:val="000000"/>
                  </w:rPr>
                  <m:t>,</m:t>
                </m:r>
                <m:sSub>
                  <m:sSubPr>
                    <m:ctrlPr>
                      <w:rPr>
                        <w:rFonts w:ascii="Cambria Math" w:hAnsi="Cambria Math"/>
                        <w:i/>
                      </w:rPr>
                    </m:ctrlPr>
                  </m:sSubPr>
                  <m:e>
                    <m:r>
                      <w:rPr>
                        <w:rFonts w:ascii="Cambria Math" w:hAnsi="Cambria Math"/>
                      </w:rPr>
                      <m:t>BritishCFO</m:t>
                    </m:r>
                  </m:e>
                  <m:sub>
                    <m:r>
                      <w:rPr>
                        <w:rFonts w:ascii="Cambria Math" w:hAnsi="Cambria Math"/>
                      </w:rPr>
                      <m:t>i,t</m:t>
                    </m:r>
                  </m:sub>
                </m:sSub>
                <m:r>
                  <w:rPr>
                    <w:rFonts w:ascii="Cambria Math" w:hAnsi="Cambria Math"/>
                    <w:color w:val="000000"/>
                  </w:rPr>
                  <m:t xml:space="preserve">, </m:t>
                </m:r>
              </m:oMath>
            </m:oMathPara>
          </w:p>
          <w:p w:rsidR="001F62A9" w:rsidRPr="00E15527" w:rsidRDefault="00583570" w:rsidP="00C6745E">
            <w:pPr>
              <w:spacing w:line="360" w:lineRule="auto"/>
              <w:ind w:left="2166"/>
              <w:jc w:val="both"/>
              <w:rPr>
                <w:rFonts w:ascii="Garamond" w:hAnsi="Garamond"/>
              </w:rPr>
            </w:pPr>
            <m:oMathPara>
              <m:oMath>
                <m:sSub>
                  <m:sSubPr>
                    <m:ctrlPr>
                      <w:rPr>
                        <w:rFonts w:ascii="Cambria Math" w:hAnsi="Cambria Math"/>
                        <w:i/>
                        <w:color w:val="000000"/>
                      </w:rPr>
                    </m:ctrlPr>
                  </m:sSubPr>
                  <m:e>
                    <m:r>
                      <w:rPr>
                        <w:rFonts w:ascii="Cambria Math" w:hAnsi="Cambria Math"/>
                        <w:color w:val="000000"/>
                      </w:rPr>
                      <m:t>Firmsize</m:t>
                    </m:r>
                  </m:e>
                  <m:sub>
                    <m:r>
                      <w:rPr>
                        <w:rFonts w:ascii="Cambria Math" w:hAnsi="Cambria Math"/>
                        <w:color w:val="000000"/>
                      </w:rPr>
                      <m:t>i,t</m:t>
                    </m:r>
                  </m:sub>
                </m:sSub>
                <m:r>
                  <w:rPr>
                    <w:rFonts w:ascii="Cambria Math" w:hAnsi="Cambria Math"/>
                    <w:color w:val="000000"/>
                  </w:rPr>
                  <m:t>,</m:t>
                </m:r>
                <m:r>
                  <w:rPr>
                    <w:rFonts w:ascii="Cambria Math" w:hAnsi="Cambria Math"/>
                  </w:rPr>
                  <m:t>FirmFE,YearFE</m:t>
                </m:r>
                <m:r>
                  <w:rPr>
                    <w:rFonts w:ascii="Cambria Math" w:hAnsi="Cambria Math"/>
                    <w:color w:val="000000"/>
                  </w:rPr>
                  <m:t>)</m:t>
                </m:r>
              </m:oMath>
            </m:oMathPara>
          </w:p>
        </w:tc>
        <w:tc>
          <w:tcPr>
            <w:tcW w:w="420" w:type="dxa"/>
            <w:shd w:val="clear" w:color="auto" w:fill="auto"/>
          </w:tcPr>
          <w:p w:rsidR="001F62A9" w:rsidRDefault="001F62A9" w:rsidP="00C52089">
            <w:pPr>
              <w:jc w:val="both"/>
              <w:rPr>
                <w:rFonts w:ascii="Garamond" w:hAnsi="Garamond"/>
              </w:rPr>
            </w:pPr>
          </w:p>
          <w:p w:rsidR="001F62A9" w:rsidRDefault="001F62A9" w:rsidP="00C52089">
            <w:pPr>
              <w:jc w:val="both"/>
              <w:rPr>
                <w:rFonts w:ascii="Garamond" w:hAnsi="Garamond"/>
              </w:rPr>
            </w:pPr>
          </w:p>
          <w:p w:rsidR="001F62A9" w:rsidRPr="00E15527" w:rsidRDefault="001F62A9" w:rsidP="00C52089">
            <w:pPr>
              <w:jc w:val="both"/>
              <w:rPr>
                <w:rFonts w:ascii="Garamond" w:hAnsi="Garamond"/>
              </w:rPr>
            </w:pPr>
            <w:r w:rsidRPr="00E15527">
              <w:rPr>
                <w:rFonts w:ascii="Garamond" w:hAnsi="Garamond"/>
              </w:rPr>
              <w:t>(</w:t>
            </w:r>
            <w:r>
              <w:rPr>
                <w:rFonts w:ascii="Garamond" w:hAnsi="Garamond"/>
              </w:rPr>
              <w:t>2</w:t>
            </w:r>
            <w:r w:rsidR="00881915">
              <w:rPr>
                <w:rFonts w:ascii="Garamond" w:hAnsi="Garamond"/>
              </w:rPr>
              <w:t>b</w:t>
            </w:r>
            <w:r w:rsidRPr="00E15527">
              <w:rPr>
                <w:rFonts w:ascii="Garamond" w:hAnsi="Garamond"/>
              </w:rPr>
              <w:t>)</w:t>
            </w:r>
          </w:p>
        </w:tc>
      </w:tr>
    </w:tbl>
    <w:p w:rsidR="001F62A9" w:rsidRDefault="001F62A9" w:rsidP="005B534E">
      <w:pPr>
        <w:spacing w:line="360" w:lineRule="auto"/>
        <w:jc w:val="both"/>
        <w:rPr>
          <w:rFonts w:ascii="Garamond" w:hAnsi="Garamond"/>
          <w:color w:val="000000"/>
        </w:rPr>
      </w:pPr>
    </w:p>
    <w:tbl>
      <w:tblPr>
        <w:tblStyle w:val="a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02"/>
        <w:gridCol w:w="569"/>
      </w:tblGrid>
      <w:tr w:rsidR="001F62A9" w:rsidRPr="00E15527" w:rsidTr="00C52089">
        <w:trPr>
          <w:trHeight w:val="981"/>
        </w:trPr>
        <w:tc>
          <w:tcPr>
            <w:tcW w:w="7602" w:type="dxa"/>
            <w:shd w:val="clear" w:color="auto" w:fill="auto"/>
          </w:tcPr>
          <w:p w:rsidR="001F62A9" w:rsidRPr="003A154F" w:rsidRDefault="00583570" w:rsidP="00C52089">
            <w:pPr>
              <w:spacing w:line="360" w:lineRule="auto"/>
              <w:jc w:val="both"/>
              <w:rPr>
                <w:rFonts w:ascii="Garamond" w:hAnsi="Garamond"/>
                <w:color w:val="000000"/>
              </w:rPr>
            </w:pPr>
            <m:oMathPara>
              <m:oMath>
                <m:sSub>
                  <m:sSubPr>
                    <m:ctrlPr>
                      <w:rPr>
                        <w:rFonts w:ascii="Cambria Math" w:hAnsi="Cambria Math"/>
                        <w:i/>
                        <w:color w:val="000000"/>
                      </w:rPr>
                    </m:ctrlPr>
                  </m:sSubPr>
                  <m:e>
                    <m:r>
                      <w:rPr>
                        <w:rFonts w:ascii="Cambria Math" w:hAnsi="Cambria Math"/>
                        <w:color w:val="000000"/>
                      </w:rPr>
                      <m:t>Age Diversity</m:t>
                    </m:r>
                  </m:e>
                  <m:sub>
                    <m:r>
                      <w:rPr>
                        <w:rFonts w:ascii="Cambria Math" w:hAnsi="Cambria Math"/>
                        <w:color w:val="000000"/>
                      </w:rPr>
                      <m:t>i,t</m:t>
                    </m:r>
                  </m:sub>
                </m:sSub>
                <m:r>
                  <w:rPr>
                    <w:rFonts w:ascii="Cambria Math" w:hAnsi="Cambria Math"/>
                    <w:color w:val="000000"/>
                  </w:rPr>
                  <m:t xml:space="preserve">=f( </m:t>
                </m:r>
                <m:sSub>
                  <m:sSubPr>
                    <m:ctrlPr>
                      <w:rPr>
                        <w:rFonts w:ascii="Cambria Math" w:hAnsi="Cambria Math"/>
                        <w:i/>
                        <w:color w:val="000000"/>
                      </w:rPr>
                    </m:ctrlPr>
                  </m:sSubPr>
                  <m:e>
                    <m:r>
                      <w:rPr>
                        <w:rFonts w:ascii="Cambria Math" w:hAnsi="Cambria Math"/>
                        <w:color w:val="000000"/>
                      </w:rPr>
                      <m:t>AgeCFO</m:t>
                    </m:r>
                  </m:e>
                  <m:sub>
                    <m:r>
                      <w:rPr>
                        <w:rFonts w:ascii="Cambria Math" w:hAnsi="Cambria Math"/>
                        <w:color w:val="000000"/>
                      </w:rPr>
                      <m:t>i,t</m:t>
                    </m:r>
                  </m:sub>
                </m:sSub>
                <m:r>
                  <w:rPr>
                    <w:rFonts w:ascii="Cambria Math" w:hAnsi="Cambria Math"/>
                    <w:color w:val="000000"/>
                  </w:rPr>
                  <m:t xml:space="preserve">, </m:t>
                </m:r>
                <m:sSub>
                  <m:sSubPr>
                    <m:ctrlPr>
                      <w:rPr>
                        <w:rFonts w:ascii="Cambria Math" w:hAnsi="Cambria Math"/>
                        <w:i/>
                      </w:rPr>
                    </m:ctrlPr>
                  </m:sSubPr>
                  <m:e>
                    <m:r>
                      <w:rPr>
                        <w:rFonts w:ascii="Cambria Math" w:hAnsi="Cambria Math"/>
                      </w:rPr>
                      <m:t>FemaleCFO</m:t>
                    </m:r>
                  </m:e>
                  <m:sub>
                    <m:r>
                      <w:rPr>
                        <w:rFonts w:ascii="Cambria Math" w:hAnsi="Cambria Math"/>
                      </w:rPr>
                      <m:t>it</m:t>
                    </m:r>
                  </m:sub>
                </m:sSub>
                <m:r>
                  <w:rPr>
                    <w:rFonts w:ascii="Cambria Math" w:hAnsi="Cambria Math"/>
                    <w:color w:val="000000"/>
                  </w:rPr>
                  <m:t>,</m:t>
                </m:r>
                <m:sSub>
                  <m:sSubPr>
                    <m:ctrlPr>
                      <w:rPr>
                        <w:rFonts w:ascii="Cambria Math" w:hAnsi="Cambria Math"/>
                        <w:i/>
                      </w:rPr>
                    </m:ctrlPr>
                  </m:sSubPr>
                  <m:e>
                    <m:r>
                      <w:rPr>
                        <w:rFonts w:ascii="Cambria Math" w:hAnsi="Cambria Math"/>
                      </w:rPr>
                      <m:t>BritishCFO</m:t>
                    </m:r>
                  </m:e>
                  <m:sub>
                    <m:r>
                      <w:rPr>
                        <w:rFonts w:ascii="Cambria Math" w:hAnsi="Cambria Math"/>
                      </w:rPr>
                      <m:t>it</m:t>
                    </m:r>
                  </m:sub>
                </m:sSub>
                <m:r>
                  <w:rPr>
                    <w:rFonts w:ascii="Cambria Math" w:hAnsi="Cambria Math"/>
                    <w:color w:val="000000"/>
                  </w:rPr>
                  <m:t xml:space="preserve">, </m:t>
                </m:r>
              </m:oMath>
            </m:oMathPara>
          </w:p>
          <w:p w:rsidR="001F62A9" w:rsidRPr="00E15527" w:rsidRDefault="00583570" w:rsidP="00C6745E">
            <w:pPr>
              <w:spacing w:line="360" w:lineRule="auto"/>
              <w:ind w:left="2166"/>
              <w:jc w:val="both"/>
              <w:rPr>
                <w:rFonts w:ascii="Garamond" w:hAnsi="Garamond"/>
              </w:rPr>
            </w:pPr>
            <m:oMathPara>
              <m:oMath>
                <m:sSub>
                  <m:sSubPr>
                    <m:ctrlPr>
                      <w:rPr>
                        <w:rFonts w:ascii="Cambria Math" w:hAnsi="Cambria Math"/>
                        <w:i/>
                        <w:color w:val="000000"/>
                      </w:rPr>
                    </m:ctrlPr>
                  </m:sSubPr>
                  <m:e>
                    <m:r>
                      <w:rPr>
                        <w:rFonts w:ascii="Cambria Math" w:hAnsi="Cambria Math"/>
                        <w:color w:val="000000"/>
                      </w:rPr>
                      <m:t>Firmsize</m:t>
                    </m:r>
                  </m:e>
                  <m:sub>
                    <m:r>
                      <w:rPr>
                        <w:rFonts w:ascii="Cambria Math" w:hAnsi="Cambria Math"/>
                        <w:color w:val="000000"/>
                      </w:rPr>
                      <m:t>i,t</m:t>
                    </m:r>
                  </m:sub>
                </m:sSub>
                <m:r>
                  <w:rPr>
                    <w:rFonts w:ascii="Cambria Math" w:hAnsi="Cambria Math"/>
                    <w:color w:val="000000"/>
                  </w:rPr>
                  <m:t>,</m:t>
                </m:r>
                <m:r>
                  <w:rPr>
                    <w:rFonts w:ascii="Cambria Math" w:hAnsi="Cambria Math"/>
                  </w:rPr>
                  <m:t>FirmFE,YearFE</m:t>
                </m:r>
                <m:r>
                  <w:rPr>
                    <w:rFonts w:ascii="Cambria Math" w:hAnsi="Cambria Math"/>
                    <w:color w:val="000000"/>
                  </w:rPr>
                  <m:t>)</m:t>
                </m:r>
              </m:oMath>
            </m:oMathPara>
          </w:p>
        </w:tc>
        <w:tc>
          <w:tcPr>
            <w:tcW w:w="420" w:type="dxa"/>
            <w:shd w:val="clear" w:color="auto" w:fill="auto"/>
          </w:tcPr>
          <w:p w:rsidR="001F62A9" w:rsidRDefault="001F62A9" w:rsidP="00C52089">
            <w:pPr>
              <w:jc w:val="both"/>
              <w:rPr>
                <w:rFonts w:ascii="Garamond" w:hAnsi="Garamond"/>
              </w:rPr>
            </w:pPr>
          </w:p>
          <w:p w:rsidR="001F62A9" w:rsidRDefault="001F62A9" w:rsidP="00C52089">
            <w:pPr>
              <w:jc w:val="both"/>
              <w:rPr>
                <w:rFonts w:ascii="Garamond" w:hAnsi="Garamond"/>
              </w:rPr>
            </w:pPr>
          </w:p>
          <w:p w:rsidR="001F62A9" w:rsidRPr="00E15527" w:rsidRDefault="001F62A9" w:rsidP="00C52089">
            <w:pPr>
              <w:jc w:val="both"/>
              <w:rPr>
                <w:rFonts w:ascii="Garamond" w:hAnsi="Garamond"/>
              </w:rPr>
            </w:pPr>
            <w:r w:rsidRPr="00E15527">
              <w:rPr>
                <w:rFonts w:ascii="Garamond" w:hAnsi="Garamond"/>
              </w:rPr>
              <w:t>(</w:t>
            </w:r>
            <w:r>
              <w:rPr>
                <w:rFonts w:ascii="Garamond" w:hAnsi="Garamond"/>
              </w:rPr>
              <w:t>2c</w:t>
            </w:r>
            <w:r w:rsidRPr="00E15527">
              <w:rPr>
                <w:rFonts w:ascii="Garamond" w:hAnsi="Garamond"/>
              </w:rPr>
              <w:t>)</w:t>
            </w:r>
          </w:p>
        </w:tc>
      </w:tr>
    </w:tbl>
    <w:p w:rsidR="001F62A9" w:rsidRDefault="001F62A9" w:rsidP="005B534E">
      <w:pPr>
        <w:spacing w:line="360" w:lineRule="auto"/>
        <w:jc w:val="both"/>
        <w:rPr>
          <w:rFonts w:ascii="Garamond" w:hAnsi="Garamond"/>
          <w:color w:val="000000"/>
        </w:rPr>
      </w:pPr>
    </w:p>
    <w:p w:rsidR="00612ADC" w:rsidRDefault="00F87B41" w:rsidP="001E3BFC">
      <w:pPr>
        <w:spacing w:line="360" w:lineRule="auto"/>
        <w:jc w:val="both"/>
        <w:rPr>
          <w:rFonts w:ascii="Garamond" w:hAnsi="Garamond"/>
        </w:rPr>
      </w:pPr>
      <w:r>
        <w:rPr>
          <w:rFonts w:ascii="Garamond" w:hAnsi="Garamond"/>
        </w:rPr>
        <w:lastRenderedPageBreak/>
        <w:t xml:space="preserve">where </w:t>
      </w:r>
      <m:oMath>
        <m:r>
          <w:rPr>
            <w:rFonts w:ascii="Cambria Math" w:hAnsi="Cambria Math"/>
            <w:color w:val="000000"/>
          </w:rPr>
          <m:t>Gender Diversity</m:t>
        </m:r>
      </m:oMath>
      <w:r w:rsidR="005B534E" w:rsidRPr="00526320">
        <w:rPr>
          <w:rFonts w:ascii="Garamond" w:hAnsi="Garamond"/>
        </w:rPr>
        <w:t xml:space="preserve"> is </w:t>
      </w:r>
      <w:r w:rsidR="00FD7517">
        <w:rPr>
          <w:rFonts w:ascii="Garamond" w:hAnsi="Garamond"/>
        </w:rPr>
        <w:t xml:space="preserve">defined as </w:t>
      </w:r>
      <w:r w:rsidR="005B534E" w:rsidRPr="00526320">
        <w:rPr>
          <w:rFonts w:ascii="Garamond" w:hAnsi="Garamond"/>
        </w:rPr>
        <w:t xml:space="preserve">the number of female directors divided by </w:t>
      </w:r>
      <w:r w:rsidR="007F3309" w:rsidRPr="00526320">
        <w:rPr>
          <w:rFonts w:ascii="Garamond" w:hAnsi="Garamond"/>
        </w:rPr>
        <w:t xml:space="preserve">the </w:t>
      </w:r>
      <w:r w:rsidR="005B534E" w:rsidRPr="00526320">
        <w:rPr>
          <w:rFonts w:ascii="Garamond" w:hAnsi="Garamond"/>
        </w:rPr>
        <w:t>total number of directors on each board for a given year</w:t>
      </w:r>
      <w:r>
        <w:rPr>
          <w:rFonts w:ascii="Garamond" w:hAnsi="Garamond"/>
        </w:rPr>
        <w:t xml:space="preserve">; </w:t>
      </w:r>
      <m:oMath>
        <m:r>
          <w:rPr>
            <w:rFonts w:ascii="Cambria Math" w:hAnsi="Cambria Math"/>
          </w:rPr>
          <m:t>Nationality Diversity</m:t>
        </m:r>
      </m:oMath>
      <w:r>
        <w:rPr>
          <w:rFonts w:ascii="Garamond" w:hAnsi="Garamond"/>
        </w:rPr>
        <w:t xml:space="preserve"> </w:t>
      </w:r>
      <w:r w:rsidR="00FD7517">
        <w:rPr>
          <w:rFonts w:ascii="Garamond" w:hAnsi="Garamond"/>
        </w:rPr>
        <w:t>captures</w:t>
      </w:r>
      <w:r w:rsidR="005B534E" w:rsidRPr="00526320">
        <w:rPr>
          <w:rFonts w:ascii="Garamond" w:hAnsi="Garamond"/>
        </w:rPr>
        <w:t xml:space="preserve"> the number of non-British CFOs divided by </w:t>
      </w:r>
      <w:r w:rsidR="007F3309" w:rsidRPr="00526320">
        <w:rPr>
          <w:rFonts w:ascii="Garamond" w:hAnsi="Garamond"/>
        </w:rPr>
        <w:t xml:space="preserve">the </w:t>
      </w:r>
      <w:r w:rsidR="005B534E" w:rsidRPr="00526320">
        <w:rPr>
          <w:rFonts w:ascii="Garamond" w:hAnsi="Garamond"/>
        </w:rPr>
        <w:t>total number of directors on each board for a given year</w:t>
      </w:r>
      <w:r>
        <w:rPr>
          <w:rFonts w:ascii="Garamond" w:hAnsi="Garamond"/>
        </w:rPr>
        <w:t xml:space="preserve">; and </w:t>
      </w:r>
      <m:oMath>
        <m:r>
          <w:rPr>
            <w:rFonts w:ascii="Cambria Math" w:hAnsi="Cambria Math"/>
            <w:color w:val="000000"/>
          </w:rPr>
          <m:t>Age Diversity</m:t>
        </m:r>
      </m:oMath>
      <w:r>
        <w:rPr>
          <w:rFonts w:ascii="Garamond" w:hAnsi="Garamond"/>
        </w:rPr>
        <w:t xml:space="preserve"> </w:t>
      </w:r>
      <w:r w:rsidR="00862631">
        <w:rPr>
          <w:rFonts w:ascii="Garamond" w:hAnsi="Garamond"/>
        </w:rPr>
        <w:t>represents</w:t>
      </w:r>
      <w:r w:rsidR="005B534E" w:rsidRPr="00526320">
        <w:rPr>
          <w:rFonts w:ascii="Garamond" w:hAnsi="Garamond"/>
        </w:rPr>
        <w:t xml:space="preserve"> the natural logarithm of the standard deviation of the age of director</w:t>
      </w:r>
      <w:r w:rsidR="007F3309" w:rsidRPr="00526320">
        <w:rPr>
          <w:rFonts w:ascii="Garamond" w:hAnsi="Garamond"/>
        </w:rPr>
        <w:t>s</w:t>
      </w:r>
      <w:r w:rsidR="005B534E" w:rsidRPr="00526320">
        <w:rPr>
          <w:rFonts w:ascii="Garamond" w:hAnsi="Garamond"/>
        </w:rPr>
        <w:t xml:space="preserve"> on each board for a given year</w:t>
      </w:r>
      <w:r>
        <w:rPr>
          <w:rFonts w:ascii="Garamond" w:hAnsi="Garamond"/>
        </w:rPr>
        <w:t>.</w:t>
      </w:r>
      <w:r w:rsidR="005B534E" w:rsidRPr="00526320">
        <w:rPr>
          <w:rFonts w:ascii="Garamond" w:hAnsi="Garamond"/>
        </w:rPr>
        <w:t xml:space="preserve"> </w:t>
      </w:r>
      <m:oMath>
        <m:r>
          <w:rPr>
            <w:rFonts w:ascii="Cambria Math" w:hAnsi="Cambria Math"/>
          </w:rPr>
          <m:t>i</m:t>
        </m:r>
      </m:oMath>
      <w:r w:rsidR="005B534E" w:rsidRPr="00526320">
        <w:rPr>
          <w:rFonts w:ascii="Garamond" w:hAnsi="Garamond"/>
        </w:rPr>
        <w:t xml:space="preserve"> </w:t>
      </w:r>
      <w:proofErr w:type="gramStart"/>
      <w:r w:rsidR="005B534E" w:rsidRPr="00526320">
        <w:rPr>
          <w:rFonts w:ascii="Garamond" w:hAnsi="Garamond"/>
        </w:rPr>
        <w:t>indexes</w:t>
      </w:r>
      <w:proofErr w:type="gramEnd"/>
      <w:r w:rsidR="005B534E" w:rsidRPr="00526320">
        <w:rPr>
          <w:rFonts w:ascii="Garamond" w:hAnsi="Garamond"/>
        </w:rPr>
        <w:t xml:space="preserve"> the firm and </w:t>
      </w:r>
      <m:oMath>
        <m:r>
          <w:rPr>
            <w:rFonts w:ascii="Cambria Math" w:hAnsi="Cambria Math"/>
          </w:rPr>
          <m:t>t</m:t>
        </m:r>
      </m:oMath>
      <w:r w:rsidR="005B534E" w:rsidRPr="00526320">
        <w:rPr>
          <w:rFonts w:ascii="Garamond" w:hAnsi="Garamond"/>
        </w:rPr>
        <w:t xml:space="preserve"> indexes the year of the observation</w:t>
      </w:r>
      <w:r>
        <w:rPr>
          <w:rFonts w:ascii="Garamond" w:hAnsi="Garamond"/>
        </w:rPr>
        <w:t xml:space="preserve">. </w:t>
      </w:r>
      <m:oMath>
        <m:r>
          <w:rPr>
            <w:rFonts w:ascii="Cambria Math" w:hAnsi="Cambria Math"/>
          </w:rPr>
          <m:t>AgeCFO</m:t>
        </m:r>
      </m:oMath>
      <w:r w:rsidR="007F3309" w:rsidRPr="00526320" w:rsidDel="007F3309">
        <w:rPr>
          <w:rFonts w:ascii="Garamond" w:hAnsi="Garamond"/>
        </w:rPr>
        <w:t xml:space="preserve"> </w:t>
      </w:r>
      <w:proofErr w:type="gramStart"/>
      <w:r w:rsidR="005B534E" w:rsidRPr="00526320">
        <w:rPr>
          <w:rFonts w:ascii="Garamond" w:hAnsi="Garamond"/>
        </w:rPr>
        <w:t>is</w:t>
      </w:r>
      <w:proofErr w:type="gramEnd"/>
      <w:r w:rsidR="005B534E" w:rsidRPr="00526320">
        <w:rPr>
          <w:rFonts w:ascii="Garamond" w:hAnsi="Garamond"/>
        </w:rPr>
        <w:t xml:space="preserve"> the natural logarithm of the age of a CFO. </w:t>
      </w:r>
      <m:oMath>
        <m:r>
          <w:rPr>
            <w:rFonts w:ascii="Cambria Math" w:hAnsi="Cambria Math"/>
          </w:rPr>
          <m:t>FemaleCFO</m:t>
        </m:r>
      </m:oMath>
      <w:r w:rsidR="007F3309" w:rsidRPr="00526320" w:rsidDel="007F3309">
        <w:rPr>
          <w:rFonts w:ascii="Garamond" w:hAnsi="Garamond"/>
        </w:rPr>
        <w:t xml:space="preserve"> </w:t>
      </w:r>
      <w:proofErr w:type="gramStart"/>
      <w:r w:rsidR="005B534E" w:rsidRPr="00526320">
        <w:rPr>
          <w:rFonts w:ascii="Garamond" w:hAnsi="Garamond"/>
        </w:rPr>
        <w:t>is</w:t>
      </w:r>
      <w:proofErr w:type="gramEnd"/>
      <w:r w:rsidR="005B534E" w:rsidRPr="00526320">
        <w:rPr>
          <w:rFonts w:ascii="Garamond" w:hAnsi="Garamond"/>
        </w:rPr>
        <w:t xml:space="preserve"> a dummy variable, which equals one if the CFO is female, and zero otherwise. </w:t>
      </w:r>
      <m:oMath>
        <m:r>
          <w:rPr>
            <w:rFonts w:ascii="Cambria Math" w:hAnsi="Cambria Math"/>
          </w:rPr>
          <m:t>BritishCFO</m:t>
        </m:r>
      </m:oMath>
      <w:r w:rsidR="007F3309" w:rsidRPr="00526320" w:rsidDel="007F3309">
        <w:rPr>
          <w:rFonts w:ascii="Garamond" w:hAnsi="Garamond"/>
        </w:rPr>
        <w:t xml:space="preserve"> </w:t>
      </w:r>
      <w:r w:rsidR="005B534E" w:rsidRPr="00526320">
        <w:rPr>
          <w:rFonts w:ascii="Garamond" w:hAnsi="Garamond"/>
        </w:rPr>
        <w:t xml:space="preserve"> </w:t>
      </w:r>
      <w:proofErr w:type="gramStart"/>
      <w:r w:rsidR="005B534E" w:rsidRPr="00526320">
        <w:rPr>
          <w:rFonts w:ascii="Garamond" w:hAnsi="Garamond"/>
        </w:rPr>
        <w:t>is</w:t>
      </w:r>
      <w:proofErr w:type="gramEnd"/>
      <w:r w:rsidR="005B534E" w:rsidRPr="00526320">
        <w:rPr>
          <w:rFonts w:ascii="Garamond" w:hAnsi="Garamond"/>
        </w:rPr>
        <w:t xml:space="preserve"> a dummy variable, which equals one if the CFO is British, and zero otherwise. </w:t>
      </w:r>
      <m:oMath>
        <m:r>
          <w:rPr>
            <w:rFonts w:ascii="Cambria Math" w:hAnsi="Cambria Math"/>
            <w:color w:val="000000"/>
          </w:rPr>
          <m:t>Firmsize</m:t>
        </m:r>
      </m:oMath>
      <w:r w:rsidR="00862631" w:rsidRPr="00526320">
        <w:rPr>
          <w:rFonts w:ascii="Garamond" w:hAnsi="Garamond"/>
        </w:rPr>
        <w:t xml:space="preserve"> </w:t>
      </w:r>
      <w:proofErr w:type="gramStart"/>
      <w:r w:rsidR="00862631" w:rsidRPr="00526320">
        <w:rPr>
          <w:rFonts w:ascii="Garamond" w:hAnsi="Garamond"/>
        </w:rPr>
        <w:t>denotes</w:t>
      </w:r>
      <w:proofErr w:type="gramEnd"/>
      <w:r w:rsidR="00862631" w:rsidRPr="00526320">
        <w:rPr>
          <w:rFonts w:ascii="Garamond" w:hAnsi="Garamond"/>
        </w:rPr>
        <w:t xml:space="preserve"> the natural logarithm of</w:t>
      </w:r>
      <w:r w:rsidR="00862631">
        <w:rPr>
          <w:rFonts w:ascii="Garamond" w:hAnsi="Garamond"/>
        </w:rPr>
        <w:t xml:space="preserve"> the firm’s</w:t>
      </w:r>
      <w:r w:rsidR="00862631" w:rsidRPr="00526320">
        <w:rPr>
          <w:rFonts w:ascii="Garamond" w:hAnsi="Garamond"/>
        </w:rPr>
        <w:t xml:space="preserve"> total assets. </w:t>
      </w:r>
      <w:r w:rsidR="00DC01A5">
        <w:rPr>
          <w:rFonts w:ascii="Garamond" w:hAnsi="Garamond"/>
        </w:rPr>
        <w:t>Firm</w:t>
      </w:r>
      <w:r w:rsidR="002F3EC1" w:rsidRPr="00526320">
        <w:rPr>
          <w:rFonts w:ascii="Garamond" w:hAnsi="Garamond"/>
        </w:rPr>
        <w:t xml:space="preserve"> dummies and year dummies capture </w:t>
      </w:r>
      <w:r w:rsidR="00DC01A5">
        <w:rPr>
          <w:rFonts w:ascii="Garamond" w:hAnsi="Garamond"/>
        </w:rPr>
        <w:t>firm</w:t>
      </w:r>
      <w:r w:rsidR="005A0ED0">
        <w:rPr>
          <w:rFonts w:ascii="Garamond" w:hAnsi="Garamond"/>
        </w:rPr>
        <w:t xml:space="preserve"> </w:t>
      </w:r>
      <w:r w:rsidR="005B534E" w:rsidRPr="00526320">
        <w:rPr>
          <w:rFonts w:ascii="Garamond" w:hAnsi="Garamond"/>
        </w:rPr>
        <w:t>and year fixed effects, respectively</w:t>
      </w:r>
      <w:r w:rsidR="00B633BE">
        <w:rPr>
          <w:rFonts w:ascii="Garamond" w:hAnsi="Garamond"/>
        </w:rPr>
        <w:t xml:space="preserve"> (Fang et al., 2018)</w:t>
      </w:r>
      <w:r w:rsidR="005B534E" w:rsidRPr="00526320">
        <w:rPr>
          <w:rFonts w:ascii="Garamond" w:hAnsi="Garamond"/>
        </w:rPr>
        <w:t>.</w:t>
      </w:r>
    </w:p>
    <w:p w:rsidR="00612ADC" w:rsidRPr="00B633BE" w:rsidRDefault="00612ADC" w:rsidP="001E3BFC">
      <w:pPr>
        <w:spacing w:line="360" w:lineRule="auto"/>
        <w:jc w:val="both"/>
        <w:rPr>
          <w:rFonts w:ascii="Garamond" w:hAnsi="Garamond"/>
        </w:rPr>
      </w:pPr>
    </w:p>
    <w:p w:rsidR="005B534E" w:rsidRPr="00526320" w:rsidRDefault="007F3309" w:rsidP="001E3BFC">
      <w:pPr>
        <w:spacing w:line="360" w:lineRule="auto"/>
        <w:jc w:val="both"/>
        <w:rPr>
          <w:rFonts w:ascii="Garamond" w:hAnsi="Garamond"/>
        </w:rPr>
      </w:pPr>
      <w:r w:rsidRPr="00526320">
        <w:rPr>
          <w:rFonts w:ascii="Garamond" w:hAnsi="Garamond"/>
        </w:rPr>
        <w:t>In our benchmark regression expressed in equation (1), w</w:t>
      </w:r>
      <w:r w:rsidR="005B534E" w:rsidRPr="00526320">
        <w:rPr>
          <w:rFonts w:ascii="Garamond" w:hAnsi="Garamond"/>
        </w:rPr>
        <w:t xml:space="preserve">e use the residuals from the above regressions as the adjusted measures of </w:t>
      </w:r>
      <w:proofErr w:type="gramStart"/>
      <w:r w:rsidRPr="00526320">
        <w:rPr>
          <w:rFonts w:ascii="Garamond" w:hAnsi="Garamond"/>
        </w:rPr>
        <w:t xml:space="preserve">boards’ </w:t>
      </w:r>
      <m:oMath>
        <w:proofErr w:type="gramEnd"/>
        <m:r>
          <w:rPr>
            <w:rFonts w:ascii="Cambria Math" w:hAnsi="Cambria Math"/>
          </w:rPr>
          <m:t>Gender Diversity</m:t>
        </m:r>
      </m:oMath>
      <w:r w:rsidRPr="00526320">
        <w:rPr>
          <w:rFonts w:ascii="Garamond" w:hAnsi="Garamond"/>
        </w:rPr>
        <w:t xml:space="preserve">, </w:t>
      </w:r>
      <m:oMath>
        <m:r>
          <w:rPr>
            <w:rFonts w:ascii="Cambria Math" w:hAnsi="Cambria Math"/>
          </w:rPr>
          <m:t>Nationality Diversity</m:t>
        </m:r>
      </m:oMath>
      <w:r w:rsidRPr="00526320" w:rsidDel="007F3309">
        <w:rPr>
          <w:rFonts w:ascii="Garamond" w:hAnsi="Garamond"/>
        </w:rPr>
        <w:t xml:space="preserve"> </w:t>
      </w:r>
      <w:r w:rsidRPr="00526320">
        <w:rPr>
          <w:rFonts w:ascii="Garamond" w:hAnsi="Garamond"/>
        </w:rPr>
        <w:t xml:space="preserve">and </w:t>
      </w:r>
      <m:oMath>
        <m:r>
          <w:rPr>
            <w:rFonts w:ascii="Cambria Math" w:hAnsi="Cambria Math"/>
          </w:rPr>
          <m:t>Age Diversity</m:t>
        </m:r>
      </m:oMath>
      <w:r w:rsidR="005B534E" w:rsidRPr="00526320">
        <w:rPr>
          <w:rFonts w:ascii="Garamond" w:hAnsi="Garamond"/>
        </w:rPr>
        <w:t>.</w:t>
      </w:r>
      <w:r w:rsidR="00E71703">
        <w:rPr>
          <w:rFonts w:ascii="Garamond" w:hAnsi="Garamond"/>
        </w:rPr>
        <w:t xml:space="preserve"> Using these adjusted measures ensures that we capture </w:t>
      </w:r>
      <w:r w:rsidR="00DA1AE9">
        <w:rPr>
          <w:rFonts w:ascii="Garamond" w:hAnsi="Garamond"/>
        </w:rPr>
        <w:t>the board’s diversity in excess of the CFO’s characteristics and allows an independent identification of board-specific effects and CFO-specific effects on leverage ratios.</w:t>
      </w:r>
    </w:p>
    <w:p w:rsidR="005B534E" w:rsidRDefault="005B534E" w:rsidP="005B534E">
      <w:pPr>
        <w:spacing w:line="360" w:lineRule="auto"/>
        <w:jc w:val="both"/>
        <w:rPr>
          <w:rFonts w:ascii="Garamond" w:hAnsi="Garamond"/>
          <w:color w:val="FF0000"/>
        </w:rPr>
      </w:pPr>
    </w:p>
    <w:p w:rsidR="005B534E" w:rsidRDefault="007F3309" w:rsidP="005B534E">
      <w:pPr>
        <w:spacing w:line="360" w:lineRule="auto"/>
        <w:jc w:val="both"/>
        <w:rPr>
          <w:rFonts w:ascii="Garamond" w:hAnsi="Garamond"/>
          <w:color w:val="000000"/>
        </w:rPr>
      </w:pPr>
      <w:r>
        <w:rPr>
          <w:rFonts w:ascii="Garamond" w:hAnsi="Garamond"/>
          <w:color w:val="000000"/>
        </w:rPr>
        <w:t xml:space="preserve">While the above measures capture the diversity along three different </w:t>
      </w:r>
      <w:r w:rsidR="00E511DF">
        <w:rPr>
          <w:rFonts w:ascii="Garamond" w:hAnsi="Garamond"/>
          <w:color w:val="000000"/>
        </w:rPr>
        <w:t>dimensions</w:t>
      </w:r>
      <w:r>
        <w:rPr>
          <w:rFonts w:ascii="Garamond" w:hAnsi="Garamond"/>
          <w:color w:val="000000"/>
        </w:rPr>
        <w:t>, we also want to capture a board</w:t>
      </w:r>
      <w:r w:rsidR="001E3BFC">
        <w:rPr>
          <w:rFonts w:ascii="Garamond" w:hAnsi="Garamond"/>
          <w:color w:val="000000"/>
        </w:rPr>
        <w:t>’s</w:t>
      </w:r>
      <w:r>
        <w:rPr>
          <w:rFonts w:ascii="Garamond" w:hAnsi="Garamond"/>
          <w:color w:val="000000"/>
        </w:rPr>
        <w:t xml:space="preserve"> overall diversity as one board might have directors with a divers</w:t>
      </w:r>
      <w:r w:rsidR="00730BCE">
        <w:rPr>
          <w:rFonts w:ascii="Garamond" w:hAnsi="Garamond"/>
          <w:color w:val="000000"/>
        </w:rPr>
        <w:t>e set</w:t>
      </w:r>
      <w:r>
        <w:rPr>
          <w:rFonts w:ascii="Garamond" w:hAnsi="Garamond"/>
          <w:color w:val="000000"/>
        </w:rPr>
        <w:t xml:space="preserve"> of nationalities but not have any women on </w:t>
      </w:r>
      <w:r w:rsidR="001116F8">
        <w:rPr>
          <w:rFonts w:ascii="Garamond" w:hAnsi="Garamond"/>
          <w:color w:val="000000"/>
        </w:rPr>
        <w:t xml:space="preserve">the </w:t>
      </w:r>
      <w:r>
        <w:rPr>
          <w:rFonts w:ascii="Garamond" w:hAnsi="Garamond"/>
          <w:color w:val="000000"/>
        </w:rPr>
        <w:t>board or be composed of relatively</w:t>
      </w:r>
      <w:r w:rsidR="00526320">
        <w:rPr>
          <w:rFonts w:ascii="Garamond" w:hAnsi="Garamond"/>
          <w:color w:val="000000"/>
        </w:rPr>
        <w:t xml:space="preserve"> senior directors in terms of their age distribution. Hence, we </w:t>
      </w:r>
      <w:r w:rsidR="005B534E">
        <w:rPr>
          <w:rFonts w:ascii="Garamond" w:hAnsi="Garamond"/>
          <w:color w:val="000000"/>
        </w:rPr>
        <w:t xml:space="preserve">follow </w:t>
      </w:r>
      <w:proofErr w:type="spellStart"/>
      <w:r w:rsidR="005B534E">
        <w:rPr>
          <w:rFonts w:ascii="Garamond" w:hAnsi="Garamond"/>
          <w:color w:val="000000"/>
        </w:rPr>
        <w:t>Bernile</w:t>
      </w:r>
      <w:proofErr w:type="spellEnd"/>
      <w:r w:rsidR="005B534E">
        <w:rPr>
          <w:rFonts w:ascii="Garamond" w:hAnsi="Garamond"/>
          <w:color w:val="000000"/>
        </w:rPr>
        <w:t xml:space="preserve"> et al. (2018)</w:t>
      </w:r>
      <w:r w:rsidR="00526320">
        <w:rPr>
          <w:rFonts w:ascii="Garamond" w:hAnsi="Garamond"/>
          <w:color w:val="000000"/>
        </w:rPr>
        <w:t xml:space="preserve"> to</w:t>
      </w:r>
      <w:r w:rsidR="005B534E">
        <w:rPr>
          <w:rFonts w:ascii="Garamond" w:hAnsi="Garamond"/>
          <w:color w:val="000000"/>
        </w:rPr>
        <w:t xml:space="preserve"> create a</w:t>
      </w:r>
      <w:r w:rsidR="00526320">
        <w:rPr>
          <w:rFonts w:ascii="Garamond" w:hAnsi="Garamond"/>
          <w:color w:val="000000"/>
        </w:rPr>
        <w:t>n</w:t>
      </w:r>
      <w:r w:rsidR="005B534E">
        <w:rPr>
          <w:rFonts w:ascii="Garamond" w:hAnsi="Garamond"/>
          <w:color w:val="000000"/>
        </w:rPr>
        <w:t xml:space="preserve"> aggregate </w:t>
      </w:r>
      <w:r w:rsidR="00526320">
        <w:rPr>
          <w:rFonts w:ascii="Garamond" w:hAnsi="Garamond"/>
          <w:color w:val="000000"/>
        </w:rPr>
        <w:t xml:space="preserve">board </w:t>
      </w:r>
      <w:r w:rsidR="005B534E">
        <w:rPr>
          <w:rFonts w:ascii="Garamond" w:hAnsi="Garamond"/>
          <w:color w:val="000000"/>
        </w:rPr>
        <w:t xml:space="preserve">diversity measure which captures the overall diversity of the board. </w:t>
      </w:r>
    </w:p>
    <w:p w:rsidR="005B534E" w:rsidRDefault="005B534E" w:rsidP="005B534E">
      <w:pPr>
        <w:spacing w:line="360" w:lineRule="auto"/>
        <w:jc w:val="both"/>
        <w:rPr>
          <w:rFonts w:ascii="Garamond" w:hAnsi="Garamond"/>
          <w:color w:val="00000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9"/>
        <w:gridCol w:w="8221"/>
        <w:gridCol w:w="510"/>
      </w:tblGrid>
      <w:tr w:rsidR="005B534E" w:rsidTr="00F52267">
        <w:tc>
          <w:tcPr>
            <w:tcW w:w="279" w:type="dxa"/>
          </w:tcPr>
          <w:p w:rsidR="005B534E" w:rsidRDefault="005B534E" w:rsidP="00F52267">
            <w:pPr>
              <w:spacing w:line="360" w:lineRule="auto"/>
              <w:jc w:val="both"/>
              <w:rPr>
                <w:rFonts w:ascii="Garamond" w:hAnsi="Garamond"/>
                <w:color w:val="FF0000"/>
              </w:rPr>
            </w:pPr>
          </w:p>
        </w:tc>
        <w:tc>
          <w:tcPr>
            <w:tcW w:w="8221" w:type="dxa"/>
          </w:tcPr>
          <w:p w:rsidR="005B534E" w:rsidRPr="003A154F" w:rsidRDefault="00913094" w:rsidP="00F52267">
            <w:pPr>
              <w:spacing w:line="360" w:lineRule="auto"/>
              <w:jc w:val="both"/>
              <w:rPr>
                <w:rFonts w:ascii="Garamond" w:hAnsi="Garamond"/>
                <w:color w:val="000000" w:themeColor="text1"/>
              </w:rPr>
            </w:pPr>
            <m:oMathPara>
              <m:oMath>
                <m:r>
                  <w:rPr>
                    <w:rFonts w:ascii="Cambria Math" w:hAnsi="Cambria Math"/>
                    <w:color w:val="000000" w:themeColor="text1"/>
                  </w:rPr>
                  <m:t>Aggregate Board Diversity=STDZ</m:t>
                </m:r>
                <m:d>
                  <m:dPr>
                    <m:ctrlPr>
                      <w:rPr>
                        <w:rFonts w:ascii="Cambria Math" w:hAnsi="Cambria Math"/>
                        <w:i/>
                        <w:color w:val="000000" w:themeColor="text1"/>
                      </w:rPr>
                    </m:ctrlPr>
                  </m:dPr>
                  <m:e>
                    <m:r>
                      <w:rPr>
                        <w:rFonts w:ascii="Cambria Math" w:hAnsi="Cambria Math"/>
                        <w:color w:val="000000" w:themeColor="text1"/>
                      </w:rPr>
                      <m:t>PCT_Female</m:t>
                    </m:r>
                  </m:e>
                </m:d>
                <m:r>
                  <w:rPr>
                    <w:rFonts w:ascii="Cambria Math" w:hAnsi="Cambria Math"/>
                    <w:color w:val="000000" w:themeColor="text1"/>
                  </w:rPr>
                  <m:t>+</m:t>
                </m:r>
              </m:oMath>
            </m:oMathPara>
          </w:p>
          <w:p w:rsidR="005B534E" w:rsidRPr="003A154F" w:rsidRDefault="005B534E" w:rsidP="00344157">
            <w:pPr>
              <w:spacing w:line="360" w:lineRule="auto"/>
              <w:jc w:val="both"/>
              <w:rPr>
                <w:rFonts w:ascii="Garamond" w:hAnsi="Garamond"/>
                <w:color w:val="000000" w:themeColor="text1"/>
              </w:rPr>
            </w:pPr>
            <m:oMathPara>
              <m:oMath>
                <m:r>
                  <w:rPr>
                    <w:rFonts w:ascii="Cambria Math" w:hAnsi="Cambria Math"/>
                    <w:color w:val="000000" w:themeColor="text1"/>
                  </w:rPr>
                  <m:t>STDZ</m:t>
                </m:r>
                <m:d>
                  <m:dPr>
                    <m:ctrlPr>
                      <w:rPr>
                        <w:rFonts w:ascii="Cambria Math" w:hAnsi="Cambria Math"/>
                        <w:i/>
                        <w:color w:val="000000" w:themeColor="text1"/>
                      </w:rPr>
                    </m:ctrlPr>
                  </m:dPr>
                  <m:e>
                    <m:r>
                      <w:rPr>
                        <w:rFonts w:ascii="Cambria Math" w:hAnsi="Cambria Math"/>
                        <w:color w:val="000000" w:themeColor="text1"/>
                      </w:rPr>
                      <m:t>PCT_NonBritish</m:t>
                    </m:r>
                  </m:e>
                </m:d>
                <m:r>
                  <w:rPr>
                    <w:rFonts w:ascii="Cambria Math" w:hAnsi="Cambria Math"/>
                    <w:color w:val="000000" w:themeColor="text1"/>
                  </w:rPr>
                  <m:t>+STDZ</m:t>
                </m:r>
                <m:d>
                  <m:dPr>
                    <m:ctrlPr>
                      <w:rPr>
                        <w:rFonts w:ascii="Cambria Math" w:hAnsi="Cambria Math"/>
                        <w:i/>
                        <w:color w:val="000000" w:themeColor="text1"/>
                      </w:rPr>
                    </m:ctrlPr>
                  </m:dPr>
                  <m:e>
                    <m:r>
                      <w:rPr>
                        <w:rFonts w:ascii="Cambria Math" w:hAnsi="Cambria Math"/>
                        <w:color w:val="000000" w:themeColor="text1"/>
                      </w:rPr>
                      <m:t>STDEV_Age</m:t>
                    </m:r>
                  </m:e>
                </m:d>
              </m:oMath>
            </m:oMathPara>
          </w:p>
          <w:p w:rsidR="005B534E" w:rsidRPr="003A154F" w:rsidRDefault="005B534E" w:rsidP="00F52267">
            <w:pPr>
              <w:spacing w:line="360" w:lineRule="auto"/>
              <w:jc w:val="both"/>
              <w:rPr>
                <w:rFonts w:ascii="Garamond" w:hAnsi="Garamond"/>
                <w:color w:val="000000" w:themeColor="text1"/>
              </w:rPr>
            </w:pPr>
          </w:p>
        </w:tc>
        <w:tc>
          <w:tcPr>
            <w:tcW w:w="510" w:type="dxa"/>
          </w:tcPr>
          <w:p w:rsidR="005B534E" w:rsidRPr="003A154F" w:rsidRDefault="005B534E" w:rsidP="00F52267">
            <w:pPr>
              <w:spacing w:line="360" w:lineRule="auto"/>
              <w:jc w:val="both"/>
              <w:rPr>
                <w:rFonts w:ascii="Garamond" w:hAnsi="Garamond"/>
                <w:color w:val="000000" w:themeColor="text1"/>
              </w:rPr>
            </w:pPr>
            <w:r w:rsidRPr="003A154F">
              <w:rPr>
                <w:rFonts w:ascii="Garamond" w:hAnsi="Garamond"/>
                <w:color w:val="000000" w:themeColor="text1"/>
              </w:rPr>
              <w:t>(3)</w:t>
            </w:r>
          </w:p>
        </w:tc>
      </w:tr>
    </w:tbl>
    <w:p w:rsidR="005B534E" w:rsidRPr="00526320" w:rsidRDefault="00526320" w:rsidP="00001760">
      <w:pPr>
        <w:spacing w:line="360" w:lineRule="auto"/>
        <w:jc w:val="both"/>
        <w:rPr>
          <w:rFonts w:ascii="Garamond" w:hAnsi="Garamond"/>
        </w:rPr>
      </w:pPr>
      <w:proofErr w:type="gramStart"/>
      <w:r>
        <w:rPr>
          <w:rFonts w:ascii="Garamond" w:hAnsi="Garamond"/>
        </w:rPr>
        <w:t>where</w:t>
      </w:r>
      <w:proofErr w:type="gramEnd"/>
      <w:r w:rsidR="005B534E" w:rsidRPr="00526320">
        <w:rPr>
          <w:rFonts w:ascii="Garamond" w:hAnsi="Garamond"/>
        </w:rPr>
        <w:t xml:space="preserve"> </w:t>
      </w:r>
      <m:oMath>
        <m:r>
          <w:rPr>
            <w:rFonts w:ascii="Cambria Math" w:hAnsi="Cambria Math"/>
          </w:rPr>
          <m:t>PCT_Female</m:t>
        </m:r>
      </m:oMath>
      <w:r w:rsidR="005B534E" w:rsidRPr="00526320">
        <w:rPr>
          <w:rFonts w:ascii="Garamond" w:hAnsi="Garamond"/>
        </w:rPr>
        <w:t xml:space="preserve"> is the percentage of female directors on each board</w:t>
      </w:r>
      <w:r w:rsidR="001B0981">
        <w:rPr>
          <w:rFonts w:ascii="Garamond" w:hAnsi="Garamond"/>
        </w:rPr>
        <w:t xml:space="preserve"> per </w:t>
      </w:r>
      <w:r w:rsidR="005B534E" w:rsidRPr="00526320">
        <w:rPr>
          <w:rFonts w:ascii="Garamond" w:hAnsi="Garamond"/>
        </w:rPr>
        <w:t xml:space="preserve">year, </w:t>
      </w:r>
      <m:oMath>
        <m:r>
          <w:rPr>
            <w:rFonts w:ascii="Cambria Math" w:hAnsi="Cambria Math"/>
          </w:rPr>
          <m:t>PCT_NonBritish</m:t>
        </m:r>
      </m:oMath>
      <w:r w:rsidR="005B534E" w:rsidRPr="00526320">
        <w:rPr>
          <w:rFonts w:ascii="Garamond" w:hAnsi="Garamond"/>
        </w:rPr>
        <w:t xml:space="preserve"> is the </w:t>
      </w:r>
      <w:r w:rsidR="00001760">
        <w:rPr>
          <w:rFonts w:ascii="Garamond" w:hAnsi="Garamond"/>
        </w:rPr>
        <w:t>percentage</w:t>
      </w:r>
      <w:r w:rsidR="005B534E" w:rsidRPr="00526320">
        <w:rPr>
          <w:rFonts w:ascii="Garamond" w:hAnsi="Garamond"/>
        </w:rPr>
        <w:t xml:space="preserve"> of non-British directors on each board</w:t>
      </w:r>
      <w:r w:rsidR="001B0981">
        <w:rPr>
          <w:rFonts w:ascii="Garamond" w:hAnsi="Garamond"/>
        </w:rPr>
        <w:t xml:space="preserve"> per </w:t>
      </w:r>
      <w:r w:rsidR="005B534E" w:rsidRPr="00526320">
        <w:rPr>
          <w:rFonts w:ascii="Garamond" w:hAnsi="Garamond"/>
        </w:rPr>
        <w:t xml:space="preserve">year and </w:t>
      </w:r>
      <m:oMath>
        <m:r>
          <w:rPr>
            <w:rFonts w:ascii="Cambria Math" w:hAnsi="Cambria Math"/>
          </w:rPr>
          <m:t>STDEV_Age</m:t>
        </m:r>
      </m:oMath>
      <w:r w:rsidR="005B534E" w:rsidRPr="00526320">
        <w:rPr>
          <w:rFonts w:ascii="Garamond" w:hAnsi="Garamond"/>
        </w:rPr>
        <w:t xml:space="preserve"> is the natural logarithm </w:t>
      </w:r>
      <w:r w:rsidR="00344157">
        <w:rPr>
          <w:rFonts w:ascii="Garamond" w:hAnsi="Garamond"/>
        </w:rPr>
        <w:t xml:space="preserve">of the standard deviation </w:t>
      </w:r>
      <w:r w:rsidR="005B534E" w:rsidRPr="00526320">
        <w:rPr>
          <w:rFonts w:ascii="Garamond" w:hAnsi="Garamond"/>
        </w:rPr>
        <w:t>of directors’ age on each board</w:t>
      </w:r>
      <w:r w:rsidR="001B0981">
        <w:rPr>
          <w:rFonts w:ascii="Garamond" w:hAnsi="Garamond"/>
        </w:rPr>
        <w:t xml:space="preserve"> per </w:t>
      </w:r>
      <w:r w:rsidR="005B534E" w:rsidRPr="00526320">
        <w:rPr>
          <w:rFonts w:ascii="Garamond" w:hAnsi="Garamond"/>
        </w:rPr>
        <w:t>year.</w:t>
      </w:r>
      <w:r w:rsidR="00913094">
        <w:rPr>
          <w:rFonts w:ascii="Garamond" w:hAnsi="Garamond"/>
        </w:rPr>
        <w:t xml:space="preserve"> </w:t>
      </w:r>
      <m:oMath>
        <m:r>
          <w:rPr>
            <w:rFonts w:ascii="Cambria Math" w:hAnsi="Cambria Math"/>
          </w:rPr>
          <m:t xml:space="preserve">STDZ </m:t>
        </m:r>
      </m:oMath>
      <w:proofErr w:type="gramStart"/>
      <w:r w:rsidR="00913094" w:rsidRPr="00526320">
        <w:rPr>
          <w:rFonts w:ascii="Garamond" w:hAnsi="Garamond"/>
        </w:rPr>
        <w:t>stands</w:t>
      </w:r>
      <w:proofErr w:type="gramEnd"/>
      <w:r w:rsidR="00913094" w:rsidRPr="00526320">
        <w:rPr>
          <w:rFonts w:ascii="Garamond" w:hAnsi="Garamond"/>
        </w:rPr>
        <w:t xml:space="preserve"> for </w:t>
      </w:r>
      <w:r w:rsidR="006F4997">
        <w:rPr>
          <w:rFonts w:ascii="Garamond" w:hAnsi="Garamond"/>
        </w:rPr>
        <w:t xml:space="preserve">the </w:t>
      </w:r>
      <w:r w:rsidR="00913094" w:rsidRPr="00526320">
        <w:rPr>
          <w:rFonts w:ascii="Garamond" w:hAnsi="Garamond"/>
        </w:rPr>
        <w:t>normali</w:t>
      </w:r>
      <w:r w:rsidR="00733B0F">
        <w:rPr>
          <w:rFonts w:ascii="Garamond" w:hAnsi="Garamond"/>
        </w:rPr>
        <w:t>s</w:t>
      </w:r>
      <w:r w:rsidR="00913094" w:rsidRPr="00526320">
        <w:rPr>
          <w:rFonts w:ascii="Garamond" w:hAnsi="Garamond"/>
        </w:rPr>
        <w:t xml:space="preserve">ation </w:t>
      </w:r>
      <w:r w:rsidR="00913094">
        <w:rPr>
          <w:rFonts w:ascii="Garamond" w:hAnsi="Garamond"/>
        </w:rPr>
        <w:t xml:space="preserve">of </w:t>
      </w:r>
      <w:r w:rsidR="00913094" w:rsidRPr="00526320">
        <w:rPr>
          <w:rFonts w:ascii="Garamond" w:hAnsi="Garamond"/>
        </w:rPr>
        <w:t>each variable by its mean and standard deviation</w:t>
      </w:r>
      <w:r w:rsidR="00EE013D">
        <w:rPr>
          <w:rFonts w:ascii="Garamond" w:hAnsi="Garamond"/>
        </w:rPr>
        <w:t xml:space="preserve">. Hence, </w:t>
      </w:r>
      <m:oMath>
        <m:r>
          <w:rPr>
            <w:rFonts w:ascii="Cambria Math" w:hAnsi="Cambria Math"/>
            <w:color w:val="000000" w:themeColor="text1"/>
          </w:rPr>
          <m:t>Aggregate Board Diversity</m:t>
        </m:r>
      </m:oMath>
      <w:r w:rsidR="00EE013D">
        <w:rPr>
          <w:rFonts w:ascii="Garamond" w:hAnsi="Garamond"/>
          <w:color w:val="000000" w:themeColor="text1"/>
        </w:rPr>
        <w:t xml:space="preserve"> </w:t>
      </w:r>
      <w:r w:rsidR="00D90856">
        <w:rPr>
          <w:rFonts w:ascii="Garamond" w:hAnsi="Garamond"/>
          <w:color w:val="000000" w:themeColor="text1"/>
        </w:rPr>
        <w:t xml:space="preserve">represents an </w:t>
      </w:r>
      <w:r w:rsidR="00733B0F">
        <w:rPr>
          <w:rFonts w:ascii="Garamond" w:hAnsi="Garamond"/>
          <w:color w:val="000000" w:themeColor="text1"/>
        </w:rPr>
        <w:t>equally weighted</w:t>
      </w:r>
      <w:r w:rsidR="00D90856">
        <w:rPr>
          <w:rFonts w:ascii="Garamond" w:hAnsi="Garamond"/>
          <w:color w:val="000000" w:themeColor="text1"/>
        </w:rPr>
        <w:t xml:space="preserve"> measure </w:t>
      </w:r>
      <w:r w:rsidR="00733B0F">
        <w:rPr>
          <w:rFonts w:ascii="Garamond" w:hAnsi="Garamond"/>
          <w:color w:val="000000" w:themeColor="text1"/>
        </w:rPr>
        <w:t xml:space="preserve">of the normalised individual </w:t>
      </w:r>
      <w:r w:rsidR="00D52314">
        <w:rPr>
          <w:rFonts w:ascii="Garamond" w:hAnsi="Garamond"/>
          <w:color w:val="000000" w:themeColor="text1"/>
        </w:rPr>
        <w:t xml:space="preserve">diversity measures. Note that we do not use the residual diversity scores </w:t>
      </w:r>
      <w:r w:rsidR="00D52314">
        <w:rPr>
          <w:rFonts w:ascii="Garamond" w:hAnsi="Garamond"/>
          <w:color w:val="000000" w:themeColor="text1"/>
        </w:rPr>
        <w:lastRenderedPageBreak/>
        <w:t xml:space="preserve">generated </w:t>
      </w:r>
      <w:r w:rsidR="00140310">
        <w:rPr>
          <w:rFonts w:ascii="Garamond" w:hAnsi="Garamond"/>
          <w:color w:val="000000" w:themeColor="text1"/>
        </w:rPr>
        <w:t xml:space="preserve">by equations (2a) to (2c) in the computation of the aggregate measure. This shall ensure that our results are not driven </w:t>
      </w:r>
      <w:r w:rsidR="002D3F7D">
        <w:rPr>
          <w:rFonts w:ascii="Garamond" w:hAnsi="Garamond"/>
          <w:color w:val="000000" w:themeColor="text1"/>
        </w:rPr>
        <w:t xml:space="preserve">by our adjustment of diversity scores. </w:t>
      </w:r>
    </w:p>
    <w:p w:rsidR="005B534E" w:rsidRDefault="005B534E" w:rsidP="00EA0886">
      <w:pPr>
        <w:spacing w:line="360" w:lineRule="auto"/>
        <w:jc w:val="both"/>
        <w:rPr>
          <w:rFonts w:ascii="Garamond" w:hAnsi="Garamond"/>
          <w:color w:val="000000"/>
        </w:rPr>
      </w:pPr>
    </w:p>
    <w:p w:rsidR="00487E50" w:rsidRDefault="00427DD7" w:rsidP="00D0508D">
      <w:pPr>
        <w:jc w:val="both"/>
        <w:rPr>
          <w:rFonts w:ascii="Garamond" w:hAnsi="Garamond"/>
          <w:i/>
          <w:color w:val="000000"/>
        </w:rPr>
      </w:pPr>
      <w:r>
        <w:rPr>
          <w:rFonts w:ascii="Garamond" w:hAnsi="Garamond"/>
          <w:i/>
          <w:color w:val="000000"/>
        </w:rPr>
        <w:t>3</w:t>
      </w:r>
      <w:r w:rsidR="002D00B9" w:rsidRPr="00487E50">
        <w:rPr>
          <w:rFonts w:ascii="Garamond" w:hAnsi="Garamond"/>
          <w:i/>
          <w:color w:val="000000"/>
        </w:rPr>
        <w:t>.</w:t>
      </w:r>
      <w:r w:rsidR="005B534E">
        <w:rPr>
          <w:rFonts w:ascii="Garamond" w:hAnsi="Garamond"/>
          <w:i/>
          <w:color w:val="000000"/>
        </w:rPr>
        <w:t>5</w:t>
      </w:r>
      <w:r w:rsidR="002D00B9" w:rsidRPr="00487E50">
        <w:rPr>
          <w:rFonts w:ascii="Garamond" w:hAnsi="Garamond"/>
          <w:i/>
          <w:color w:val="000000"/>
        </w:rPr>
        <w:t xml:space="preserve">. </w:t>
      </w:r>
      <w:r w:rsidR="00487E50" w:rsidRPr="00487E50">
        <w:rPr>
          <w:rFonts w:ascii="Garamond" w:hAnsi="Garamond"/>
          <w:i/>
          <w:color w:val="000000"/>
        </w:rPr>
        <w:t>Control Variables</w:t>
      </w:r>
    </w:p>
    <w:p w:rsidR="006C11A0" w:rsidRPr="00054434" w:rsidRDefault="006C11A0" w:rsidP="00D0508D">
      <w:pPr>
        <w:jc w:val="both"/>
        <w:rPr>
          <w:rFonts w:ascii="Garamond" w:hAnsi="Garamond"/>
          <w:i/>
          <w:color w:val="000000"/>
        </w:rPr>
      </w:pPr>
    </w:p>
    <w:p w:rsidR="000D73E2" w:rsidRPr="00113DF9" w:rsidRDefault="00054434" w:rsidP="003A154F">
      <w:pPr>
        <w:spacing w:line="360" w:lineRule="auto"/>
        <w:jc w:val="both"/>
        <w:rPr>
          <w:rFonts w:ascii="Garamond" w:hAnsi="Garamond"/>
          <w:color w:val="000000"/>
        </w:rPr>
      </w:pPr>
      <w:r>
        <w:rPr>
          <w:rFonts w:ascii="Garamond" w:hAnsi="Garamond"/>
          <w:color w:val="000000"/>
        </w:rPr>
        <w:t xml:space="preserve">In addition to </w:t>
      </w:r>
      <w:r w:rsidR="00526320">
        <w:rPr>
          <w:rFonts w:ascii="Garamond" w:hAnsi="Garamond"/>
          <w:color w:val="000000"/>
        </w:rPr>
        <w:t>these</w:t>
      </w:r>
      <w:r>
        <w:rPr>
          <w:rFonts w:ascii="Garamond" w:hAnsi="Garamond"/>
          <w:color w:val="000000"/>
        </w:rPr>
        <w:t xml:space="preserve"> main explanatory variable</w:t>
      </w:r>
      <w:r w:rsidR="00526320">
        <w:rPr>
          <w:rFonts w:ascii="Garamond" w:hAnsi="Garamond"/>
          <w:color w:val="000000"/>
        </w:rPr>
        <w:t>s</w:t>
      </w:r>
      <w:r>
        <w:rPr>
          <w:rFonts w:ascii="Garamond" w:hAnsi="Garamond"/>
          <w:color w:val="000000"/>
        </w:rPr>
        <w:t xml:space="preserve">, </w:t>
      </w:r>
      <w:r w:rsidR="00526320">
        <w:rPr>
          <w:rFonts w:ascii="Garamond" w:hAnsi="Garamond"/>
          <w:color w:val="000000"/>
        </w:rPr>
        <w:t xml:space="preserve">we include a variety of board, firm and director characteristics. Regarding </w:t>
      </w:r>
      <w:r>
        <w:rPr>
          <w:rFonts w:ascii="Garamond" w:hAnsi="Garamond"/>
          <w:color w:val="000000"/>
        </w:rPr>
        <w:t>board characteristic</w:t>
      </w:r>
      <w:r w:rsidR="00113DF9">
        <w:rPr>
          <w:rFonts w:ascii="Garamond" w:hAnsi="Garamond"/>
          <w:color w:val="000000"/>
        </w:rPr>
        <w:t>s</w:t>
      </w:r>
      <w:r w:rsidR="00526320">
        <w:rPr>
          <w:rFonts w:ascii="Garamond" w:hAnsi="Garamond"/>
          <w:color w:val="000000"/>
        </w:rPr>
        <w:t>, w</w:t>
      </w:r>
      <w:r>
        <w:rPr>
          <w:rFonts w:ascii="Garamond" w:hAnsi="Garamond"/>
          <w:color w:val="000000"/>
        </w:rPr>
        <w:t xml:space="preserve">e control for the number of directors, board independence, </w:t>
      </w:r>
      <w:r w:rsidR="004935B7">
        <w:rPr>
          <w:rFonts w:ascii="Garamond" w:hAnsi="Garamond"/>
          <w:color w:val="000000"/>
        </w:rPr>
        <w:t>and</w:t>
      </w:r>
      <w:r>
        <w:rPr>
          <w:rFonts w:ascii="Garamond" w:hAnsi="Garamond"/>
          <w:color w:val="000000"/>
        </w:rPr>
        <w:t xml:space="preserve"> </w:t>
      </w:r>
      <w:r w:rsidR="006C11A0">
        <w:rPr>
          <w:rFonts w:ascii="Garamond" w:hAnsi="Garamond"/>
          <w:color w:val="000000"/>
        </w:rPr>
        <w:t>CEO</w:t>
      </w:r>
      <w:r w:rsidR="0091264B">
        <w:rPr>
          <w:rFonts w:ascii="Garamond" w:hAnsi="Garamond"/>
          <w:color w:val="000000"/>
        </w:rPr>
        <w:t xml:space="preserve"> duality</w:t>
      </w:r>
      <w:r>
        <w:rPr>
          <w:rFonts w:ascii="Garamond" w:hAnsi="Garamond"/>
          <w:color w:val="000000"/>
        </w:rPr>
        <w:t xml:space="preserve">. </w:t>
      </w:r>
      <w:r w:rsidR="008C4CFC">
        <w:rPr>
          <w:rFonts w:ascii="Garamond" w:hAnsi="Garamond"/>
          <w:color w:val="000000" w:themeColor="text1"/>
        </w:rPr>
        <w:t>In terms of firm characteristics, we include market-to-book ratio, capital expenditure, total assets</w:t>
      </w:r>
      <w:r w:rsidR="008C4CFC" w:rsidRPr="005B2E86">
        <w:rPr>
          <w:rFonts w:ascii="Garamond" w:hAnsi="Garamond"/>
          <w:color w:val="000000" w:themeColor="text1"/>
        </w:rPr>
        <w:t>,</w:t>
      </w:r>
      <w:r w:rsidR="008C4CFC">
        <w:rPr>
          <w:rFonts w:ascii="Garamond" w:hAnsi="Garamond"/>
          <w:color w:val="000000" w:themeColor="text1"/>
        </w:rPr>
        <w:t xml:space="preserve"> firm age</w:t>
      </w:r>
      <w:r w:rsidR="00713A3A">
        <w:rPr>
          <w:rFonts w:ascii="Garamond" w:hAnsi="Garamond"/>
          <w:color w:val="000000" w:themeColor="text1"/>
        </w:rPr>
        <w:t>, Tobin’s Q,</w:t>
      </w:r>
      <w:r w:rsidR="008C4CFC">
        <w:rPr>
          <w:rFonts w:ascii="Garamond" w:hAnsi="Garamond"/>
          <w:color w:val="000000" w:themeColor="text1"/>
        </w:rPr>
        <w:t xml:space="preserve"> </w:t>
      </w:r>
      <w:r w:rsidR="00713A3A">
        <w:rPr>
          <w:rFonts w:ascii="Garamond" w:hAnsi="Garamond"/>
          <w:color w:val="000000" w:themeColor="text1"/>
        </w:rPr>
        <w:t xml:space="preserve">and industry-adjusted </w:t>
      </w:r>
      <w:proofErr w:type="spellStart"/>
      <w:r w:rsidR="00713A3A">
        <w:rPr>
          <w:rFonts w:ascii="Garamond" w:hAnsi="Garamond"/>
          <w:color w:val="000000" w:themeColor="text1"/>
        </w:rPr>
        <w:t>RoA</w:t>
      </w:r>
      <w:proofErr w:type="spellEnd"/>
      <w:r w:rsidR="008C4CFC">
        <w:rPr>
          <w:rFonts w:ascii="Garamond" w:hAnsi="Garamond"/>
          <w:color w:val="000000" w:themeColor="text1"/>
        </w:rPr>
        <w:t xml:space="preserve">. With regards to director characteristics, we control for whether the CFO is British, the CFO tenure, CFO age, CFO network size and the total compensation of the CFO.  Table 3 reports the summary statistics </w:t>
      </w:r>
      <w:r w:rsidR="003A37D9">
        <w:rPr>
          <w:rFonts w:ascii="Garamond" w:hAnsi="Garamond"/>
          <w:color w:val="000000" w:themeColor="text1"/>
        </w:rPr>
        <w:t xml:space="preserve">of </w:t>
      </w:r>
      <w:r w:rsidR="008C4CFC">
        <w:rPr>
          <w:rFonts w:ascii="Garamond" w:hAnsi="Garamond"/>
          <w:color w:val="000000" w:themeColor="text1"/>
        </w:rPr>
        <w:t>these control variables, while the appendix provides a detail</w:t>
      </w:r>
      <w:r w:rsidR="001B0981">
        <w:rPr>
          <w:rFonts w:ascii="Garamond" w:hAnsi="Garamond"/>
          <w:color w:val="000000" w:themeColor="text1"/>
        </w:rPr>
        <w:t>ed</w:t>
      </w:r>
      <w:r w:rsidR="008C4CFC">
        <w:rPr>
          <w:rFonts w:ascii="Garamond" w:hAnsi="Garamond"/>
          <w:color w:val="000000" w:themeColor="text1"/>
        </w:rPr>
        <w:t xml:space="preserve"> explanation of how each variable is calculated.</w:t>
      </w:r>
      <w:r w:rsidR="0027464C">
        <w:rPr>
          <w:rFonts w:ascii="Garamond" w:hAnsi="Garamond"/>
          <w:color w:val="000000" w:themeColor="text1"/>
        </w:rPr>
        <w:t xml:space="preserve"> </w:t>
      </w:r>
      <w:r w:rsidR="001E3BFC">
        <w:rPr>
          <w:rFonts w:ascii="Garamond" w:hAnsi="Garamond"/>
          <w:color w:val="000000" w:themeColor="text1"/>
        </w:rPr>
        <w:t>We find that the average number of female directors on the board is 7.8%, while 15.9% of directors are non-British.  We also find that 9</w:t>
      </w:r>
      <w:r w:rsidR="006A58CC">
        <w:rPr>
          <w:rFonts w:ascii="Garamond" w:hAnsi="Garamond"/>
          <w:color w:val="000000" w:themeColor="text1"/>
        </w:rPr>
        <w:t>2.5</w:t>
      </w:r>
      <w:r w:rsidR="001E3BFC">
        <w:rPr>
          <w:rFonts w:ascii="Garamond" w:hAnsi="Garamond"/>
          <w:color w:val="000000" w:themeColor="text1"/>
        </w:rPr>
        <w:t>% of our CFOs are British</w:t>
      </w:r>
      <w:r w:rsidR="00DD7952">
        <w:rPr>
          <w:rFonts w:ascii="Garamond" w:hAnsi="Garamond"/>
          <w:color w:val="000000" w:themeColor="text1"/>
        </w:rPr>
        <w:t xml:space="preserve"> while 5.4% of our CFOs are female.</w:t>
      </w:r>
      <w:r w:rsidR="00885E56">
        <w:rPr>
          <w:rFonts w:ascii="Garamond" w:hAnsi="Garamond"/>
          <w:color w:val="000000" w:themeColor="text1"/>
        </w:rPr>
        <w:t xml:space="preserve"> In the appendix, we report the correlation matrix of our dependent and independent variables.</w:t>
      </w:r>
    </w:p>
    <w:p w:rsidR="00303D48" w:rsidRDefault="00303D48">
      <w:pPr>
        <w:rPr>
          <w:rFonts w:ascii="Garamond" w:hAnsi="Garamond"/>
        </w:rPr>
      </w:pPr>
    </w:p>
    <w:p w:rsidR="000D73E2" w:rsidRPr="0057098D" w:rsidRDefault="000D73E2">
      <w:pPr>
        <w:rPr>
          <w:rFonts w:ascii="Garamond" w:hAnsi="Garamond"/>
        </w:rPr>
      </w:pPr>
    </w:p>
    <w:p w:rsidR="0057098D" w:rsidRDefault="000D73E2" w:rsidP="000D73E2">
      <w:pPr>
        <w:pStyle w:val="a3"/>
        <w:numPr>
          <w:ilvl w:val="0"/>
          <w:numId w:val="1"/>
        </w:numPr>
        <w:rPr>
          <w:rFonts w:ascii="Garamond" w:hAnsi="Garamond"/>
          <w:b/>
        </w:rPr>
      </w:pPr>
      <w:r w:rsidRPr="000D73E2">
        <w:rPr>
          <w:rFonts w:ascii="Garamond" w:hAnsi="Garamond"/>
          <w:b/>
        </w:rPr>
        <w:t>Empirical Results</w:t>
      </w:r>
    </w:p>
    <w:p w:rsidR="0095082A" w:rsidRDefault="0095082A" w:rsidP="000753E8">
      <w:pPr>
        <w:spacing w:line="360" w:lineRule="auto"/>
        <w:ind w:left="360"/>
        <w:jc w:val="both"/>
        <w:rPr>
          <w:rFonts w:ascii="Garamond" w:hAnsi="Garamond"/>
          <w:b/>
        </w:rPr>
      </w:pPr>
    </w:p>
    <w:p w:rsidR="00F23311" w:rsidRDefault="00427DD7" w:rsidP="00D0508D">
      <w:pPr>
        <w:jc w:val="both"/>
        <w:rPr>
          <w:rFonts w:ascii="Garamond" w:hAnsi="Garamond"/>
          <w:i/>
        </w:rPr>
      </w:pPr>
      <w:r>
        <w:rPr>
          <w:rFonts w:ascii="Garamond" w:hAnsi="Garamond"/>
          <w:i/>
        </w:rPr>
        <w:t>4</w:t>
      </w:r>
      <w:r w:rsidR="00F23311" w:rsidRPr="00F23311">
        <w:rPr>
          <w:rFonts w:ascii="Garamond" w:hAnsi="Garamond"/>
          <w:i/>
        </w:rPr>
        <w:t>.</w:t>
      </w:r>
      <w:r w:rsidR="00F475E8">
        <w:rPr>
          <w:rFonts w:ascii="Garamond" w:hAnsi="Garamond"/>
          <w:i/>
        </w:rPr>
        <w:t>1</w:t>
      </w:r>
      <w:r w:rsidR="00F23311" w:rsidRPr="00F23311">
        <w:rPr>
          <w:rFonts w:ascii="Garamond" w:hAnsi="Garamond"/>
          <w:i/>
        </w:rPr>
        <w:t>. Female CFO</w:t>
      </w:r>
      <w:r w:rsidR="00CE0B54">
        <w:rPr>
          <w:rFonts w:ascii="Garamond" w:hAnsi="Garamond"/>
          <w:i/>
        </w:rPr>
        <w:t>s</w:t>
      </w:r>
      <w:r w:rsidR="00F23311" w:rsidRPr="00F23311">
        <w:rPr>
          <w:rFonts w:ascii="Garamond" w:hAnsi="Garamond"/>
          <w:i/>
        </w:rPr>
        <w:t xml:space="preserve"> and </w:t>
      </w:r>
      <w:r w:rsidR="0067012D">
        <w:rPr>
          <w:rFonts w:ascii="Garamond" w:hAnsi="Garamond"/>
          <w:i/>
        </w:rPr>
        <w:t>Corporate Leverage</w:t>
      </w:r>
    </w:p>
    <w:p w:rsidR="006C11A0" w:rsidRPr="00F23311" w:rsidRDefault="006C11A0" w:rsidP="00D0508D">
      <w:pPr>
        <w:jc w:val="both"/>
        <w:rPr>
          <w:rFonts w:ascii="Garamond" w:hAnsi="Garamond"/>
          <w:i/>
        </w:rPr>
      </w:pPr>
    </w:p>
    <w:p w:rsidR="004E5974" w:rsidRDefault="00384079" w:rsidP="000E4A73">
      <w:pPr>
        <w:spacing w:line="360" w:lineRule="auto"/>
        <w:jc w:val="both"/>
        <w:rPr>
          <w:rFonts w:ascii="Garamond" w:hAnsi="Garamond"/>
        </w:rPr>
      </w:pPr>
      <w:r>
        <w:rPr>
          <w:rFonts w:ascii="Garamond" w:hAnsi="Garamond"/>
        </w:rPr>
        <w:t xml:space="preserve">In Table </w:t>
      </w:r>
      <w:r w:rsidR="00F475E8">
        <w:rPr>
          <w:rFonts w:ascii="Garamond" w:hAnsi="Garamond"/>
        </w:rPr>
        <w:t>4,</w:t>
      </w:r>
      <w:r>
        <w:rPr>
          <w:rFonts w:ascii="Garamond" w:hAnsi="Garamond"/>
        </w:rPr>
        <w:t xml:space="preserve"> we examine female </w:t>
      </w:r>
      <w:proofErr w:type="spellStart"/>
      <w:r>
        <w:rPr>
          <w:rFonts w:ascii="Garamond" w:hAnsi="Garamond"/>
        </w:rPr>
        <w:t>CFOs</w:t>
      </w:r>
      <w:r w:rsidR="003A37D9">
        <w:rPr>
          <w:rFonts w:ascii="Garamond" w:hAnsi="Garamond"/>
        </w:rPr>
        <w:t>’</w:t>
      </w:r>
      <w:proofErr w:type="spellEnd"/>
      <w:r>
        <w:rPr>
          <w:rFonts w:ascii="Garamond" w:hAnsi="Garamond"/>
        </w:rPr>
        <w:t xml:space="preserve"> impact on the </w:t>
      </w:r>
      <w:r w:rsidR="00684C2A">
        <w:rPr>
          <w:rFonts w:ascii="Garamond" w:hAnsi="Garamond"/>
        </w:rPr>
        <w:t>leverage</w:t>
      </w:r>
      <w:r>
        <w:rPr>
          <w:rFonts w:ascii="Garamond" w:hAnsi="Garamond"/>
        </w:rPr>
        <w:t xml:space="preserve"> of the firm</w:t>
      </w:r>
      <w:r w:rsidR="0079278A">
        <w:rPr>
          <w:rFonts w:ascii="Garamond" w:hAnsi="Garamond"/>
        </w:rPr>
        <w:t xml:space="preserve">. </w:t>
      </w:r>
      <w:r w:rsidR="00F475E8">
        <w:rPr>
          <w:rFonts w:ascii="Garamond" w:hAnsi="Garamond"/>
        </w:rPr>
        <w:t xml:space="preserve"> In column (1),</w:t>
      </w:r>
      <w:r w:rsidR="003A37D9">
        <w:rPr>
          <w:rFonts w:ascii="Garamond" w:hAnsi="Garamond"/>
        </w:rPr>
        <w:t xml:space="preserve"> we </w:t>
      </w:r>
      <w:r w:rsidR="00F475E8">
        <w:rPr>
          <w:rFonts w:ascii="Garamond" w:hAnsi="Garamond"/>
        </w:rPr>
        <w:t>run the baseline regression using the dummy variable for a female CFO along with a number of control variables, while in columns (2) to (</w:t>
      </w:r>
      <w:r w:rsidR="009D201F">
        <w:rPr>
          <w:rFonts w:ascii="Garamond" w:hAnsi="Garamond"/>
        </w:rPr>
        <w:t>6</w:t>
      </w:r>
      <w:r w:rsidR="00F475E8">
        <w:rPr>
          <w:rFonts w:ascii="Garamond" w:hAnsi="Garamond"/>
        </w:rPr>
        <w:t>) we include our four different measures of board diversity</w:t>
      </w:r>
      <w:r w:rsidR="00C0670F">
        <w:rPr>
          <w:rFonts w:ascii="Garamond" w:hAnsi="Garamond"/>
        </w:rPr>
        <w:t xml:space="preserve">, namely gender diversity, nationality diversity, age diversity and aggregate </w:t>
      </w:r>
      <w:r w:rsidR="00295765">
        <w:rPr>
          <w:rFonts w:ascii="Garamond" w:hAnsi="Garamond"/>
        </w:rPr>
        <w:t xml:space="preserve">board </w:t>
      </w:r>
      <w:r w:rsidR="00C0670F">
        <w:rPr>
          <w:rFonts w:ascii="Garamond" w:hAnsi="Garamond"/>
        </w:rPr>
        <w:t>diversity</w:t>
      </w:r>
      <w:r w:rsidR="00F475E8">
        <w:rPr>
          <w:rFonts w:ascii="Garamond" w:hAnsi="Garamond"/>
        </w:rPr>
        <w:t>.</w:t>
      </w:r>
      <w:r w:rsidR="009D201F">
        <w:rPr>
          <w:rFonts w:ascii="Garamond" w:hAnsi="Garamond"/>
        </w:rPr>
        <w:t xml:space="preserve"> We </w:t>
      </w:r>
      <w:r w:rsidR="003A37D9">
        <w:rPr>
          <w:rFonts w:ascii="Garamond" w:hAnsi="Garamond"/>
        </w:rPr>
        <w:t xml:space="preserve">find </w:t>
      </w:r>
      <w:r w:rsidR="009D201F">
        <w:rPr>
          <w:rFonts w:ascii="Garamond" w:hAnsi="Garamond"/>
        </w:rPr>
        <w:t>that across all our regression specifications female CFOs significantly reduce the leverage of a firm.</w:t>
      </w:r>
      <w:r w:rsidR="00273FD8">
        <w:rPr>
          <w:rFonts w:ascii="Garamond" w:hAnsi="Garamond"/>
        </w:rPr>
        <w:t xml:space="preserve"> </w:t>
      </w:r>
      <w:r w:rsidR="000263C3">
        <w:rPr>
          <w:rFonts w:ascii="Garamond" w:hAnsi="Garamond"/>
        </w:rPr>
        <w:t>Specifically,</w:t>
      </w:r>
      <w:r w:rsidR="003A37D9">
        <w:rPr>
          <w:rFonts w:ascii="Garamond" w:hAnsi="Garamond"/>
        </w:rPr>
        <w:t xml:space="preserve"> results across</w:t>
      </w:r>
      <w:r w:rsidR="000263C3">
        <w:rPr>
          <w:rFonts w:ascii="Garamond" w:hAnsi="Garamond"/>
        </w:rPr>
        <w:t xml:space="preserve"> all </w:t>
      </w:r>
      <w:r w:rsidR="00C0670F">
        <w:rPr>
          <w:rFonts w:ascii="Garamond" w:hAnsi="Garamond"/>
        </w:rPr>
        <w:t>six m</w:t>
      </w:r>
      <w:r w:rsidR="000263C3">
        <w:rPr>
          <w:rFonts w:ascii="Garamond" w:hAnsi="Garamond"/>
        </w:rPr>
        <w:t>odels estimated</w:t>
      </w:r>
      <w:r w:rsidR="003A37D9">
        <w:rPr>
          <w:rFonts w:ascii="Garamond" w:hAnsi="Garamond"/>
        </w:rPr>
        <w:t xml:space="preserve"> suggest that</w:t>
      </w:r>
      <w:r w:rsidR="000263C3">
        <w:rPr>
          <w:rFonts w:ascii="Garamond" w:hAnsi="Garamond"/>
        </w:rPr>
        <w:t xml:space="preserve"> </w:t>
      </w:r>
      <w:r w:rsidR="007456CF">
        <w:rPr>
          <w:rFonts w:ascii="Garamond" w:hAnsi="Garamond"/>
        </w:rPr>
        <w:t xml:space="preserve">on average, </w:t>
      </w:r>
      <w:r w:rsidR="004E5974">
        <w:rPr>
          <w:rFonts w:ascii="Garamond" w:hAnsi="Garamond"/>
        </w:rPr>
        <w:t xml:space="preserve">the leverage of firms run by female CFOs is </w:t>
      </w:r>
      <w:r w:rsidR="00612ADC">
        <w:rPr>
          <w:rFonts w:ascii="Garamond" w:hAnsi="Garamond"/>
        </w:rPr>
        <w:t>0.</w:t>
      </w:r>
      <w:r w:rsidR="00C035F5">
        <w:rPr>
          <w:rFonts w:ascii="Garamond" w:hAnsi="Garamond"/>
        </w:rPr>
        <w:t xml:space="preserve">0420 </w:t>
      </w:r>
      <w:r w:rsidR="004E5974">
        <w:rPr>
          <w:rFonts w:ascii="Garamond" w:hAnsi="Garamond"/>
        </w:rPr>
        <w:t xml:space="preserve">lower than the leverage of firms run by male CFOs. </w:t>
      </w:r>
      <w:r w:rsidR="00295765">
        <w:rPr>
          <w:rFonts w:ascii="Garamond" w:hAnsi="Garamond"/>
        </w:rPr>
        <w:t xml:space="preserve">Considering that </w:t>
      </w:r>
      <w:r w:rsidR="00633D5E">
        <w:rPr>
          <w:rFonts w:ascii="Garamond" w:hAnsi="Garamond"/>
        </w:rPr>
        <w:t>the average leverage in our sample is 0.</w:t>
      </w:r>
      <w:r w:rsidR="00EC6491">
        <w:rPr>
          <w:rFonts w:ascii="Garamond" w:hAnsi="Garamond"/>
        </w:rPr>
        <w:t>2677</w:t>
      </w:r>
      <w:r w:rsidR="00633D5E">
        <w:rPr>
          <w:rFonts w:ascii="Garamond" w:hAnsi="Garamond"/>
        </w:rPr>
        <w:t>, our findings</w:t>
      </w:r>
      <w:r w:rsidR="0093374C">
        <w:rPr>
          <w:rFonts w:ascii="Garamond" w:hAnsi="Garamond"/>
        </w:rPr>
        <w:t xml:space="preserve"> indicate</w:t>
      </w:r>
      <w:r w:rsidR="004E5974">
        <w:rPr>
          <w:rFonts w:ascii="Garamond" w:hAnsi="Garamond"/>
        </w:rPr>
        <w:t xml:space="preserve"> that female CFOs have a</w:t>
      </w:r>
      <w:r w:rsidR="00715C63">
        <w:rPr>
          <w:rFonts w:ascii="Garamond" w:hAnsi="Garamond"/>
        </w:rPr>
        <w:t>n economically</w:t>
      </w:r>
      <w:r w:rsidR="004E5974">
        <w:rPr>
          <w:rFonts w:ascii="Garamond" w:hAnsi="Garamond"/>
        </w:rPr>
        <w:t xml:space="preserve"> significant effect on </w:t>
      </w:r>
      <w:r w:rsidR="0093374C">
        <w:rPr>
          <w:rFonts w:ascii="Garamond" w:hAnsi="Garamond"/>
        </w:rPr>
        <w:t xml:space="preserve">corporate </w:t>
      </w:r>
      <w:r w:rsidR="004E5974">
        <w:rPr>
          <w:rFonts w:ascii="Garamond" w:hAnsi="Garamond"/>
        </w:rPr>
        <w:t>leverage</w:t>
      </w:r>
      <w:r w:rsidR="00C11BF8">
        <w:rPr>
          <w:rFonts w:ascii="Garamond" w:hAnsi="Garamond"/>
        </w:rPr>
        <w:t xml:space="preserve"> by </w:t>
      </w:r>
      <w:r w:rsidR="00AF727D">
        <w:rPr>
          <w:rFonts w:ascii="Garamond" w:hAnsi="Garamond"/>
        </w:rPr>
        <w:t xml:space="preserve">lowering leverage by </w:t>
      </w:r>
      <w:r w:rsidR="00C11BF8">
        <w:rPr>
          <w:rFonts w:ascii="Garamond" w:hAnsi="Garamond"/>
        </w:rPr>
        <w:t xml:space="preserve">more than </w:t>
      </w:r>
      <w:r w:rsidR="000F41B9">
        <w:rPr>
          <w:rFonts w:ascii="Garamond" w:hAnsi="Garamond"/>
        </w:rPr>
        <w:t>15</w:t>
      </w:r>
      <w:r w:rsidR="00553724">
        <w:rPr>
          <w:rFonts w:ascii="Garamond" w:hAnsi="Garamond"/>
        </w:rPr>
        <w:t>.</w:t>
      </w:r>
      <w:r w:rsidR="007456CF">
        <w:rPr>
          <w:rFonts w:ascii="Garamond" w:hAnsi="Garamond"/>
        </w:rPr>
        <w:t>7</w:t>
      </w:r>
      <w:r w:rsidR="00C11BF8">
        <w:rPr>
          <w:rFonts w:ascii="Garamond" w:hAnsi="Garamond"/>
        </w:rPr>
        <w:t>% (=</w:t>
      </w:r>
      <w:r w:rsidR="00517B66">
        <w:rPr>
          <w:rFonts w:ascii="Garamond" w:hAnsi="Garamond"/>
        </w:rPr>
        <w:t>-</w:t>
      </w:r>
      <w:r w:rsidR="00225B33">
        <w:rPr>
          <w:rFonts w:ascii="Garamond" w:hAnsi="Garamond"/>
        </w:rPr>
        <w:t>0.</w:t>
      </w:r>
      <w:r w:rsidR="00C035F5">
        <w:rPr>
          <w:rFonts w:ascii="Garamond" w:hAnsi="Garamond"/>
        </w:rPr>
        <w:t>0420</w:t>
      </w:r>
      <w:r w:rsidR="00225B33">
        <w:rPr>
          <w:rFonts w:ascii="Garamond" w:hAnsi="Garamond"/>
        </w:rPr>
        <w:t>/0.</w:t>
      </w:r>
      <w:r w:rsidR="00EC6491">
        <w:rPr>
          <w:rFonts w:ascii="Garamond" w:hAnsi="Garamond"/>
        </w:rPr>
        <w:t>2677</w:t>
      </w:r>
      <w:r w:rsidR="00225B33">
        <w:rPr>
          <w:rFonts w:ascii="Garamond" w:hAnsi="Garamond"/>
        </w:rPr>
        <w:t>), on average, compared to male CFOs</w:t>
      </w:r>
      <w:r w:rsidR="00B94423">
        <w:rPr>
          <w:rFonts w:ascii="Garamond" w:hAnsi="Garamond"/>
        </w:rPr>
        <w:t>. Our evidence is in line with</w:t>
      </w:r>
      <w:r w:rsidR="00095FF6">
        <w:rPr>
          <w:rFonts w:ascii="Garamond" w:hAnsi="Garamond"/>
        </w:rPr>
        <w:t xml:space="preserve"> hypothesis </w:t>
      </w:r>
      <w:r w:rsidR="00095FF6" w:rsidRPr="00113DF9">
        <w:rPr>
          <w:rFonts w:ascii="Garamond" w:hAnsi="Garamond"/>
          <w:i/>
        </w:rPr>
        <w:t>H1</w:t>
      </w:r>
      <w:r w:rsidR="00B94423">
        <w:rPr>
          <w:rFonts w:ascii="Garamond" w:hAnsi="Garamond"/>
        </w:rPr>
        <w:t xml:space="preserve"> and</w:t>
      </w:r>
      <w:r w:rsidR="004E5974">
        <w:rPr>
          <w:rFonts w:ascii="Garamond" w:hAnsi="Garamond"/>
        </w:rPr>
        <w:t xml:space="preserve"> </w:t>
      </w:r>
      <w:r w:rsidR="0079278A">
        <w:rPr>
          <w:rFonts w:ascii="Garamond" w:hAnsi="Garamond"/>
        </w:rPr>
        <w:t xml:space="preserve">supports findings </w:t>
      </w:r>
      <w:r w:rsidR="004E5974">
        <w:rPr>
          <w:rFonts w:ascii="Garamond" w:hAnsi="Garamond"/>
        </w:rPr>
        <w:t xml:space="preserve">in the literature that </w:t>
      </w:r>
      <w:r w:rsidR="0079278A">
        <w:rPr>
          <w:rFonts w:ascii="Garamond" w:hAnsi="Garamond"/>
        </w:rPr>
        <w:t xml:space="preserve">women tend to take </w:t>
      </w:r>
      <w:r w:rsidR="002551C3">
        <w:rPr>
          <w:rFonts w:ascii="Garamond" w:hAnsi="Garamond"/>
        </w:rPr>
        <w:t xml:space="preserve">on </w:t>
      </w:r>
      <w:r w:rsidR="0079278A">
        <w:rPr>
          <w:rFonts w:ascii="Garamond" w:hAnsi="Garamond"/>
        </w:rPr>
        <w:t>fewer</w:t>
      </w:r>
      <w:r w:rsidR="004E5974">
        <w:rPr>
          <w:rFonts w:ascii="Garamond" w:hAnsi="Garamond"/>
        </w:rPr>
        <w:t xml:space="preserve"> risk</w:t>
      </w:r>
      <w:r w:rsidR="0079278A">
        <w:rPr>
          <w:rFonts w:ascii="Garamond" w:hAnsi="Garamond"/>
        </w:rPr>
        <w:t>s</w:t>
      </w:r>
      <w:r w:rsidR="00E511DF">
        <w:rPr>
          <w:rFonts w:ascii="Garamond" w:hAnsi="Garamond"/>
        </w:rPr>
        <w:t xml:space="preserve"> such as leverage</w:t>
      </w:r>
      <w:r w:rsidR="004E5974">
        <w:rPr>
          <w:rFonts w:ascii="Garamond" w:hAnsi="Garamond"/>
        </w:rPr>
        <w:t xml:space="preserve"> than their male counterparts.</w:t>
      </w:r>
      <w:r w:rsidR="00C0670F">
        <w:rPr>
          <w:rFonts w:ascii="Garamond" w:hAnsi="Garamond"/>
        </w:rPr>
        <w:t xml:space="preserve"> </w:t>
      </w:r>
      <w:r w:rsidR="00352C43">
        <w:rPr>
          <w:rFonts w:ascii="Garamond" w:hAnsi="Garamond"/>
        </w:rPr>
        <w:t xml:space="preserve">Interestingly, looking at the </w:t>
      </w:r>
      <w:r w:rsidR="000D3468">
        <w:rPr>
          <w:rFonts w:ascii="Garamond" w:hAnsi="Garamond"/>
        </w:rPr>
        <w:t xml:space="preserve">coefficient estimates on the board diversity </w:t>
      </w:r>
      <w:r w:rsidR="004F19BA">
        <w:rPr>
          <w:rFonts w:ascii="Garamond" w:hAnsi="Garamond"/>
        </w:rPr>
        <w:t>measures we do not find a direct effect between</w:t>
      </w:r>
      <w:r w:rsidR="0067603B">
        <w:rPr>
          <w:rFonts w:ascii="Garamond" w:hAnsi="Garamond"/>
        </w:rPr>
        <w:t xml:space="preserve"> corporate leverage and</w:t>
      </w:r>
      <w:r w:rsidR="004F19BA">
        <w:rPr>
          <w:rFonts w:ascii="Garamond" w:hAnsi="Garamond"/>
        </w:rPr>
        <w:t xml:space="preserve"> the degree of the diversity of the board along the dimensions of gender, nationality and age</w:t>
      </w:r>
      <w:r w:rsidR="00BF54A0">
        <w:rPr>
          <w:rFonts w:ascii="Garamond" w:hAnsi="Garamond"/>
        </w:rPr>
        <w:t>, suggesting that the CFO gender effect</w:t>
      </w:r>
      <w:r w:rsidR="0067603B">
        <w:rPr>
          <w:rFonts w:ascii="Garamond" w:hAnsi="Garamond"/>
        </w:rPr>
        <w:t xml:space="preserve"> on leverage</w:t>
      </w:r>
      <w:r w:rsidR="00BF54A0">
        <w:rPr>
          <w:rFonts w:ascii="Garamond" w:hAnsi="Garamond"/>
        </w:rPr>
        <w:t xml:space="preserve"> is </w:t>
      </w:r>
      <w:r w:rsidR="009238FB">
        <w:rPr>
          <w:rFonts w:ascii="Garamond" w:hAnsi="Garamond"/>
        </w:rPr>
        <w:t xml:space="preserve">different to potential direct </w:t>
      </w:r>
      <w:r w:rsidR="008C1489">
        <w:rPr>
          <w:rFonts w:ascii="Garamond" w:hAnsi="Garamond"/>
        </w:rPr>
        <w:t>effect</w:t>
      </w:r>
      <w:r w:rsidR="009238FB">
        <w:rPr>
          <w:rFonts w:ascii="Garamond" w:hAnsi="Garamond"/>
        </w:rPr>
        <w:t xml:space="preserve">s </w:t>
      </w:r>
      <w:r w:rsidR="009238FB">
        <w:rPr>
          <w:rFonts w:ascii="Garamond" w:hAnsi="Garamond"/>
        </w:rPr>
        <w:lastRenderedPageBreak/>
        <w:t>of board diversity on leverage choices</w:t>
      </w:r>
      <w:r w:rsidR="002A63E7">
        <w:rPr>
          <w:rFonts w:ascii="Garamond" w:hAnsi="Garamond"/>
        </w:rPr>
        <w:t xml:space="preserve">. Similarly, </w:t>
      </w:r>
      <w:r w:rsidR="00DA69D8">
        <w:rPr>
          <w:rFonts w:ascii="Garamond" w:hAnsi="Garamond"/>
        </w:rPr>
        <w:t xml:space="preserve">with the exception of CFO compensation, </w:t>
      </w:r>
      <w:r w:rsidR="002A63E7">
        <w:rPr>
          <w:rFonts w:ascii="Garamond" w:hAnsi="Garamond"/>
        </w:rPr>
        <w:t xml:space="preserve">none of the </w:t>
      </w:r>
      <w:r w:rsidR="0065114E">
        <w:rPr>
          <w:rFonts w:ascii="Garamond" w:hAnsi="Garamond"/>
        </w:rPr>
        <w:t xml:space="preserve">other CFO personal characteristic show a statistically significant link to firm’s leverage </w:t>
      </w:r>
      <w:r w:rsidR="00044450">
        <w:rPr>
          <w:rFonts w:ascii="Garamond" w:hAnsi="Garamond"/>
        </w:rPr>
        <w:t>other than</w:t>
      </w:r>
      <w:r w:rsidR="0065114E">
        <w:rPr>
          <w:rFonts w:ascii="Garamond" w:hAnsi="Garamond"/>
        </w:rPr>
        <w:t xml:space="preserve"> </w:t>
      </w:r>
      <w:r w:rsidR="00A962FA">
        <w:rPr>
          <w:rFonts w:ascii="Garamond" w:hAnsi="Garamond"/>
        </w:rPr>
        <w:t>CFO gender.</w:t>
      </w:r>
    </w:p>
    <w:p w:rsidR="008F0941" w:rsidRDefault="008F0941" w:rsidP="000E4A73">
      <w:pPr>
        <w:spacing w:line="360" w:lineRule="auto"/>
        <w:jc w:val="both"/>
        <w:rPr>
          <w:rFonts w:ascii="Garamond" w:hAnsi="Garamond"/>
        </w:rPr>
      </w:pPr>
    </w:p>
    <w:p w:rsidR="008F0941" w:rsidRDefault="008F0941" w:rsidP="00D0508D">
      <w:pPr>
        <w:jc w:val="both"/>
        <w:rPr>
          <w:rFonts w:ascii="Garamond" w:hAnsi="Garamond"/>
          <w:i/>
        </w:rPr>
      </w:pPr>
      <w:r>
        <w:rPr>
          <w:rFonts w:ascii="Garamond" w:hAnsi="Garamond"/>
          <w:i/>
        </w:rPr>
        <w:t>4.</w:t>
      </w:r>
      <w:r w:rsidR="00113DF9">
        <w:rPr>
          <w:rFonts w:ascii="Garamond" w:hAnsi="Garamond"/>
          <w:i/>
        </w:rPr>
        <w:t>2</w:t>
      </w:r>
      <w:r w:rsidRPr="004C59BC">
        <w:rPr>
          <w:rFonts w:ascii="Garamond" w:hAnsi="Garamond"/>
          <w:i/>
        </w:rPr>
        <w:t xml:space="preserve">. </w:t>
      </w:r>
      <w:r>
        <w:rPr>
          <w:rFonts w:ascii="Garamond" w:hAnsi="Garamond"/>
          <w:i/>
        </w:rPr>
        <w:t xml:space="preserve">Is it the </w:t>
      </w:r>
      <w:r w:rsidRPr="004C59BC">
        <w:rPr>
          <w:rFonts w:ascii="Garamond" w:hAnsi="Garamond"/>
          <w:i/>
        </w:rPr>
        <w:t>CFO or CEO</w:t>
      </w:r>
      <w:r w:rsidR="00F44692">
        <w:rPr>
          <w:rFonts w:ascii="Garamond" w:hAnsi="Garamond"/>
          <w:i/>
        </w:rPr>
        <w:t xml:space="preserve"> gender</w:t>
      </w:r>
      <w:r>
        <w:rPr>
          <w:rFonts w:ascii="Garamond" w:hAnsi="Garamond"/>
          <w:i/>
        </w:rPr>
        <w:t>?</w:t>
      </w:r>
    </w:p>
    <w:p w:rsidR="00997AEC" w:rsidRDefault="00997AEC" w:rsidP="00D0508D">
      <w:pPr>
        <w:jc w:val="both"/>
        <w:rPr>
          <w:rFonts w:ascii="Garamond" w:hAnsi="Garamond"/>
          <w:i/>
        </w:rPr>
      </w:pPr>
    </w:p>
    <w:p w:rsidR="008F0941" w:rsidRDefault="008F0941" w:rsidP="008F0941">
      <w:pPr>
        <w:spacing w:line="360" w:lineRule="auto"/>
        <w:jc w:val="both"/>
        <w:rPr>
          <w:rFonts w:ascii="Garamond" w:hAnsi="Garamond"/>
        </w:rPr>
      </w:pPr>
      <w:r>
        <w:rPr>
          <w:rFonts w:ascii="Garamond" w:hAnsi="Garamond"/>
        </w:rPr>
        <w:t xml:space="preserve">Our findings so far suggest that female CFOs significantly </w:t>
      </w:r>
      <w:r w:rsidR="00627775">
        <w:rPr>
          <w:rFonts w:ascii="Garamond" w:hAnsi="Garamond"/>
        </w:rPr>
        <w:t>lower</w:t>
      </w:r>
      <w:r w:rsidR="009706BA">
        <w:rPr>
          <w:rFonts w:ascii="Garamond" w:hAnsi="Garamond"/>
        </w:rPr>
        <w:t xml:space="preserve"> the</w:t>
      </w:r>
      <w:r w:rsidR="00627775">
        <w:rPr>
          <w:rFonts w:ascii="Garamond" w:hAnsi="Garamond"/>
        </w:rPr>
        <w:t xml:space="preserve"> leverage</w:t>
      </w:r>
      <w:r w:rsidR="009706BA">
        <w:rPr>
          <w:rFonts w:ascii="Garamond" w:hAnsi="Garamond"/>
        </w:rPr>
        <w:t xml:space="preserve"> in the firms they manage</w:t>
      </w:r>
      <w:r>
        <w:rPr>
          <w:rFonts w:ascii="Garamond" w:hAnsi="Garamond"/>
        </w:rPr>
        <w:t xml:space="preserve">. </w:t>
      </w:r>
      <w:r w:rsidR="00DC7020">
        <w:rPr>
          <w:rFonts w:ascii="Garamond" w:hAnsi="Garamond"/>
        </w:rPr>
        <w:t>However,</w:t>
      </w:r>
      <w:r w:rsidR="00C45C6D">
        <w:rPr>
          <w:rFonts w:ascii="Garamond" w:hAnsi="Garamond"/>
        </w:rPr>
        <w:t xml:space="preserve"> </w:t>
      </w:r>
      <w:r>
        <w:rPr>
          <w:rFonts w:ascii="Garamond" w:hAnsi="Garamond"/>
        </w:rPr>
        <w:t xml:space="preserve">in the literature, there is also evidence that female CEOs </w:t>
      </w:r>
      <w:r w:rsidR="0083230A">
        <w:rPr>
          <w:rFonts w:ascii="Garamond" w:hAnsi="Garamond"/>
        </w:rPr>
        <w:t>are associated with lower corporate leverage</w:t>
      </w:r>
      <w:r>
        <w:rPr>
          <w:rFonts w:ascii="Garamond" w:hAnsi="Garamond"/>
        </w:rPr>
        <w:t xml:space="preserve"> (</w:t>
      </w:r>
      <w:proofErr w:type="spellStart"/>
      <w:r>
        <w:rPr>
          <w:rFonts w:ascii="Garamond" w:hAnsi="Garamond"/>
        </w:rPr>
        <w:t>Faccio</w:t>
      </w:r>
      <w:proofErr w:type="spellEnd"/>
      <w:r>
        <w:rPr>
          <w:rFonts w:ascii="Garamond" w:hAnsi="Garamond"/>
        </w:rPr>
        <w:t xml:space="preserve"> et al., 2016). To alleviate the concern that the decrease in leverage may be the effect of the gender of the CEO rather than the CFO, Table </w:t>
      </w:r>
      <w:r w:rsidR="00113DF9">
        <w:rPr>
          <w:rFonts w:ascii="Garamond" w:hAnsi="Garamond"/>
        </w:rPr>
        <w:t>5</w:t>
      </w:r>
      <w:r>
        <w:rPr>
          <w:rFonts w:ascii="Garamond" w:hAnsi="Garamond"/>
        </w:rPr>
        <w:t xml:space="preserve"> reports the results </w:t>
      </w:r>
      <w:r w:rsidR="006C7A1F">
        <w:rPr>
          <w:rFonts w:ascii="Garamond" w:hAnsi="Garamond"/>
        </w:rPr>
        <w:t xml:space="preserve">of regressions </w:t>
      </w:r>
      <w:r>
        <w:rPr>
          <w:rFonts w:ascii="Garamond" w:hAnsi="Garamond"/>
        </w:rPr>
        <w:t xml:space="preserve">where we include an extra control variable </w:t>
      </w:r>
      <w:r w:rsidR="0083230A">
        <w:rPr>
          <w:rFonts w:ascii="Garamond" w:hAnsi="Garamond"/>
        </w:rPr>
        <w:t>for the presence of</w:t>
      </w:r>
      <w:r>
        <w:rPr>
          <w:rFonts w:ascii="Garamond" w:hAnsi="Garamond"/>
        </w:rPr>
        <w:t xml:space="preserve"> a female CEO, which equals one if the CEO is female</w:t>
      </w:r>
      <w:r w:rsidR="00F44692">
        <w:rPr>
          <w:rFonts w:ascii="Garamond" w:hAnsi="Garamond"/>
        </w:rPr>
        <w:t>,</w:t>
      </w:r>
      <w:r>
        <w:rPr>
          <w:rFonts w:ascii="Garamond" w:hAnsi="Garamond"/>
        </w:rPr>
        <w:t xml:space="preserve"> and zero otherwise. We find that</w:t>
      </w:r>
      <w:r w:rsidR="00D35389">
        <w:rPr>
          <w:rFonts w:ascii="Garamond" w:hAnsi="Garamond"/>
        </w:rPr>
        <w:t xml:space="preserve">, </w:t>
      </w:r>
      <w:r w:rsidR="003B2D2C">
        <w:rPr>
          <w:rFonts w:ascii="Garamond" w:hAnsi="Garamond"/>
        </w:rPr>
        <w:t>highly consistent with</w:t>
      </w:r>
      <w:r w:rsidR="00D35389">
        <w:rPr>
          <w:rFonts w:ascii="Garamond" w:hAnsi="Garamond"/>
        </w:rPr>
        <w:t xml:space="preserve"> our baseline regression in Table 4,</w:t>
      </w:r>
      <w:r>
        <w:rPr>
          <w:rFonts w:ascii="Garamond" w:hAnsi="Garamond"/>
        </w:rPr>
        <w:t xml:space="preserve"> the</w:t>
      </w:r>
      <w:r w:rsidR="003F3338">
        <w:rPr>
          <w:rFonts w:ascii="Garamond" w:hAnsi="Garamond"/>
        </w:rPr>
        <w:t xml:space="preserve"> </w:t>
      </w:r>
      <w:r w:rsidR="007456CF">
        <w:rPr>
          <w:rFonts w:ascii="Garamond" w:hAnsi="Garamond"/>
        </w:rPr>
        <w:t xml:space="preserve">average </w:t>
      </w:r>
      <w:r w:rsidR="003F3338">
        <w:rPr>
          <w:rFonts w:ascii="Garamond" w:hAnsi="Garamond"/>
        </w:rPr>
        <w:t>coefficient o</w:t>
      </w:r>
      <w:r w:rsidR="001116C9">
        <w:rPr>
          <w:rFonts w:ascii="Garamond" w:hAnsi="Garamond"/>
        </w:rPr>
        <w:t>n</w:t>
      </w:r>
      <w:r w:rsidR="00D35389">
        <w:rPr>
          <w:rFonts w:ascii="Garamond" w:hAnsi="Garamond"/>
        </w:rPr>
        <w:t xml:space="preserve"> the</w:t>
      </w:r>
      <w:r>
        <w:rPr>
          <w:rFonts w:ascii="Garamond" w:hAnsi="Garamond"/>
        </w:rPr>
        <w:t xml:space="preserve"> female CFO dummy variable is </w:t>
      </w:r>
      <w:r w:rsidR="00A33204">
        <w:rPr>
          <w:rFonts w:ascii="Garamond" w:hAnsi="Garamond"/>
        </w:rPr>
        <w:t>-</w:t>
      </w:r>
      <w:r w:rsidR="007456CF">
        <w:rPr>
          <w:rFonts w:ascii="Garamond" w:hAnsi="Garamond"/>
        </w:rPr>
        <w:t>0.</w:t>
      </w:r>
      <w:r w:rsidR="00521E36">
        <w:rPr>
          <w:rFonts w:ascii="Garamond" w:hAnsi="Garamond"/>
        </w:rPr>
        <w:t>0421</w:t>
      </w:r>
      <w:r w:rsidR="009F5B48">
        <w:rPr>
          <w:rFonts w:ascii="Garamond" w:hAnsi="Garamond"/>
        </w:rPr>
        <w:t>, even when controlling for CEO gender,</w:t>
      </w:r>
      <w:r w:rsidR="003F3338">
        <w:rPr>
          <w:rFonts w:ascii="Garamond" w:hAnsi="Garamond"/>
        </w:rPr>
        <w:t xml:space="preserve"> </w:t>
      </w:r>
      <w:r>
        <w:rPr>
          <w:rFonts w:ascii="Garamond" w:hAnsi="Garamond"/>
        </w:rPr>
        <w:t>and</w:t>
      </w:r>
      <w:r w:rsidR="009F5B48">
        <w:rPr>
          <w:rFonts w:ascii="Garamond" w:hAnsi="Garamond"/>
        </w:rPr>
        <w:t xml:space="preserve"> it remains</w:t>
      </w:r>
      <w:r>
        <w:rPr>
          <w:rFonts w:ascii="Garamond" w:hAnsi="Garamond"/>
        </w:rPr>
        <w:t xml:space="preserve"> statistically significant at the 5% level across all </w:t>
      </w:r>
      <w:r w:rsidR="00C0670F">
        <w:rPr>
          <w:rFonts w:ascii="Garamond" w:hAnsi="Garamond"/>
        </w:rPr>
        <w:t xml:space="preserve">six </w:t>
      </w:r>
      <w:r>
        <w:rPr>
          <w:rFonts w:ascii="Garamond" w:hAnsi="Garamond"/>
        </w:rPr>
        <w:t>specifications of our regression model.</w:t>
      </w:r>
      <w:r w:rsidR="00AE59BE">
        <w:rPr>
          <w:rFonts w:ascii="Garamond" w:hAnsi="Garamond"/>
        </w:rPr>
        <w:t xml:space="preserve"> </w:t>
      </w:r>
      <w:r w:rsidR="00C0228E">
        <w:rPr>
          <w:rFonts w:ascii="Garamond" w:hAnsi="Garamond"/>
        </w:rPr>
        <w:t>The economic significance of the female CFO gender effect on</w:t>
      </w:r>
      <w:r w:rsidR="00AE59BE">
        <w:rPr>
          <w:rFonts w:ascii="Garamond" w:hAnsi="Garamond"/>
        </w:rPr>
        <w:t xml:space="preserve"> corporate leverage </w:t>
      </w:r>
      <w:r w:rsidR="00C0228E">
        <w:rPr>
          <w:rFonts w:ascii="Garamond" w:hAnsi="Garamond"/>
        </w:rPr>
        <w:t>further</w:t>
      </w:r>
      <w:r w:rsidR="001116C9">
        <w:rPr>
          <w:rFonts w:ascii="Garamond" w:hAnsi="Garamond"/>
        </w:rPr>
        <w:t xml:space="preserve"> remains comparable at</w:t>
      </w:r>
      <w:r w:rsidR="00AE59BE">
        <w:rPr>
          <w:rFonts w:ascii="Garamond" w:hAnsi="Garamond"/>
        </w:rPr>
        <w:t xml:space="preserve"> </w:t>
      </w:r>
      <w:r w:rsidR="00EC6491">
        <w:rPr>
          <w:rFonts w:ascii="Garamond" w:hAnsi="Garamond"/>
        </w:rPr>
        <w:t>15</w:t>
      </w:r>
      <w:r w:rsidR="000A4ACE">
        <w:rPr>
          <w:rFonts w:ascii="Garamond" w:hAnsi="Garamond"/>
        </w:rPr>
        <w:t>.</w:t>
      </w:r>
      <w:r w:rsidR="007456CF">
        <w:rPr>
          <w:rFonts w:ascii="Garamond" w:hAnsi="Garamond"/>
        </w:rPr>
        <w:t>7</w:t>
      </w:r>
      <w:r w:rsidR="00AE59BE">
        <w:rPr>
          <w:rFonts w:ascii="Garamond" w:hAnsi="Garamond"/>
        </w:rPr>
        <w:t>% (</w:t>
      </w:r>
      <w:r w:rsidR="003B2F38">
        <w:rPr>
          <w:rFonts w:ascii="Garamond" w:hAnsi="Garamond"/>
        </w:rPr>
        <w:t xml:space="preserve">=coefficient on Female CFO Dummy / the average leverage </w:t>
      </w:r>
      <w:r w:rsidR="00AE59BE">
        <w:rPr>
          <w:rFonts w:ascii="Garamond" w:hAnsi="Garamond"/>
        </w:rPr>
        <w:t>=</w:t>
      </w:r>
      <w:r w:rsidR="00517B66">
        <w:rPr>
          <w:rFonts w:ascii="Garamond" w:hAnsi="Garamond"/>
        </w:rPr>
        <w:t>-</w:t>
      </w:r>
      <w:r w:rsidR="00AE59BE">
        <w:rPr>
          <w:rFonts w:ascii="Garamond" w:hAnsi="Garamond"/>
        </w:rPr>
        <w:t>0.</w:t>
      </w:r>
      <w:r w:rsidR="00521E36">
        <w:rPr>
          <w:rFonts w:ascii="Garamond" w:hAnsi="Garamond"/>
        </w:rPr>
        <w:t>0421</w:t>
      </w:r>
      <w:r w:rsidR="00AE59BE">
        <w:rPr>
          <w:rFonts w:ascii="Garamond" w:hAnsi="Garamond"/>
        </w:rPr>
        <w:t>/0.2</w:t>
      </w:r>
      <w:r w:rsidR="00EC6491">
        <w:rPr>
          <w:rFonts w:ascii="Garamond" w:hAnsi="Garamond"/>
        </w:rPr>
        <w:t>677</w:t>
      </w:r>
      <w:r w:rsidR="00AE59BE">
        <w:rPr>
          <w:rFonts w:ascii="Garamond" w:hAnsi="Garamond"/>
        </w:rPr>
        <w:t>), on average, compared to male CFOs.</w:t>
      </w:r>
      <w:r w:rsidR="00584312">
        <w:rPr>
          <w:rFonts w:ascii="Garamond" w:hAnsi="Garamond"/>
        </w:rPr>
        <w:t xml:space="preserve"> </w:t>
      </w:r>
      <w:r>
        <w:rPr>
          <w:rFonts w:ascii="Garamond" w:hAnsi="Garamond"/>
        </w:rPr>
        <w:t xml:space="preserve">We also find that although the female CEO dummy variable generates a </w:t>
      </w:r>
      <w:r w:rsidR="00914B86">
        <w:rPr>
          <w:rFonts w:ascii="Garamond" w:hAnsi="Garamond"/>
        </w:rPr>
        <w:t>positive</w:t>
      </w:r>
      <w:r>
        <w:rPr>
          <w:rFonts w:ascii="Garamond" w:hAnsi="Garamond"/>
        </w:rPr>
        <w:t xml:space="preserve"> coefficient, it is very small in magnitude and</w:t>
      </w:r>
      <w:r w:rsidR="00306683">
        <w:rPr>
          <w:rFonts w:ascii="Garamond" w:hAnsi="Garamond"/>
        </w:rPr>
        <w:t xml:space="preserve"> statistically</w:t>
      </w:r>
      <w:r>
        <w:rPr>
          <w:rFonts w:ascii="Garamond" w:hAnsi="Garamond"/>
        </w:rPr>
        <w:t xml:space="preserve"> insignificant. </w:t>
      </w:r>
      <w:r w:rsidR="00457197">
        <w:rPr>
          <w:rFonts w:ascii="Garamond" w:hAnsi="Garamond"/>
        </w:rPr>
        <w:t>Hence, the findings presented in Table 5 are highly consistent with the baseline specification in Table 4 and</w:t>
      </w:r>
      <w:r>
        <w:rPr>
          <w:rFonts w:ascii="Garamond" w:hAnsi="Garamond"/>
        </w:rPr>
        <w:t xml:space="preserve"> suggest that </w:t>
      </w:r>
      <w:r w:rsidR="00095FF6">
        <w:rPr>
          <w:rFonts w:ascii="Garamond" w:hAnsi="Garamond"/>
        </w:rPr>
        <w:t xml:space="preserve">the gender of the </w:t>
      </w:r>
      <w:r>
        <w:rPr>
          <w:rFonts w:ascii="Garamond" w:hAnsi="Garamond"/>
        </w:rPr>
        <w:t xml:space="preserve">CFO </w:t>
      </w:r>
      <w:r w:rsidR="00095FF6">
        <w:rPr>
          <w:rFonts w:ascii="Garamond" w:hAnsi="Garamond"/>
        </w:rPr>
        <w:t xml:space="preserve">is associated </w:t>
      </w:r>
      <w:r w:rsidR="00BE431D">
        <w:rPr>
          <w:rFonts w:ascii="Garamond" w:hAnsi="Garamond"/>
        </w:rPr>
        <w:t>with</w:t>
      </w:r>
      <w:r w:rsidR="00095FF6">
        <w:rPr>
          <w:rFonts w:ascii="Garamond" w:hAnsi="Garamond"/>
        </w:rPr>
        <w:t xml:space="preserve"> </w:t>
      </w:r>
      <w:r w:rsidR="00306683">
        <w:rPr>
          <w:rFonts w:ascii="Garamond" w:hAnsi="Garamond"/>
        </w:rPr>
        <w:t>corporate leverage,</w:t>
      </w:r>
      <w:r>
        <w:rPr>
          <w:rFonts w:ascii="Garamond" w:hAnsi="Garamond"/>
        </w:rPr>
        <w:t xml:space="preserve"> </w:t>
      </w:r>
      <w:r w:rsidR="00095FF6">
        <w:rPr>
          <w:rFonts w:ascii="Garamond" w:hAnsi="Garamond"/>
        </w:rPr>
        <w:t xml:space="preserve">and that it is not </w:t>
      </w:r>
      <w:r>
        <w:rPr>
          <w:rFonts w:ascii="Garamond" w:hAnsi="Garamond"/>
        </w:rPr>
        <w:t>female CEO</w:t>
      </w:r>
      <w:r w:rsidR="00095FF6">
        <w:rPr>
          <w:rFonts w:ascii="Garamond" w:hAnsi="Garamond"/>
        </w:rPr>
        <w:t xml:space="preserve">s </w:t>
      </w:r>
      <w:r w:rsidR="00F74931">
        <w:rPr>
          <w:rFonts w:ascii="Garamond" w:hAnsi="Garamond"/>
        </w:rPr>
        <w:t xml:space="preserve">who </w:t>
      </w:r>
      <w:r w:rsidR="00095FF6">
        <w:rPr>
          <w:rFonts w:ascii="Garamond" w:hAnsi="Garamond"/>
        </w:rPr>
        <w:t xml:space="preserve">lower corporate leverage in </w:t>
      </w:r>
      <w:r w:rsidR="00B3050A">
        <w:rPr>
          <w:rFonts w:ascii="Garamond" w:hAnsi="Garamond"/>
        </w:rPr>
        <w:t>UK corporations</w:t>
      </w:r>
      <w:r>
        <w:rPr>
          <w:rFonts w:ascii="Garamond" w:hAnsi="Garamond"/>
        </w:rPr>
        <w:t>.</w:t>
      </w:r>
      <w:r>
        <w:rPr>
          <w:rStyle w:val="a9"/>
          <w:rFonts w:ascii="Garamond" w:hAnsi="Garamond"/>
        </w:rPr>
        <w:footnoteReference w:id="8"/>
      </w:r>
      <w:r w:rsidR="00095FF6">
        <w:rPr>
          <w:rFonts w:ascii="Garamond" w:hAnsi="Garamond"/>
        </w:rPr>
        <w:t xml:space="preserve"> </w:t>
      </w:r>
      <w:r w:rsidR="00DB1EFD" w:rsidRPr="00D801F1">
        <w:rPr>
          <w:rFonts w:ascii="Garamond" w:hAnsi="Garamond"/>
        </w:rPr>
        <w:t>O</w:t>
      </w:r>
      <w:r w:rsidR="00095FF6">
        <w:rPr>
          <w:rFonts w:ascii="Garamond" w:hAnsi="Garamond"/>
        </w:rPr>
        <w:t xml:space="preserve">ur findings add to the existing literature which suggests that the gender of the CEO determines firms’ </w:t>
      </w:r>
      <w:r w:rsidR="00620088">
        <w:rPr>
          <w:rFonts w:ascii="Garamond" w:hAnsi="Garamond"/>
        </w:rPr>
        <w:t>leverage</w:t>
      </w:r>
      <w:r w:rsidR="0068192B">
        <w:rPr>
          <w:rFonts w:ascii="Garamond" w:hAnsi="Garamond"/>
        </w:rPr>
        <w:t>.</w:t>
      </w:r>
      <w:r w:rsidR="00DB1EFD">
        <w:rPr>
          <w:rFonts w:ascii="Garamond" w:hAnsi="Garamond"/>
        </w:rPr>
        <w:t xml:space="preserve"> For instance, </w:t>
      </w:r>
      <w:proofErr w:type="spellStart"/>
      <w:r w:rsidR="00095FF6">
        <w:rPr>
          <w:rFonts w:ascii="Garamond" w:hAnsi="Garamond"/>
        </w:rPr>
        <w:t>Faccio</w:t>
      </w:r>
      <w:proofErr w:type="spellEnd"/>
      <w:r w:rsidR="00095FF6">
        <w:rPr>
          <w:rFonts w:ascii="Garamond" w:hAnsi="Garamond"/>
        </w:rPr>
        <w:t xml:space="preserve"> et al</w:t>
      </w:r>
      <w:r w:rsidR="00DB1EFD">
        <w:rPr>
          <w:rFonts w:ascii="Garamond" w:hAnsi="Garamond"/>
        </w:rPr>
        <w:t>.</w:t>
      </w:r>
      <w:r w:rsidR="00095FF6">
        <w:rPr>
          <w:rFonts w:ascii="Garamond" w:hAnsi="Garamond"/>
        </w:rPr>
        <w:t xml:space="preserve"> </w:t>
      </w:r>
      <w:r w:rsidR="0068192B">
        <w:rPr>
          <w:rFonts w:ascii="Garamond" w:hAnsi="Garamond"/>
        </w:rPr>
        <w:t>(</w:t>
      </w:r>
      <w:r w:rsidR="00095FF6">
        <w:rPr>
          <w:rFonts w:ascii="Garamond" w:hAnsi="Garamond"/>
        </w:rPr>
        <w:t>2016</w:t>
      </w:r>
      <w:r w:rsidR="0068192B">
        <w:rPr>
          <w:rFonts w:ascii="Garamond" w:hAnsi="Garamond"/>
        </w:rPr>
        <w:t>)</w:t>
      </w:r>
      <w:r w:rsidR="0068192B" w:rsidDel="0068192B">
        <w:rPr>
          <w:rFonts w:ascii="Garamond" w:hAnsi="Garamond"/>
        </w:rPr>
        <w:t xml:space="preserve"> </w:t>
      </w:r>
      <w:r w:rsidR="0068192B">
        <w:rPr>
          <w:rFonts w:ascii="Garamond" w:hAnsi="Garamond"/>
        </w:rPr>
        <w:t xml:space="preserve">find that across a sample of </w:t>
      </w:r>
      <w:r w:rsidR="00C45C6D">
        <w:rPr>
          <w:rFonts w:ascii="Garamond" w:hAnsi="Garamond"/>
        </w:rPr>
        <w:t xml:space="preserve">18 </w:t>
      </w:r>
      <w:r w:rsidR="00E97956">
        <w:rPr>
          <w:rFonts w:ascii="Garamond" w:hAnsi="Garamond"/>
        </w:rPr>
        <w:t>countries</w:t>
      </w:r>
      <w:r w:rsidR="0068192B">
        <w:rPr>
          <w:rFonts w:ascii="Garamond" w:hAnsi="Garamond"/>
        </w:rPr>
        <w:t>, firms run by female CEOs</w:t>
      </w:r>
      <w:r w:rsidR="00F854FC">
        <w:rPr>
          <w:rFonts w:ascii="Garamond" w:hAnsi="Garamond"/>
        </w:rPr>
        <w:t xml:space="preserve"> </w:t>
      </w:r>
      <w:r w:rsidR="00C93A94">
        <w:rPr>
          <w:rFonts w:ascii="Garamond" w:hAnsi="Garamond"/>
        </w:rPr>
        <w:t>take on less debt</w:t>
      </w:r>
      <w:r w:rsidR="00F854FC">
        <w:rPr>
          <w:rFonts w:ascii="Garamond" w:hAnsi="Garamond"/>
        </w:rPr>
        <w:t xml:space="preserve"> while for our sample of UK </w:t>
      </w:r>
      <w:proofErr w:type="gramStart"/>
      <w:r w:rsidR="00F854FC">
        <w:rPr>
          <w:rFonts w:ascii="Garamond" w:hAnsi="Garamond"/>
        </w:rPr>
        <w:t>firms,</w:t>
      </w:r>
      <w:proofErr w:type="gramEnd"/>
      <w:r w:rsidR="00F854FC">
        <w:rPr>
          <w:rFonts w:ascii="Garamond" w:hAnsi="Garamond"/>
        </w:rPr>
        <w:t xml:space="preserve"> </w:t>
      </w:r>
      <w:r w:rsidR="00C212AA">
        <w:rPr>
          <w:rFonts w:ascii="Garamond" w:hAnsi="Garamond"/>
        </w:rPr>
        <w:t xml:space="preserve">we show </w:t>
      </w:r>
      <w:r w:rsidR="00F854FC">
        <w:rPr>
          <w:rFonts w:ascii="Garamond" w:hAnsi="Garamond"/>
        </w:rPr>
        <w:t>that it is in fact the female CFO that significantly reduces the leverage of a firm, no</w:t>
      </w:r>
      <w:r w:rsidR="00E97956">
        <w:rPr>
          <w:rFonts w:ascii="Garamond" w:hAnsi="Garamond"/>
        </w:rPr>
        <w:t>t</w:t>
      </w:r>
      <w:r w:rsidR="00F854FC">
        <w:rPr>
          <w:rFonts w:ascii="Garamond" w:hAnsi="Garamond"/>
        </w:rPr>
        <w:t xml:space="preserve"> the female CEO.</w:t>
      </w:r>
      <w:r w:rsidR="00EA280C">
        <w:rPr>
          <w:rFonts w:ascii="Garamond" w:hAnsi="Garamond"/>
        </w:rPr>
        <w:t xml:space="preserve"> However, more than 95% of the firm-year observations analysed in </w:t>
      </w:r>
      <w:proofErr w:type="spellStart"/>
      <w:r w:rsidR="00EA280C">
        <w:rPr>
          <w:rFonts w:ascii="Garamond" w:hAnsi="Garamond"/>
        </w:rPr>
        <w:t>Faccio</w:t>
      </w:r>
      <w:proofErr w:type="spellEnd"/>
      <w:r w:rsidR="00EA280C">
        <w:rPr>
          <w:rFonts w:ascii="Garamond" w:hAnsi="Garamond"/>
        </w:rPr>
        <w:t xml:space="preserve"> et al. (2016) </w:t>
      </w:r>
      <w:r w:rsidR="00D6169C">
        <w:rPr>
          <w:rFonts w:ascii="Garamond" w:hAnsi="Garamond"/>
        </w:rPr>
        <w:t xml:space="preserve">relate to private companies while our sample is restricted to publicly listed firms only. </w:t>
      </w:r>
      <w:r w:rsidR="00E91046">
        <w:rPr>
          <w:rFonts w:ascii="Garamond" w:hAnsi="Garamond"/>
        </w:rPr>
        <w:t>I</w:t>
      </w:r>
      <w:r w:rsidR="00D6169C">
        <w:rPr>
          <w:rFonts w:ascii="Garamond" w:hAnsi="Garamond"/>
        </w:rPr>
        <w:t xml:space="preserve">t can be assumed that </w:t>
      </w:r>
      <w:r w:rsidR="00040F88">
        <w:rPr>
          <w:rFonts w:ascii="Garamond" w:hAnsi="Garamond"/>
        </w:rPr>
        <w:t xml:space="preserve">in private firms the CEO </w:t>
      </w:r>
      <w:r w:rsidR="00C34AEA">
        <w:rPr>
          <w:rFonts w:ascii="Garamond" w:hAnsi="Garamond"/>
        </w:rPr>
        <w:t xml:space="preserve">has direct oversight and responsibility for a broader set of corporate policies, among them being corporate capital structure, while in larger, more complex publicly listed firms these responsibilities are </w:t>
      </w:r>
      <w:r w:rsidR="00F47CE6">
        <w:rPr>
          <w:rFonts w:ascii="Garamond" w:hAnsi="Garamond"/>
        </w:rPr>
        <w:t>more divided among the executive team</w:t>
      </w:r>
      <w:r w:rsidR="00B00FE4">
        <w:rPr>
          <w:rFonts w:ascii="Garamond" w:hAnsi="Garamond"/>
        </w:rPr>
        <w:t xml:space="preserve"> and CFOs are expected to have greater oversight and responsibility over </w:t>
      </w:r>
      <w:r w:rsidR="00546503">
        <w:rPr>
          <w:rFonts w:ascii="Garamond" w:hAnsi="Garamond"/>
        </w:rPr>
        <w:t>firms’ capital structure</w:t>
      </w:r>
      <w:r w:rsidR="00B03CF2">
        <w:rPr>
          <w:rFonts w:ascii="Garamond" w:hAnsi="Garamond"/>
        </w:rPr>
        <w:t xml:space="preserve">. </w:t>
      </w:r>
      <w:r w:rsidR="00B00FE4">
        <w:rPr>
          <w:rFonts w:ascii="Garamond" w:hAnsi="Garamond"/>
        </w:rPr>
        <w:t>Hence, o</w:t>
      </w:r>
      <w:r w:rsidR="00656D41">
        <w:rPr>
          <w:rFonts w:ascii="Garamond" w:hAnsi="Garamond"/>
        </w:rPr>
        <w:t xml:space="preserve">ur results contribute to </w:t>
      </w:r>
      <w:proofErr w:type="spellStart"/>
      <w:r w:rsidR="00656D41">
        <w:rPr>
          <w:rFonts w:ascii="Garamond" w:hAnsi="Garamond"/>
        </w:rPr>
        <w:lastRenderedPageBreak/>
        <w:t>Faccio</w:t>
      </w:r>
      <w:proofErr w:type="spellEnd"/>
      <w:r w:rsidR="00656D41">
        <w:rPr>
          <w:rFonts w:ascii="Garamond" w:hAnsi="Garamond"/>
        </w:rPr>
        <w:t xml:space="preserve"> et al. (2016)’s findings by highlighting the importance of accounting for the corporate setting</w:t>
      </w:r>
      <w:r w:rsidR="00B5467B">
        <w:rPr>
          <w:rFonts w:ascii="Garamond" w:hAnsi="Garamond"/>
        </w:rPr>
        <w:t xml:space="preserve"> when analysing the effect of </w:t>
      </w:r>
      <w:r w:rsidR="00732A39">
        <w:rPr>
          <w:rFonts w:ascii="Garamond" w:hAnsi="Garamond"/>
        </w:rPr>
        <w:t>gender effects</w:t>
      </w:r>
      <w:r w:rsidR="00B5467B">
        <w:rPr>
          <w:rFonts w:ascii="Garamond" w:hAnsi="Garamond"/>
        </w:rPr>
        <w:t xml:space="preserve"> on corporate policies</w:t>
      </w:r>
      <w:r w:rsidR="00F47CE6">
        <w:rPr>
          <w:rFonts w:ascii="Garamond" w:hAnsi="Garamond"/>
        </w:rPr>
        <w:t>.</w:t>
      </w:r>
    </w:p>
    <w:p w:rsidR="008F0941" w:rsidRDefault="008F0941" w:rsidP="000E4A73">
      <w:pPr>
        <w:spacing w:line="360" w:lineRule="auto"/>
        <w:jc w:val="both"/>
        <w:rPr>
          <w:rFonts w:ascii="Garamond" w:hAnsi="Garamond"/>
        </w:rPr>
      </w:pPr>
    </w:p>
    <w:p w:rsidR="00384079" w:rsidRDefault="00427DD7" w:rsidP="00D0508D">
      <w:pPr>
        <w:jc w:val="both"/>
        <w:rPr>
          <w:rFonts w:ascii="Garamond" w:hAnsi="Garamond"/>
          <w:i/>
        </w:rPr>
      </w:pPr>
      <w:r>
        <w:rPr>
          <w:rFonts w:ascii="Garamond" w:hAnsi="Garamond"/>
          <w:i/>
        </w:rPr>
        <w:t>4</w:t>
      </w:r>
      <w:r w:rsidR="00384079" w:rsidRPr="00912F27">
        <w:rPr>
          <w:rFonts w:ascii="Garamond" w:hAnsi="Garamond"/>
          <w:i/>
        </w:rPr>
        <w:t>.</w:t>
      </w:r>
      <w:r w:rsidR="00113DF9">
        <w:rPr>
          <w:rFonts w:ascii="Garamond" w:hAnsi="Garamond"/>
          <w:i/>
        </w:rPr>
        <w:t>3</w:t>
      </w:r>
      <w:r w:rsidR="00384079" w:rsidRPr="00912F27">
        <w:rPr>
          <w:rFonts w:ascii="Garamond" w:hAnsi="Garamond"/>
          <w:i/>
        </w:rPr>
        <w:t>. Female CFO</w:t>
      </w:r>
      <w:r w:rsidR="00160141">
        <w:rPr>
          <w:rFonts w:ascii="Garamond" w:hAnsi="Garamond"/>
          <w:i/>
        </w:rPr>
        <w:t>s</w:t>
      </w:r>
      <w:r w:rsidR="00384079" w:rsidRPr="00912F27">
        <w:rPr>
          <w:rFonts w:ascii="Garamond" w:hAnsi="Garamond"/>
          <w:i/>
        </w:rPr>
        <w:t xml:space="preserve"> and Board Diversity</w:t>
      </w:r>
    </w:p>
    <w:p w:rsidR="00997AEC" w:rsidRPr="00912F27" w:rsidRDefault="00997AEC" w:rsidP="00D0508D">
      <w:pPr>
        <w:jc w:val="both"/>
        <w:rPr>
          <w:rFonts w:ascii="Garamond" w:hAnsi="Garamond"/>
          <w:i/>
        </w:rPr>
      </w:pPr>
    </w:p>
    <w:p w:rsidR="00D34C4E" w:rsidRDefault="00DD6DDD" w:rsidP="000E4A73">
      <w:pPr>
        <w:spacing w:line="360" w:lineRule="auto"/>
        <w:jc w:val="both"/>
        <w:rPr>
          <w:rFonts w:ascii="Garamond" w:hAnsi="Garamond"/>
        </w:rPr>
      </w:pPr>
      <w:r>
        <w:rPr>
          <w:rFonts w:ascii="Garamond" w:hAnsi="Garamond"/>
        </w:rPr>
        <w:t xml:space="preserve">The </w:t>
      </w:r>
      <w:r w:rsidR="002D6E97">
        <w:rPr>
          <w:rFonts w:ascii="Garamond" w:hAnsi="Garamond"/>
        </w:rPr>
        <w:t xml:space="preserve">previous section reported that firms with female CFOs </w:t>
      </w:r>
      <w:r>
        <w:rPr>
          <w:rFonts w:ascii="Garamond" w:hAnsi="Garamond"/>
        </w:rPr>
        <w:t>are associated with a lower leverage than</w:t>
      </w:r>
      <w:r w:rsidR="002D6E97">
        <w:rPr>
          <w:rFonts w:ascii="Garamond" w:hAnsi="Garamond"/>
        </w:rPr>
        <w:t xml:space="preserve"> firms with male CFOs. </w:t>
      </w:r>
      <w:r w:rsidR="00AC03EE">
        <w:rPr>
          <w:rFonts w:ascii="Garamond" w:hAnsi="Garamond"/>
        </w:rPr>
        <w:t>However,</w:t>
      </w:r>
      <w:r w:rsidR="002D6E97">
        <w:rPr>
          <w:rFonts w:ascii="Garamond" w:hAnsi="Garamond"/>
        </w:rPr>
        <w:t xml:space="preserve"> the relationship between the CFO and the board may </w:t>
      </w:r>
      <w:r w:rsidR="00CB5AFF">
        <w:rPr>
          <w:rFonts w:ascii="Garamond" w:hAnsi="Garamond"/>
        </w:rPr>
        <w:t xml:space="preserve">play an important </w:t>
      </w:r>
      <w:r w:rsidR="003F1948">
        <w:rPr>
          <w:rFonts w:ascii="Garamond" w:hAnsi="Garamond"/>
        </w:rPr>
        <w:t>role</w:t>
      </w:r>
      <w:r w:rsidR="00CB5AFF">
        <w:rPr>
          <w:rFonts w:ascii="Garamond" w:hAnsi="Garamond"/>
        </w:rPr>
        <w:t xml:space="preserve"> </w:t>
      </w:r>
      <w:r w:rsidR="001B0981">
        <w:rPr>
          <w:rFonts w:ascii="Garamond" w:hAnsi="Garamond"/>
        </w:rPr>
        <w:t xml:space="preserve">regarding </w:t>
      </w:r>
      <w:r w:rsidR="00CB5AFF">
        <w:rPr>
          <w:rFonts w:ascii="Garamond" w:hAnsi="Garamond"/>
        </w:rPr>
        <w:t>the</w:t>
      </w:r>
      <w:r w:rsidR="00704EFB">
        <w:rPr>
          <w:rFonts w:ascii="Garamond" w:hAnsi="Garamond"/>
        </w:rPr>
        <w:t xml:space="preserve"> managerial discretion and</w:t>
      </w:r>
      <w:r w:rsidR="00CB5AFF">
        <w:rPr>
          <w:rFonts w:ascii="Garamond" w:hAnsi="Garamond"/>
        </w:rPr>
        <w:t xml:space="preserve"> ability of the CFO to influence the </w:t>
      </w:r>
      <w:r w:rsidR="00ED4CDA">
        <w:rPr>
          <w:rFonts w:ascii="Garamond" w:hAnsi="Garamond"/>
        </w:rPr>
        <w:t>corporate leverage</w:t>
      </w:r>
      <w:r w:rsidR="00CB5AFF">
        <w:rPr>
          <w:rFonts w:ascii="Garamond" w:hAnsi="Garamond"/>
        </w:rPr>
        <w:t>.</w:t>
      </w:r>
      <w:r w:rsidR="00B50053">
        <w:rPr>
          <w:rFonts w:ascii="Garamond" w:hAnsi="Garamond"/>
        </w:rPr>
        <w:t xml:space="preserve"> While previous research has found that diverse boards have a positive effect on the persistence of corporate policies including firm leverage and are associated with lower risk-taking (e.g. </w:t>
      </w:r>
      <w:proofErr w:type="spellStart"/>
      <w:r w:rsidR="00B50053">
        <w:rPr>
          <w:rFonts w:ascii="Garamond" w:hAnsi="Garamond"/>
        </w:rPr>
        <w:t>Bernile</w:t>
      </w:r>
      <w:proofErr w:type="spellEnd"/>
      <w:r w:rsidR="00B50053">
        <w:rPr>
          <w:rFonts w:ascii="Garamond" w:hAnsi="Garamond"/>
        </w:rPr>
        <w:t xml:space="preserve"> et al., 2018), to the best of our knowledge no previous study has investigated whether </w:t>
      </w:r>
      <w:r w:rsidR="00095FF6">
        <w:rPr>
          <w:rFonts w:ascii="Garamond" w:hAnsi="Garamond"/>
        </w:rPr>
        <w:t xml:space="preserve">the degree of </w:t>
      </w:r>
      <w:r w:rsidR="00B50053">
        <w:rPr>
          <w:rFonts w:ascii="Garamond" w:hAnsi="Garamond"/>
        </w:rPr>
        <w:t xml:space="preserve">board diversity might have a moderating or enhancing effect on </w:t>
      </w:r>
      <w:r w:rsidR="003F5D00">
        <w:rPr>
          <w:rFonts w:ascii="Garamond" w:hAnsi="Garamond"/>
        </w:rPr>
        <w:t>executives’</w:t>
      </w:r>
      <w:r w:rsidR="00B50053">
        <w:rPr>
          <w:rFonts w:ascii="Garamond" w:hAnsi="Garamond"/>
        </w:rPr>
        <w:t xml:space="preserve"> impact on corporate policies. </w:t>
      </w:r>
      <w:r w:rsidR="00095FF6">
        <w:rPr>
          <w:rFonts w:ascii="Garamond" w:hAnsi="Garamond"/>
        </w:rPr>
        <w:t xml:space="preserve">In hypothesis </w:t>
      </w:r>
      <w:r w:rsidR="00095FF6" w:rsidRPr="00113DF9">
        <w:rPr>
          <w:rFonts w:ascii="Garamond" w:hAnsi="Garamond"/>
          <w:i/>
        </w:rPr>
        <w:t>H</w:t>
      </w:r>
      <w:r w:rsidR="00BF22DC">
        <w:rPr>
          <w:rFonts w:ascii="Garamond" w:hAnsi="Garamond"/>
          <w:i/>
        </w:rPr>
        <w:t>2</w:t>
      </w:r>
      <w:r w:rsidR="00095FF6">
        <w:rPr>
          <w:rFonts w:ascii="Garamond" w:hAnsi="Garamond"/>
        </w:rPr>
        <w:t>, we argue that only in more diverse boards do female CFOs have a significant negative impact on firm leverage. To examine this hypothesis, we estimate</w:t>
      </w:r>
      <w:r w:rsidR="002D6E97">
        <w:rPr>
          <w:rFonts w:ascii="Garamond" w:hAnsi="Garamond"/>
        </w:rPr>
        <w:t xml:space="preserve"> the effect of female CFOs on firm </w:t>
      </w:r>
      <w:r w:rsidR="000A111A">
        <w:rPr>
          <w:rFonts w:ascii="Garamond" w:hAnsi="Garamond"/>
        </w:rPr>
        <w:t>leverage</w:t>
      </w:r>
      <w:r w:rsidR="002D6E97">
        <w:rPr>
          <w:rFonts w:ascii="Garamond" w:hAnsi="Garamond"/>
        </w:rPr>
        <w:t xml:space="preserve"> under different levels of board diversity. Specifically, we</w:t>
      </w:r>
      <w:r w:rsidR="00CB5AFF">
        <w:rPr>
          <w:rFonts w:ascii="Garamond" w:hAnsi="Garamond"/>
        </w:rPr>
        <w:t xml:space="preserve"> initially</w:t>
      </w:r>
      <w:r w:rsidR="002D6E97">
        <w:rPr>
          <w:rFonts w:ascii="Garamond" w:hAnsi="Garamond"/>
        </w:rPr>
        <w:t xml:space="preserve"> split </w:t>
      </w:r>
      <w:r w:rsidR="00CB5AFF">
        <w:rPr>
          <w:rFonts w:ascii="Garamond" w:hAnsi="Garamond"/>
        </w:rPr>
        <w:t xml:space="preserve">our sample into ten deciles based on board gender diversity, board nationality diversity, board age diversity and board aggregate diversity, and then </w:t>
      </w:r>
      <w:r w:rsidR="00095FF6">
        <w:rPr>
          <w:rFonts w:ascii="Garamond" w:hAnsi="Garamond"/>
        </w:rPr>
        <w:t>aggregate</w:t>
      </w:r>
      <w:r w:rsidR="00CB5AFF">
        <w:rPr>
          <w:rFonts w:ascii="Garamond" w:hAnsi="Garamond"/>
        </w:rPr>
        <w:t xml:space="preserve"> the three lowest deciles, the middle four deciles and the highest three deciles, denoting the low, middle and high levels of diversity.</w:t>
      </w:r>
    </w:p>
    <w:p w:rsidR="00D34C4E" w:rsidRDefault="00D34C4E" w:rsidP="000E4A73">
      <w:pPr>
        <w:spacing w:line="360" w:lineRule="auto"/>
        <w:jc w:val="both"/>
        <w:rPr>
          <w:rFonts w:ascii="Garamond" w:hAnsi="Garamond"/>
        </w:rPr>
      </w:pPr>
    </w:p>
    <w:p w:rsidR="00AE1531" w:rsidRDefault="00CB5AFF" w:rsidP="000E4A73">
      <w:pPr>
        <w:spacing w:line="360" w:lineRule="auto"/>
        <w:jc w:val="both"/>
        <w:rPr>
          <w:rFonts w:ascii="Garamond" w:hAnsi="Garamond"/>
        </w:rPr>
      </w:pPr>
      <w:r>
        <w:rPr>
          <w:rFonts w:ascii="Garamond" w:hAnsi="Garamond"/>
        </w:rPr>
        <w:t xml:space="preserve">Table </w:t>
      </w:r>
      <w:r w:rsidR="001C4449">
        <w:rPr>
          <w:rFonts w:ascii="Garamond" w:hAnsi="Garamond"/>
        </w:rPr>
        <w:t>6</w:t>
      </w:r>
      <w:r>
        <w:rPr>
          <w:rFonts w:ascii="Garamond" w:hAnsi="Garamond"/>
        </w:rPr>
        <w:t xml:space="preserve"> present</w:t>
      </w:r>
      <w:r w:rsidR="001C4DFC">
        <w:rPr>
          <w:rFonts w:ascii="Garamond" w:hAnsi="Garamond"/>
        </w:rPr>
        <w:t>s</w:t>
      </w:r>
      <w:r w:rsidR="004E5974">
        <w:rPr>
          <w:rFonts w:ascii="Garamond" w:hAnsi="Garamond"/>
        </w:rPr>
        <w:t xml:space="preserve"> our </w:t>
      </w:r>
      <w:r w:rsidR="001C4449">
        <w:rPr>
          <w:rFonts w:ascii="Garamond" w:hAnsi="Garamond"/>
        </w:rPr>
        <w:t>findings</w:t>
      </w:r>
      <w:r w:rsidR="007360EA">
        <w:rPr>
          <w:rFonts w:ascii="Garamond" w:hAnsi="Garamond"/>
        </w:rPr>
        <w:t xml:space="preserve"> and</w:t>
      </w:r>
      <w:r w:rsidR="00CF11D0">
        <w:rPr>
          <w:rFonts w:ascii="Garamond" w:hAnsi="Garamond"/>
        </w:rPr>
        <w:t xml:space="preserve"> </w:t>
      </w:r>
      <w:r w:rsidR="001C4449">
        <w:rPr>
          <w:rFonts w:ascii="Garamond" w:hAnsi="Garamond"/>
        </w:rPr>
        <w:t>show</w:t>
      </w:r>
      <w:r w:rsidR="002F7F88">
        <w:rPr>
          <w:rFonts w:ascii="Garamond" w:hAnsi="Garamond"/>
        </w:rPr>
        <w:t>s</w:t>
      </w:r>
      <w:r w:rsidR="00CF11D0">
        <w:rPr>
          <w:rFonts w:ascii="Garamond" w:hAnsi="Garamond"/>
        </w:rPr>
        <w:t xml:space="preserve"> that female CFOs </w:t>
      </w:r>
      <w:r w:rsidR="00051570">
        <w:rPr>
          <w:rFonts w:ascii="Garamond" w:hAnsi="Garamond"/>
        </w:rPr>
        <w:t xml:space="preserve">are associated </w:t>
      </w:r>
      <w:r w:rsidR="00036093">
        <w:rPr>
          <w:rFonts w:ascii="Garamond" w:hAnsi="Garamond"/>
        </w:rPr>
        <w:t>with</w:t>
      </w:r>
      <w:r w:rsidR="00051570">
        <w:rPr>
          <w:rFonts w:ascii="Garamond" w:hAnsi="Garamond"/>
        </w:rPr>
        <w:t xml:space="preserve"> lower leverage only in firms</w:t>
      </w:r>
      <w:r w:rsidR="00C75F14">
        <w:rPr>
          <w:rFonts w:ascii="Garamond" w:hAnsi="Garamond"/>
        </w:rPr>
        <w:t xml:space="preserve"> with higher levels of board diversity across all four diversity measures. Looking at the first three columns of Panel A, </w:t>
      </w:r>
      <w:r w:rsidR="00E13414">
        <w:rPr>
          <w:rFonts w:ascii="Garamond" w:hAnsi="Garamond"/>
        </w:rPr>
        <w:t xml:space="preserve">our results </w:t>
      </w:r>
      <w:r w:rsidR="00DA1813">
        <w:rPr>
          <w:rFonts w:ascii="Garamond" w:hAnsi="Garamond"/>
        </w:rPr>
        <w:t>demonstrate</w:t>
      </w:r>
      <w:r w:rsidR="00E13414">
        <w:rPr>
          <w:rFonts w:ascii="Garamond" w:hAnsi="Garamond"/>
        </w:rPr>
        <w:t xml:space="preserve"> that </w:t>
      </w:r>
      <w:r w:rsidR="00CF11D0">
        <w:rPr>
          <w:rFonts w:ascii="Garamond" w:hAnsi="Garamond"/>
        </w:rPr>
        <w:t xml:space="preserve">female CFOs only significantly reduce </w:t>
      </w:r>
      <w:r w:rsidR="00E13414">
        <w:rPr>
          <w:rFonts w:ascii="Garamond" w:hAnsi="Garamond"/>
        </w:rPr>
        <w:t>leverage</w:t>
      </w:r>
      <w:r w:rsidR="00CF11D0">
        <w:rPr>
          <w:rFonts w:ascii="Garamond" w:hAnsi="Garamond"/>
        </w:rPr>
        <w:t xml:space="preserve"> in </w:t>
      </w:r>
      <w:r w:rsidR="00293974">
        <w:rPr>
          <w:rFonts w:ascii="Garamond" w:hAnsi="Garamond"/>
        </w:rPr>
        <w:t xml:space="preserve">firms with </w:t>
      </w:r>
      <w:r w:rsidR="00D34C4E">
        <w:rPr>
          <w:rFonts w:ascii="Garamond" w:hAnsi="Garamond"/>
        </w:rPr>
        <w:t xml:space="preserve">middle and high </w:t>
      </w:r>
      <w:r w:rsidR="00CF11D0">
        <w:rPr>
          <w:rFonts w:ascii="Garamond" w:hAnsi="Garamond"/>
        </w:rPr>
        <w:t xml:space="preserve">gender diverse boards. This </w:t>
      </w:r>
      <w:r w:rsidR="00DA1813">
        <w:rPr>
          <w:rFonts w:ascii="Garamond" w:hAnsi="Garamond"/>
        </w:rPr>
        <w:t xml:space="preserve">indicates </w:t>
      </w:r>
      <w:r w:rsidR="00CF11D0">
        <w:rPr>
          <w:rFonts w:ascii="Garamond" w:hAnsi="Garamond"/>
        </w:rPr>
        <w:t xml:space="preserve">that female CFOs have the greatest influence on the </w:t>
      </w:r>
      <w:r w:rsidR="00F31AF5">
        <w:rPr>
          <w:rFonts w:ascii="Garamond" w:hAnsi="Garamond"/>
        </w:rPr>
        <w:t>leverage</w:t>
      </w:r>
      <w:r w:rsidR="00CF11D0">
        <w:rPr>
          <w:rFonts w:ascii="Garamond" w:hAnsi="Garamond"/>
        </w:rPr>
        <w:t xml:space="preserve"> of the firm when there is a high level of female </w:t>
      </w:r>
      <w:r w:rsidR="00095FF6">
        <w:rPr>
          <w:rFonts w:ascii="Garamond" w:hAnsi="Garamond"/>
        </w:rPr>
        <w:t xml:space="preserve">representation </w:t>
      </w:r>
      <w:r w:rsidR="00CF11D0">
        <w:rPr>
          <w:rFonts w:ascii="Garamond" w:hAnsi="Garamond"/>
        </w:rPr>
        <w:t xml:space="preserve">on the board. </w:t>
      </w:r>
      <w:r w:rsidR="00175C36">
        <w:rPr>
          <w:rFonts w:ascii="Garamond" w:hAnsi="Garamond"/>
        </w:rPr>
        <w:t>In addition,</w:t>
      </w:r>
      <w:r w:rsidR="00CF11D0" w:rsidRPr="00814355">
        <w:rPr>
          <w:rFonts w:ascii="Garamond" w:hAnsi="Garamond"/>
        </w:rPr>
        <w:t xml:space="preserve"> </w:t>
      </w:r>
      <w:r w:rsidR="00095FF6" w:rsidRPr="00814355">
        <w:rPr>
          <w:rFonts w:ascii="Garamond" w:hAnsi="Garamond"/>
        </w:rPr>
        <w:t xml:space="preserve">while the coefficient estimate on the </w:t>
      </w:r>
      <w:r w:rsidR="00CF11D0" w:rsidRPr="00814355">
        <w:rPr>
          <w:rFonts w:ascii="Garamond" w:hAnsi="Garamond"/>
        </w:rPr>
        <w:t>female CFO</w:t>
      </w:r>
      <w:r w:rsidR="00095FF6" w:rsidRPr="00814355">
        <w:rPr>
          <w:rFonts w:ascii="Garamond" w:hAnsi="Garamond"/>
        </w:rPr>
        <w:t xml:space="preserve"> dummy is negative for</w:t>
      </w:r>
      <w:r w:rsidR="00CF11D0" w:rsidRPr="00814355">
        <w:rPr>
          <w:rFonts w:ascii="Garamond" w:hAnsi="Garamond"/>
        </w:rPr>
        <w:t xml:space="preserve"> all levels of board nationality diversity,</w:t>
      </w:r>
      <w:r w:rsidR="00095FF6" w:rsidRPr="00814355">
        <w:rPr>
          <w:rFonts w:ascii="Garamond" w:hAnsi="Garamond"/>
        </w:rPr>
        <w:t xml:space="preserve"> we only find a significant negative effect of female CFOs on leverage</w:t>
      </w:r>
      <w:r w:rsidR="00CF11D0" w:rsidRPr="00814355">
        <w:rPr>
          <w:rFonts w:ascii="Garamond" w:hAnsi="Garamond"/>
        </w:rPr>
        <w:t xml:space="preserve"> in board</w:t>
      </w:r>
      <w:r w:rsidR="00A64DC6" w:rsidRPr="00814355">
        <w:rPr>
          <w:rFonts w:ascii="Garamond" w:hAnsi="Garamond"/>
        </w:rPr>
        <w:t>s</w:t>
      </w:r>
      <w:r w:rsidR="00CF11D0" w:rsidRPr="00814355">
        <w:rPr>
          <w:rFonts w:ascii="Garamond" w:hAnsi="Garamond"/>
        </w:rPr>
        <w:t xml:space="preserve"> that </w:t>
      </w:r>
      <w:r w:rsidR="00C006A1">
        <w:rPr>
          <w:rFonts w:ascii="Garamond" w:hAnsi="Garamond"/>
        </w:rPr>
        <w:t>are</w:t>
      </w:r>
      <w:r w:rsidR="00A64DC6" w:rsidRPr="00814355">
        <w:rPr>
          <w:rFonts w:ascii="Garamond" w:hAnsi="Garamond"/>
        </w:rPr>
        <w:t xml:space="preserve"> highly diverse </w:t>
      </w:r>
      <w:r w:rsidR="00B414F5">
        <w:rPr>
          <w:rFonts w:ascii="Garamond" w:hAnsi="Garamond"/>
        </w:rPr>
        <w:t xml:space="preserve">in the </w:t>
      </w:r>
      <w:r w:rsidR="00A64DC6" w:rsidRPr="00814355">
        <w:rPr>
          <w:rFonts w:ascii="Garamond" w:hAnsi="Garamond"/>
        </w:rPr>
        <w:t>nationalit</w:t>
      </w:r>
      <w:r w:rsidR="00B414F5">
        <w:rPr>
          <w:rFonts w:ascii="Garamond" w:hAnsi="Garamond"/>
        </w:rPr>
        <w:t>ies of their board members</w:t>
      </w:r>
      <w:r w:rsidR="00A64DC6" w:rsidRPr="00814355">
        <w:rPr>
          <w:rFonts w:ascii="Garamond" w:hAnsi="Garamond"/>
        </w:rPr>
        <w:t xml:space="preserve">. </w:t>
      </w:r>
      <w:r w:rsidR="00AE1531">
        <w:rPr>
          <w:rFonts w:ascii="Garamond" w:hAnsi="Garamond"/>
        </w:rPr>
        <w:t>Panel B</w:t>
      </w:r>
      <w:r w:rsidR="00A64DC6">
        <w:rPr>
          <w:rFonts w:ascii="Garamond" w:hAnsi="Garamond"/>
        </w:rPr>
        <w:t xml:space="preserve"> reports the results for different levels of age diversity and different levels of board aggregate diversity and show</w:t>
      </w:r>
      <w:r w:rsidR="00293974">
        <w:rPr>
          <w:rFonts w:ascii="Garamond" w:hAnsi="Garamond"/>
        </w:rPr>
        <w:t>s</w:t>
      </w:r>
      <w:r w:rsidR="00A64DC6">
        <w:rPr>
          <w:rFonts w:ascii="Garamond" w:hAnsi="Garamond"/>
        </w:rPr>
        <w:t xml:space="preserve"> that female CFOs reduce </w:t>
      </w:r>
      <w:r w:rsidR="005A6D3F">
        <w:rPr>
          <w:rFonts w:ascii="Garamond" w:hAnsi="Garamond"/>
        </w:rPr>
        <w:t>leverage for every degree of</w:t>
      </w:r>
      <w:r w:rsidR="00A64DC6">
        <w:rPr>
          <w:rFonts w:ascii="Garamond" w:hAnsi="Garamond"/>
        </w:rPr>
        <w:t xml:space="preserve"> board age diversity, although only significantly when the board age diversity is in the middle decile</w:t>
      </w:r>
      <w:r w:rsidR="00D34C4E">
        <w:rPr>
          <w:rFonts w:ascii="Garamond" w:hAnsi="Garamond"/>
        </w:rPr>
        <w:t>s</w:t>
      </w:r>
      <w:r w:rsidR="003F5D00">
        <w:rPr>
          <w:rFonts w:ascii="Garamond" w:hAnsi="Garamond"/>
        </w:rPr>
        <w:t>.</w:t>
      </w:r>
      <w:r w:rsidR="00211FD4">
        <w:rPr>
          <w:rFonts w:ascii="Garamond" w:hAnsi="Garamond"/>
        </w:rPr>
        <w:t xml:space="preserve"> </w:t>
      </w:r>
      <w:r w:rsidR="00A068FB">
        <w:rPr>
          <w:rFonts w:ascii="Garamond" w:hAnsi="Garamond"/>
        </w:rPr>
        <w:t xml:space="preserve">The last three columns of Panel B report </w:t>
      </w:r>
      <w:r w:rsidR="006A77E0">
        <w:rPr>
          <w:rFonts w:ascii="Garamond" w:hAnsi="Garamond"/>
        </w:rPr>
        <w:t>our findings when we divide</w:t>
      </w:r>
      <w:r w:rsidR="00A068FB">
        <w:rPr>
          <w:rFonts w:ascii="Garamond" w:hAnsi="Garamond"/>
        </w:rPr>
        <w:t xml:space="preserve"> the sample based on the aggregate diversity measure</w:t>
      </w:r>
      <w:r w:rsidR="006A77E0">
        <w:rPr>
          <w:rFonts w:ascii="Garamond" w:hAnsi="Garamond"/>
        </w:rPr>
        <w:t>. These findings</w:t>
      </w:r>
      <w:r w:rsidR="00B8752C">
        <w:rPr>
          <w:rFonts w:ascii="Garamond" w:hAnsi="Garamond"/>
        </w:rPr>
        <w:t xml:space="preserve"> suggest</w:t>
      </w:r>
      <w:r w:rsidR="002217AD">
        <w:rPr>
          <w:rFonts w:ascii="Garamond" w:hAnsi="Garamond"/>
        </w:rPr>
        <w:t xml:space="preserve"> that female CFOs significantly reduce leverage in high </w:t>
      </w:r>
      <w:r w:rsidR="006F1D34">
        <w:rPr>
          <w:rFonts w:ascii="Garamond" w:hAnsi="Garamond"/>
        </w:rPr>
        <w:t xml:space="preserve">aggregate diverse boards indicating that CFOs require quite diverse boards in order to have a significant influence on </w:t>
      </w:r>
      <w:r w:rsidR="00AE6E6F">
        <w:rPr>
          <w:rFonts w:ascii="Garamond" w:hAnsi="Garamond"/>
        </w:rPr>
        <w:t>firms’ leverage</w:t>
      </w:r>
      <w:r w:rsidR="00814355">
        <w:rPr>
          <w:rFonts w:ascii="Garamond" w:hAnsi="Garamond"/>
        </w:rPr>
        <w:t xml:space="preserve">. </w:t>
      </w:r>
    </w:p>
    <w:p w:rsidR="009415A9" w:rsidRDefault="009415A9" w:rsidP="000E4A73">
      <w:pPr>
        <w:spacing w:line="360" w:lineRule="auto"/>
        <w:jc w:val="both"/>
        <w:rPr>
          <w:rFonts w:ascii="Garamond" w:hAnsi="Garamond"/>
        </w:rPr>
      </w:pPr>
    </w:p>
    <w:p w:rsidR="00F42E53" w:rsidRDefault="00491E0D" w:rsidP="00F42E53">
      <w:pPr>
        <w:spacing w:line="360" w:lineRule="auto"/>
        <w:jc w:val="both"/>
        <w:rPr>
          <w:rFonts w:ascii="Garamond" w:hAnsi="Garamond"/>
        </w:rPr>
      </w:pPr>
      <w:r w:rsidRPr="002529E6">
        <w:rPr>
          <w:rFonts w:ascii="Garamond" w:hAnsi="Garamond"/>
          <w:bCs/>
          <w:color w:val="000000" w:themeColor="text1"/>
        </w:rPr>
        <w:t xml:space="preserve">The </w:t>
      </w:r>
      <w:r w:rsidR="009415A9">
        <w:rPr>
          <w:rFonts w:ascii="Garamond" w:hAnsi="Garamond"/>
          <w:bCs/>
          <w:color w:val="000000" w:themeColor="text1"/>
        </w:rPr>
        <w:t xml:space="preserve">economic </w:t>
      </w:r>
      <w:r w:rsidRPr="002529E6">
        <w:rPr>
          <w:rFonts w:ascii="Garamond" w:hAnsi="Garamond"/>
          <w:bCs/>
          <w:color w:val="000000" w:themeColor="text1"/>
        </w:rPr>
        <w:t xml:space="preserve">magnitude of </w:t>
      </w:r>
      <w:r w:rsidR="00DE1CB2">
        <w:rPr>
          <w:rFonts w:ascii="Garamond" w:hAnsi="Garamond"/>
          <w:bCs/>
          <w:color w:val="000000" w:themeColor="text1"/>
        </w:rPr>
        <w:t xml:space="preserve">the </w:t>
      </w:r>
      <w:r w:rsidRPr="002529E6">
        <w:rPr>
          <w:rFonts w:ascii="Garamond" w:hAnsi="Garamond"/>
          <w:bCs/>
          <w:color w:val="000000" w:themeColor="text1"/>
        </w:rPr>
        <w:t>coefficient</w:t>
      </w:r>
      <w:r w:rsidR="00517F3C">
        <w:rPr>
          <w:rFonts w:ascii="Garamond" w:hAnsi="Garamond"/>
          <w:bCs/>
          <w:color w:val="000000" w:themeColor="text1"/>
        </w:rPr>
        <w:t xml:space="preserve"> estimates</w:t>
      </w:r>
      <w:r w:rsidRPr="002529E6">
        <w:rPr>
          <w:rFonts w:ascii="Garamond" w:hAnsi="Garamond"/>
          <w:bCs/>
          <w:color w:val="000000" w:themeColor="text1"/>
        </w:rPr>
        <w:t xml:space="preserve"> for the statistically significant female CFO dummy variable ranges from -0.0</w:t>
      </w:r>
      <w:r w:rsidR="00EC6491">
        <w:rPr>
          <w:rFonts w:ascii="Garamond" w:hAnsi="Garamond"/>
          <w:bCs/>
          <w:color w:val="000000" w:themeColor="text1"/>
        </w:rPr>
        <w:t>4</w:t>
      </w:r>
      <w:r w:rsidR="0084702D">
        <w:rPr>
          <w:rFonts w:ascii="Garamond" w:hAnsi="Garamond"/>
          <w:bCs/>
          <w:color w:val="000000" w:themeColor="text1"/>
        </w:rPr>
        <w:t>76</w:t>
      </w:r>
      <w:r w:rsidRPr="002529E6">
        <w:rPr>
          <w:rFonts w:ascii="Garamond" w:hAnsi="Garamond"/>
          <w:bCs/>
          <w:color w:val="000000" w:themeColor="text1"/>
        </w:rPr>
        <w:t xml:space="preserve"> to -0.0</w:t>
      </w:r>
      <w:r w:rsidR="00EC6491">
        <w:rPr>
          <w:rFonts w:ascii="Garamond" w:hAnsi="Garamond"/>
          <w:bCs/>
          <w:color w:val="000000" w:themeColor="text1"/>
        </w:rPr>
        <w:t>75</w:t>
      </w:r>
      <w:r w:rsidR="0084702D">
        <w:rPr>
          <w:rFonts w:ascii="Garamond" w:hAnsi="Garamond"/>
          <w:bCs/>
          <w:color w:val="000000" w:themeColor="text1"/>
        </w:rPr>
        <w:t>6</w:t>
      </w:r>
      <w:r w:rsidRPr="002529E6">
        <w:rPr>
          <w:rFonts w:ascii="Garamond" w:hAnsi="Garamond"/>
          <w:bCs/>
          <w:color w:val="000000" w:themeColor="text1"/>
        </w:rPr>
        <w:t xml:space="preserve"> across all four diversity measures, compared to about -</w:t>
      </w:r>
      <w:r w:rsidR="009661DD" w:rsidRPr="009661DD">
        <w:rPr>
          <w:rFonts w:ascii="Garamond" w:hAnsi="Garamond"/>
          <w:bCs/>
          <w:color w:val="000000" w:themeColor="text1"/>
        </w:rPr>
        <w:t>0.</w:t>
      </w:r>
      <w:r w:rsidR="0035575B" w:rsidRPr="009661DD">
        <w:rPr>
          <w:rFonts w:ascii="Garamond" w:hAnsi="Garamond"/>
          <w:bCs/>
          <w:color w:val="000000" w:themeColor="text1"/>
        </w:rPr>
        <w:t>04</w:t>
      </w:r>
      <w:r w:rsidR="0035575B">
        <w:rPr>
          <w:rFonts w:ascii="Garamond" w:hAnsi="Garamond"/>
          <w:bCs/>
          <w:color w:val="000000" w:themeColor="text1"/>
        </w:rPr>
        <w:t>20</w:t>
      </w:r>
      <w:r w:rsidR="0035575B" w:rsidRPr="009661DD">
        <w:rPr>
          <w:rFonts w:ascii="Garamond" w:hAnsi="Garamond"/>
          <w:bCs/>
          <w:color w:val="000000" w:themeColor="text1"/>
        </w:rPr>
        <w:t xml:space="preserve"> </w:t>
      </w:r>
      <w:r w:rsidRPr="002529E6">
        <w:rPr>
          <w:rFonts w:ascii="Garamond" w:hAnsi="Garamond"/>
          <w:bCs/>
          <w:color w:val="000000" w:themeColor="text1"/>
        </w:rPr>
        <w:t xml:space="preserve">as shown in the baseline specifications in Table 4. </w:t>
      </w:r>
      <w:r w:rsidR="00034460">
        <w:rPr>
          <w:rFonts w:ascii="Garamond" w:hAnsi="Garamond"/>
          <w:bCs/>
          <w:color w:val="000000" w:themeColor="text1"/>
        </w:rPr>
        <w:t>Considering that t</w:t>
      </w:r>
      <w:r w:rsidR="00301BFE">
        <w:rPr>
          <w:rFonts w:ascii="Garamond" w:hAnsi="Garamond"/>
          <w:bCs/>
          <w:color w:val="000000" w:themeColor="text1"/>
        </w:rPr>
        <w:t>he average corporate leverage for middle</w:t>
      </w:r>
      <w:r w:rsidR="00034460">
        <w:rPr>
          <w:rFonts w:ascii="Garamond" w:hAnsi="Garamond"/>
          <w:bCs/>
          <w:color w:val="000000" w:themeColor="text1"/>
        </w:rPr>
        <w:t xml:space="preserve"> and high</w:t>
      </w:r>
      <w:r w:rsidR="00301BFE">
        <w:rPr>
          <w:rFonts w:ascii="Garamond" w:hAnsi="Garamond"/>
          <w:bCs/>
          <w:color w:val="000000" w:themeColor="text1"/>
        </w:rPr>
        <w:t xml:space="preserve"> board gender diversity, high board nationality diversi</w:t>
      </w:r>
      <w:r w:rsidR="00C62881">
        <w:rPr>
          <w:rFonts w:ascii="Garamond" w:hAnsi="Garamond"/>
          <w:bCs/>
          <w:color w:val="000000" w:themeColor="text1"/>
        </w:rPr>
        <w:t xml:space="preserve">ty, middle board age diversity, </w:t>
      </w:r>
      <w:r w:rsidR="00301BFE">
        <w:rPr>
          <w:rFonts w:ascii="Garamond" w:hAnsi="Garamond"/>
          <w:bCs/>
          <w:color w:val="000000" w:themeColor="text1"/>
        </w:rPr>
        <w:t xml:space="preserve">and high board aggregate diversity </w:t>
      </w:r>
      <w:r w:rsidR="005174D4">
        <w:rPr>
          <w:rFonts w:ascii="Garamond" w:hAnsi="Garamond"/>
          <w:bCs/>
          <w:color w:val="000000" w:themeColor="text1"/>
        </w:rPr>
        <w:t>ranges from</w:t>
      </w:r>
      <w:r w:rsidR="00301BFE">
        <w:rPr>
          <w:rFonts w:ascii="Garamond" w:hAnsi="Garamond"/>
          <w:bCs/>
          <w:color w:val="000000" w:themeColor="text1"/>
        </w:rPr>
        <w:t xml:space="preserve"> 24</w:t>
      </w:r>
      <w:r w:rsidR="00034460">
        <w:rPr>
          <w:rFonts w:ascii="Garamond" w:hAnsi="Garamond"/>
          <w:bCs/>
          <w:color w:val="000000" w:themeColor="text1"/>
        </w:rPr>
        <w:t>.</w:t>
      </w:r>
      <w:r w:rsidR="00301BFE">
        <w:rPr>
          <w:rFonts w:ascii="Garamond" w:hAnsi="Garamond"/>
          <w:bCs/>
          <w:color w:val="000000" w:themeColor="text1"/>
        </w:rPr>
        <w:t>72</w:t>
      </w:r>
      <w:r w:rsidR="00034460">
        <w:rPr>
          <w:rFonts w:ascii="Garamond" w:hAnsi="Garamond"/>
          <w:bCs/>
          <w:color w:val="000000" w:themeColor="text1"/>
        </w:rPr>
        <w:t>%</w:t>
      </w:r>
      <w:r w:rsidR="005174D4">
        <w:rPr>
          <w:rFonts w:ascii="Garamond" w:hAnsi="Garamond"/>
          <w:bCs/>
          <w:color w:val="000000" w:themeColor="text1"/>
        </w:rPr>
        <w:t xml:space="preserve"> to</w:t>
      </w:r>
      <w:r w:rsidR="00301BFE">
        <w:rPr>
          <w:rFonts w:ascii="Garamond" w:hAnsi="Garamond"/>
          <w:bCs/>
          <w:color w:val="000000" w:themeColor="text1"/>
        </w:rPr>
        <w:t xml:space="preserve"> 28</w:t>
      </w:r>
      <w:r w:rsidR="00034460">
        <w:rPr>
          <w:rFonts w:ascii="Garamond" w:hAnsi="Garamond"/>
          <w:bCs/>
          <w:color w:val="000000" w:themeColor="text1"/>
        </w:rPr>
        <w:t>.</w:t>
      </w:r>
      <w:r w:rsidR="00301BFE">
        <w:rPr>
          <w:rFonts w:ascii="Garamond" w:hAnsi="Garamond"/>
          <w:bCs/>
          <w:color w:val="000000" w:themeColor="text1"/>
        </w:rPr>
        <w:t>52</w:t>
      </w:r>
      <w:r w:rsidR="00034460">
        <w:rPr>
          <w:rFonts w:ascii="Garamond" w:hAnsi="Garamond"/>
          <w:bCs/>
          <w:color w:val="000000" w:themeColor="text1"/>
        </w:rPr>
        <w:t>%, these estimates imply</w:t>
      </w:r>
      <w:r w:rsidRPr="002529E6">
        <w:rPr>
          <w:rFonts w:ascii="Garamond" w:hAnsi="Garamond"/>
          <w:bCs/>
          <w:color w:val="000000" w:themeColor="text1"/>
        </w:rPr>
        <w:t xml:space="preserve"> that female CFOs</w:t>
      </w:r>
      <w:r w:rsidR="00A27CF6">
        <w:rPr>
          <w:rFonts w:ascii="Garamond" w:hAnsi="Garamond"/>
          <w:bCs/>
          <w:color w:val="000000" w:themeColor="text1"/>
        </w:rPr>
        <w:t xml:space="preserve"> </w:t>
      </w:r>
      <w:r w:rsidR="009517A6">
        <w:rPr>
          <w:rFonts w:ascii="Garamond" w:hAnsi="Garamond"/>
          <w:bCs/>
          <w:color w:val="000000" w:themeColor="text1"/>
        </w:rPr>
        <w:t xml:space="preserve">could </w:t>
      </w:r>
      <w:r w:rsidRPr="002529E6">
        <w:rPr>
          <w:rFonts w:ascii="Garamond" w:hAnsi="Garamond"/>
          <w:bCs/>
          <w:color w:val="000000" w:themeColor="text1"/>
        </w:rPr>
        <w:t>significantly reduc</w:t>
      </w:r>
      <w:r w:rsidR="00C84684">
        <w:rPr>
          <w:rFonts w:ascii="Garamond" w:hAnsi="Garamond"/>
          <w:bCs/>
          <w:color w:val="000000" w:themeColor="text1"/>
        </w:rPr>
        <w:t>e</w:t>
      </w:r>
      <w:r w:rsidRPr="002529E6">
        <w:rPr>
          <w:rFonts w:ascii="Garamond" w:hAnsi="Garamond"/>
          <w:bCs/>
          <w:color w:val="000000" w:themeColor="text1"/>
        </w:rPr>
        <w:t xml:space="preserve"> leverage by </w:t>
      </w:r>
      <w:r w:rsidR="00A27CF6">
        <w:rPr>
          <w:rFonts w:ascii="Garamond" w:hAnsi="Garamond"/>
          <w:bCs/>
          <w:color w:val="000000" w:themeColor="text1"/>
        </w:rPr>
        <w:t>1</w:t>
      </w:r>
      <w:r w:rsidR="0084702D">
        <w:rPr>
          <w:rFonts w:ascii="Garamond" w:hAnsi="Garamond"/>
          <w:bCs/>
          <w:color w:val="000000" w:themeColor="text1"/>
        </w:rPr>
        <w:t>9.26</w:t>
      </w:r>
      <w:r w:rsidR="00A27CF6">
        <w:rPr>
          <w:rFonts w:ascii="Garamond" w:hAnsi="Garamond"/>
          <w:bCs/>
          <w:color w:val="000000" w:themeColor="text1"/>
        </w:rPr>
        <w:t>% (=</w:t>
      </w:r>
      <w:r w:rsidR="00517B66">
        <w:rPr>
          <w:rFonts w:ascii="Garamond" w:hAnsi="Garamond"/>
          <w:bCs/>
          <w:color w:val="000000" w:themeColor="text1"/>
        </w:rPr>
        <w:t>-</w:t>
      </w:r>
      <w:r w:rsidR="00A27CF6">
        <w:rPr>
          <w:rFonts w:ascii="Garamond" w:hAnsi="Garamond"/>
          <w:bCs/>
          <w:color w:val="000000" w:themeColor="text1"/>
        </w:rPr>
        <w:t>0.0</w:t>
      </w:r>
      <w:r w:rsidR="00C62881">
        <w:rPr>
          <w:rFonts w:ascii="Garamond" w:hAnsi="Garamond"/>
          <w:bCs/>
          <w:color w:val="000000" w:themeColor="text1"/>
        </w:rPr>
        <w:t>4</w:t>
      </w:r>
      <w:r w:rsidR="0084702D">
        <w:rPr>
          <w:rFonts w:ascii="Garamond" w:hAnsi="Garamond"/>
          <w:bCs/>
          <w:color w:val="000000" w:themeColor="text1"/>
        </w:rPr>
        <w:t>76</w:t>
      </w:r>
      <w:r w:rsidR="00A27CF6">
        <w:rPr>
          <w:rFonts w:ascii="Garamond" w:hAnsi="Garamond"/>
          <w:bCs/>
          <w:color w:val="000000" w:themeColor="text1"/>
        </w:rPr>
        <w:t>/0.2</w:t>
      </w:r>
      <w:r w:rsidR="00C62881">
        <w:rPr>
          <w:rFonts w:ascii="Garamond" w:hAnsi="Garamond"/>
          <w:bCs/>
          <w:color w:val="000000" w:themeColor="text1"/>
        </w:rPr>
        <w:t>472</w:t>
      </w:r>
      <w:r w:rsidR="00A27CF6">
        <w:rPr>
          <w:rFonts w:ascii="Garamond" w:hAnsi="Garamond"/>
          <w:bCs/>
          <w:color w:val="000000" w:themeColor="text1"/>
        </w:rPr>
        <w:t xml:space="preserve">) in </w:t>
      </w:r>
      <w:r w:rsidR="00C9437A">
        <w:rPr>
          <w:rFonts w:ascii="Garamond" w:hAnsi="Garamond"/>
          <w:bCs/>
          <w:color w:val="000000" w:themeColor="text1"/>
        </w:rPr>
        <w:t xml:space="preserve">firms in the </w:t>
      </w:r>
      <w:r w:rsidR="00A27CF6">
        <w:rPr>
          <w:rFonts w:ascii="Garamond" w:hAnsi="Garamond"/>
          <w:bCs/>
          <w:color w:val="000000" w:themeColor="text1"/>
        </w:rPr>
        <w:t>middle board age diversity</w:t>
      </w:r>
      <w:r w:rsidR="00C62881">
        <w:rPr>
          <w:rFonts w:ascii="Garamond" w:hAnsi="Garamond"/>
          <w:bCs/>
          <w:color w:val="000000" w:themeColor="text1"/>
        </w:rPr>
        <w:t xml:space="preserve"> to 2</w:t>
      </w:r>
      <w:r w:rsidR="0084702D">
        <w:rPr>
          <w:rFonts w:ascii="Garamond" w:hAnsi="Garamond"/>
          <w:bCs/>
          <w:color w:val="000000" w:themeColor="text1"/>
        </w:rPr>
        <w:t>9.20</w:t>
      </w:r>
      <w:r w:rsidR="00C62881" w:rsidRPr="002529E6">
        <w:rPr>
          <w:rFonts w:ascii="Garamond" w:hAnsi="Garamond"/>
          <w:bCs/>
          <w:color w:val="000000" w:themeColor="text1"/>
        </w:rPr>
        <w:t>% (=</w:t>
      </w:r>
      <w:r w:rsidR="00C62881">
        <w:rPr>
          <w:rFonts w:ascii="Garamond" w:hAnsi="Garamond"/>
          <w:bCs/>
          <w:color w:val="000000" w:themeColor="text1"/>
        </w:rPr>
        <w:t>-</w:t>
      </w:r>
      <w:r w:rsidR="00C62881" w:rsidRPr="002529E6">
        <w:rPr>
          <w:rFonts w:ascii="Garamond" w:hAnsi="Garamond"/>
          <w:bCs/>
          <w:color w:val="000000" w:themeColor="text1"/>
        </w:rPr>
        <w:t>0.0</w:t>
      </w:r>
      <w:r w:rsidR="00C62881">
        <w:rPr>
          <w:rFonts w:ascii="Garamond" w:hAnsi="Garamond"/>
          <w:bCs/>
          <w:color w:val="000000" w:themeColor="text1"/>
        </w:rPr>
        <w:t>75</w:t>
      </w:r>
      <w:r w:rsidR="0084702D">
        <w:rPr>
          <w:rFonts w:ascii="Garamond" w:hAnsi="Garamond"/>
          <w:bCs/>
          <w:color w:val="000000" w:themeColor="text1"/>
        </w:rPr>
        <w:t>6</w:t>
      </w:r>
      <w:r w:rsidR="00C62881" w:rsidRPr="002529E6">
        <w:rPr>
          <w:rFonts w:ascii="Garamond" w:hAnsi="Garamond"/>
          <w:bCs/>
          <w:color w:val="000000" w:themeColor="text1"/>
        </w:rPr>
        <w:t>/0.2</w:t>
      </w:r>
      <w:r w:rsidR="00C62881">
        <w:rPr>
          <w:rFonts w:ascii="Garamond" w:hAnsi="Garamond"/>
          <w:bCs/>
          <w:color w:val="000000" w:themeColor="text1"/>
        </w:rPr>
        <w:t>589</w:t>
      </w:r>
      <w:r w:rsidR="00C62881" w:rsidRPr="002529E6">
        <w:rPr>
          <w:rFonts w:ascii="Garamond" w:hAnsi="Garamond"/>
          <w:bCs/>
          <w:color w:val="000000" w:themeColor="text1"/>
        </w:rPr>
        <w:t>)</w:t>
      </w:r>
      <w:r w:rsidR="00C62881">
        <w:rPr>
          <w:rFonts w:ascii="Garamond" w:hAnsi="Garamond"/>
          <w:bCs/>
          <w:color w:val="000000" w:themeColor="text1"/>
        </w:rPr>
        <w:t xml:space="preserve"> in</w:t>
      </w:r>
      <w:r w:rsidR="00C9437A">
        <w:rPr>
          <w:rFonts w:ascii="Garamond" w:hAnsi="Garamond"/>
          <w:bCs/>
          <w:color w:val="000000" w:themeColor="text1"/>
        </w:rPr>
        <w:t xml:space="preserve"> firms in the</w:t>
      </w:r>
      <w:r w:rsidR="00C62881">
        <w:rPr>
          <w:rFonts w:ascii="Garamond" w:hAnsi="Garamond"/>
          <w:bCs/>
          <w:color w:val="000000" w:themeColor="text1"/>
        </w:rPr>
        <w:t xml:space="preserve"> high board aggregate diversity</w:t>
      </w:r>
      <w:r w:rsidRPr="002529E6">
        <w:rPr>
          <w:rFonts w:ascii="Garamond" w:hAnsi="Garamond"/>
          <w:bCs/>
          <w:color w:val="000000" w:themeColor="text1"/>
        </w:rPr>
        <w:t xml:space="preserve">, on average, compared to </w:t>
      </w:r>
      <w:r w:rsidR="009517A6">
        <w:rPr>
          <w:rFonts w:ascii="Garamond" w:hAnsi="Garamond"/>
          <w:bCs/>
          <w:color w:val="000000" w:themeColor="text1"/>
        </w:rPr>
        <w:t xml:space="preserve">the leverage of a firm run by </w:t>
      </w:r>
      <w:r w:rsidR="004C6E2D">
        <w:rPr>
          <w:rFonts w:ascii="Garamond" w:hAnsi="Garamond"/>
          <w:bCs/>
          <w:color w:val="000000" w:themeColor="text1"/>
        </w:rPr>
        <w:t xml:space="preserve">a </w:t>
      </w:r>
      <w:r w:rsidR="009517A6">
        <w:rPr>
          <w:rFonts w:ascii="Garamond" w:hAnsi="Garamond"/>
          <w:bCs/>
          <w:color w:val="000000" w:themeColor="text1"/>
        </w:rPr>
        <w:t>male CFO</w:t>
      </w:r>
      <w:r w:rsidRPr="002529E6">
        <w:rPr>
          <w:rFonts w:ascii="Garamond" w:hAnsi="Garamond"/>
          <w:bCs/>
          <w:color w:val="000000" w:themeColor="text1"/>
        </w:rPr>
        <w:t>.</w:t>
      </w:r>
      <w:r w:rsidR="003A6D41">
        <w:rPr>
          <w:rFonts w:ascii="Garamond" w:hAnsi="Garamond"/>
        </w:rPr>
        <w:t xml:space="preserve"> </w:t>
      </w:r>
    </w:p>
    <w:p w:rsidR="00F42E53" w:rsidRDefault="00F42E53" w:rsidP="00F42E53">
      <w:pPr>
        <w:spacing w:line="360" w:lineRule="auto"/>
        <w:jc w:val="both"/>
        <w:rPr>
          <w:rFonts w:ascii="Garamond" w:hAnsi="Garamond"/>
        </w:rPr>
      </w:pPr>
    </w:p>
    <w:p w:rsidR="0004583A" w:rsidRPr="00FF5E6D" w:rsidRDefault="003A6D41" w:rsidP="000E1B72">
      <w:pPr>
        <w:spacing w:line="360" w:lineRule="auto"/>
        <w:jc w:val="both"/>
        <w:rPr>
          <w:rFonts w:ascii="Garamond" w:hAnsi="Garamond"/>
          <w:bCs/>
          <w:color w:val="000000" w:themeColor="text1"/>
        </w:rPr>
      </w:pPr>
      <w:r>
        <w:rPr>
          <w:rFonts w:ascii="Garamond" w:hAnsi="Garamond"/>
        </w:rPr>
        <w:t>Hence, the diversity of the board in which female CFOs operate</w:t>
      </w:r>
      <w:r w:rsidR="005458D4">
        <w:rPr>
          <w:rFonts w:ascii="Garamond" w:hAnsi="Garamond"/>
        </w:rPr>
        <w:t xml:space="preserve"> has a statistically and economically significant effect on their propensity to lower corporate leverage. </w:t>
      </w:r>
      <w:r w:rsidR="00BB6780">
        <w:rPr>
          <w:rFonts w:ascii="Garamond" w:hAnsi="Garamond"/>
        </w:rPr>
        <w:t>W</w:t>
      </w:r>
      <w:r w:rsidR="003566D1">
        <w:rPr>
          <w:rFonts w:ascii="Garamond" w:hAnsi="Garamond"/>
        </w:rPr>
        <w:t>hen a CFO is faced with a non-diverse board,</w:t>
      </w:r>
      <w:r w:rsidR="009948A0">
        <w:rPr>
          <w:rFonts w:ascii="Garamond" w:hAnsi="Garamond"/>
        </w:rPr>
        <w:t xml:space="preserve"> </w:t>
      </w:r>
      <w:r w:rsidR="006A29F7">
        <w:rPr>
          <w:rFonts w:ascii="Garamond" w:hAnsi="Garamond"/>
        </w:rPr>
        <w:t xml:space="preserve">female </w:t>
      </w:r>
      <w:proofErr w:type="spellStart"/>
      <w:r w:rsidR="006A29F7">
        <w:rPr>
          <w:rFonts w:ascii="Garamond" w:hAnsi="Garamond"/>
        </w:rPr>
        <w:t>CFOs’</w:t>
      </w:r>
      <w:proofErr w:type="spellEnd"/>
      <w:r w:rsidR="006A29F7">
        <w:rPr>
          <w:rFonts w:ascii="Garamond" w:hAnsi="Garamond"/>
        </w:rPr>
        <w:t xml:space="preserve"> impact on leverage does not appear to significantly differ from that of their male peers, suggesting that they </w:t>
      </w:r>
      <w:r w:rsidR="009A1C57">
        <w:rPr>
          <w:rFonts w:ascii="Garamond" w:hAnsi="Garamond"/>
        </w:rPr>
        <w:t xml:space="preserve">might be more restricted in exercising their leverage preferences. </w:t>
      </w:r>
      <w:r w:rsidR="00814355">
        <w:rPr>
          <w:rFonts w:ascii="Garamond" w:hAnsi="Garamond"/>
        </w:rPr>
        <w:t xml:space="preserve">These findings are in line with hypothesis </w:t>
      </w:r>
      <w:r w:rsidR="00814355" w:rsidRPr="001C4449">
        <w:rPr>
          <w:rFonts w:ascii="Garamond" w:hAnsi="Garamond"/>
          <w:i/>
        </w:rPr>
        <w:t>H</w:t>
      </w:r>
      <w:r w:rsidR="00FD4B41">
        <w:rPr>
          <w:rFonts w:ascii="Garamond" w:hAnsi="Garamond"/>
          <w:i/>
        </w:rPr>
        <w:t>2</w:t>
      </w:r>
      <w:r w:rsidR="00814355">
        <w:rPr>
          <w:rFonts w:ascii="Garamond" w:hAnsi="Garamond"/>
        </w:rPr>
        <w:t xml:space="preserve"> and as such contribute to the literature that analyses the importance of board diversity for affecting corporate strategic change (e.g. Haynes and Hillman, 2010</w:t>
      </w:r>
      <w:r w:rsidR="006B0C5F">
        <w:rPr>
          <w:rFonts w:ascii="Garamond" w:hAnsi="Garamond"/>
        </w:rPr>
        <w:t>, Liu et al., 2014</w:t>
      </w:r>
      <w:r w:rsidR="00814355">
        <w:rPr>
          <w:rFonts w:ascii="Garamond" w:hAnsi="Garamond"/>
        </w:rPr>
        <w:t xml:space="preserve">) by showing that more diverse boards are instrumental in </w:t>
      </w:r>
      <w:r w:rsidR="003D0CE0">
        <w:rPr>
          <w:rFonts w:ascii="Garamond" w:hAnsi="Garamond"/>
        </w:rPr>
        <w:t xml:space="preserve">boosting female </w:t>
      </w:r>
      <w:proofErr w:type="spellStart"/>
      <w:r w:rsidR="003D0CE0">
        <w:rPr>
          <w:rFonts w:ascii="Garamond" w:hAnsi="Garamond"/>
        </w:rPr>
        <w:t>CFO</w:t>
      </w:r>
      <w:r w:rsidR="00BA5890">
        <w:rPr>
          <w:rFonts w:ascii="Garamond" w:hAnsi="Garamond"/>
        </w:rPr>
        <w:t>s</w:t>
      </w:r>
      <w:r w:rsidR="003D0CE0">
        <w:rPr>
          <w:rFonts w:ascii="Garamond" w:hAnsi="Garamond"/>
        </w:rPr>
        <w:t>’</w:t>
      </w:r>
      <w:proofErr w:type="spellEnd"/>
      <w:r w:rsidR="003D0CE0">
        <w:rPr>
          <w:rFonts w:ascii="Garamond" w:hAnsi="Garamond"/>
        </w:rPr>
        <w:t xml:space="preserve"> managerial discretion </w:t>
      </w:r>
      <w:r w:rsidR="00814355">
        <w:rPr>
          <w:rFonts w:ascii="Garamond" w:hAnsi="Garamond"/>
        </w:rPr>
        <w:t xml:space="preserve">to initiate changes to corporate </w:t>
      </w:r>
      <w:r w:rsidR="00ED0364">
        <w:rPr>
          <w:rFonts w:ascii="Garamond" w:hAnsi="Garamond"/>
        </w:rPr>
        <w:t>risk-taking</w:t>
      </w:r>
      <w:r w:rsidR="009A1C57">
        <w:rPr>
          <w:rFonts w:ascii="Garamond" w:hAnsi="Garamond"/>
        </w:rPr>
        <w:t xml:space="preserve"> via altering firms’ capital structure</w:t>
      </w:r>
      <w:r w:rsidR="00814355">
        <w:rPr>
          <w:rFonts w:ascii="Garamond" w:hAnsi="Garamond"/>
        </w:rPr>
        <w:t>.</w:t>
      </w:r>
    </w:p>
    <w:p w:rsidR="004C59BC" w:rsidRDefault="004C59BC" w:rsidP="000E4A73">
      <w:pPr>
        <w:spacing w:line="360" w:lineRule="auto"/>
        <w:jc w:val="both"/>
        <w:rPr>
          <w:rFonts w:ascii="Garamond" w:hAnsi="Garamond"/>
        </w:rPr>
      </w:pPr>
    </w:p>
    <w:p w:rsidR="00CE3C41" w:rsidRDefault="00427DD7" w:rsidP="00D0508D">
      <w:pPr>
        <w:jc w:val="both"/>
        <w:rPr>
          <w:rFonts w:ascii="Garamond" w:hAnsi="Garamond"/>
          <w:i/>
        </w:rPr>
      </w:pPr>
      <w:r>
        <w:rPr>
          <w:rFonts w:ascii="Garamond" w:hAnsi="Garamond"/>
          <w:i/>
        </w:rPr>
        <w:t>4.4</w:t>
      </w:r>
      <w:r w:rsidR="00D760D9" w:rsidRPr="00D760D9">
        <w:rPr>
          <w:rFonts w:ascii="Garamond" w:hAnsi="Garamond"/>
          <w:i/>
        </w:rPr>
        <w:t xml:space="preserve">. </w:t>
      </w:r>
      <w:r w:rsidR="0089511C" w:rsidRPr="00912F27">
        <w:rPr>
          <w:rFonts w:ascii="Garamond" w:hAnsi="Garamond"/>
          <w:i/>
        </w:rPr>
        <w:t>Female CFO</w:t>
      </w:r>
      <w:r w:rsidR="0089511C">
        <w:rPr>
          <w:rFonts w:ascii="Garamond" w:hAnsi="Garamond"/>
          <w:i/>
        </w:rPr>
        <w:t>s</w:t>
      </w:r>
      <w:r w:rsidR="0089511C" w:rsidRPr="00912F27">
        <w:rPr>
          <w:rFonts w:ascii="Garamond" w:hAnsi="Garamond"/>
          <w:i/>
        </w:rPr>
        <w:t xml:space="preserve"> and </w:t>
      </w:r>
      <w:r w:rsidR="00D760D9" w:rsidRPr="00D760D9">
        <w:rPr>
          <w:rFonts w:ascii="Garamond" w:hAnsi="Garamond"/>
          <w:i/>
        </w:rPr>
        <w:t>Powerful CEOs</w:t>
      </w:r>
    </w:p>
    <w:p w:rsidR="00997AEC" w:rsidRPr="006A3235" w:rsidRDefault="00997AEC" w:rsidP="00D0508D">
      <w:pPr>
        <w:jc w:val="both"/>
        <w:rPr>
          <w:rFonts w:ascii="Garamond" w:hAnsi="Garamond"/>
        </w:rPr>
      </w:pPr>
    </w:p>
    <w:p w:rsidR="00211FD4" w:rsidRDefault="00211FD4" w:rsidP="000E4A73">
      <w:pPr>
        <w:spacing w:line="360" w:lineRule="auto"/>
        <w:jc w:val="both"/>
        <w:rPr>
          <w:rFonts w:ascii="Garamond" w:hAnsi="Garamond"/>
        </w:rPr>
      </w:pPr>
      <w:r>
        <w:rPr>
          <w:rFonts w:ascii="Garamond" w:hAnsi="Garamond"/>
        </w:rPr>
        <w:t xml:space="preserve">A potential concern with </w:t>
      </w:r>
      <w:r w:rsidR="00161118">
        <w:rPr>
          <w:rFonts w:ascii="Garamond" w:hAnsi="Garamond"/>
        </w:rPr>
        <w:t xml:space="preserve">our </w:t>
      </w:r>
      <w:r>
        <w:rPr>
          <w:rFonts w:ascii="Garamond" w:hAnsi="Garamond"/>
        </w:rPr>
        <w:t xml:space="preserve">interpretation </w:t>
      </w:r>
      <w:r w:rsidR="00161118">
        <w:rPr>
          <w:rFonts w:ascii="Garamond" w:hAnsi="Garamond"/>
        </w:rPr>
        <w:t>of the evidence that female CFOs lower leverage</w:t>
      </w:r>
      <w:r w:rsidR="00B62F7A">
        <w:rPr>
          <w:rFonts w:ascii="Garamond" w:hAnsi="Garamond"/>
        </w:rPr>
        <w:t xml:space="preserve"> </w:t>
      </w:r>
      <w:r>
        <w:rPr>
          <w:rFonts w:ascii="Garamond" w:hAnsi="Garamond"/>
        </w:rPr>
        <w:t xml:space="preserve">is that there might be several firms in our sample in which the decision-making power is centralized in the hands of powerful CEOs who make most of the major decisions. </w:t>
      </w:r>
      <w:r w:rsidR="00EB07D9">
        <w:rPr>
          <w:rFonts w:ascii="Garamond" w:hAnsi="Garamond"/>
        </w:rPr>
        <w:t xml:space="preserve">There is a vast literature studying the </w:t>
      </w:r>
      <w:r w:rsidR="002F5E02">
        <w:rPr>
          <w:rFonts w:ascii="Garamond" w:hAnsi="Garamond"/>
        </w:rPr>
        <w:t xml:space="preserve">impact of </w:t>
      </w:r>
      <w:r w:rsidR="00EB07D9">
        <w:rPr>
          <w:rFonts w:ascii="Garamond" w:hAnsi="Garamond"/>
        </w:rPr>
        <w:t>powerful CEOs</w:t>
      </w:r>
      <w:r w:rsidR="002F5E02">
        <w:rPr>
          <w:rFonts w:ascii="Garamond" w:hAnsi="Garamond"/>
        </w:rPr>
        <w:t xml:space="preserve"> </w:t>
      </w:r>
      <w:r w:rsidR="00634154">
        <w:rPr>
          <w:rFonts w:ascii="Garamond" w:hAnsi="Garamond"/>
        </w:rPr>
        <w:t xml:space="preserve">on </w:t>
      </w:r>
      <w:r w:rsidR="002F5E02">
        <w:rPr>
          <w:rFonts w:ascii="Garamond" w:hAnsi="Garamond"/>
        </w:rPr>
        <w:t>firm performance where Adams et al</w:t>
      </w:r>
      <w:r w:rsidR="003A37D9">
        <w:rPr>
          <w:rFonts w:ascii="Garamond" w:hAnsi="Garamond"/>
        </w:rPr>
        <w:t>.</w:t>
      </w:r>
      <w:r w:rsidR="002F5E02">
        <w:rPr>
          <w:rFonts w:ascii="Garamond" w:hAnsi="Garamond"/>
        </w:rPr>
        <w:t xml:space="preserve"> (2005) show that more powerful CEOs are less like</w:t>
      </w:r>
      <w:r w:rsidR="003A37D9">
        <w:rPr>
          <w:rFonts w:ascii="Garamond" w:hAnsi="Garamond"/>
        </w:rPr>
        <w:t>ly</w:t>
      </w:r>
      <w:r w:rsidR="002F5E02">
        <w:rPr>
          <w:rFonts w:ascii="Garamond" w:hAnsi="Garamond"/>
        </w:rPr>
        <w:t xml:space="preserve"> to compromise with other top executives, resulting in more extreme decisions</w:t>
      </w:r>
      <w:r w:rsidR="007B464D">
        <w:rPr>
          <w:rFonts w:ascii="Garamond" w:hAnsi="Garamond"/>
        </w:rPr>
        <w:t>.</w:t>
      </w:r>
      <w:r w:rsidR="00161118">
        <w:rPr>
          <w:rFonts w:ascii="Garamond" w:hAnsi="Garamond"/>
        </w:rPr>
        <w:t xml:space="preserve"> Haynes and Hillman</w:t>
      </w:r>
      <w:r w:rsidR="00634154">
        <w:rPr>
          <w:rFonts w:ascii="Garamond" w:hAnsi="Garamond"/>
        </w:rPr>
        <w:t>’s</w:t>
      </w:r>
      <w:r w:rsidR="00161118">
        <w:rPr>
          <w:rFonts w:ascii="Garamond" w:hAnsi="Garamond"/>
        </w:rPr>
        <w:t xml:space="preserve"> (2010) findings suggest that powerful CEOs moderate the effect of board diversity on strategic decision making</w:t>
      </w:r>
      <w:r w:rsidR="00D8540D">
        <w:rPr>
          <w:rFonts w:ascii="Garamond" w:hAnsi="Garamond"/>
        </w:rPr>
        <w:t>, but</w:t>
      </w:r>
      <w:r w:rsidR="00B10411">
        <w:rPr>
          <w:rFonts w:ascii="Garamond" w:hAnsi="Garamond"/>
        </w:rPr>
        <w:t xml:space="preserve"> less is known about the indirect effect of CEO power on other managers’ discretion to affect corporate policies</w:t>
      </w:r>
      <w:r w:rsidR="002F5E02">
        <w:rPr>
          <w:rFonts w:ascii="Garamond" w:hAnsi="Garamond"/>
        </w:rPr>
        <w:t xml:space="preserve">. </w:t>
      </w:r>
      <w:r w:rsidR="00F87A7F">
        <w:rPr>
          <w:rFonts w:ascii="Garamond" w:hAnsi="Garamond"/>
        </w:rPr>
        <w:t>Based on th</w:t>
      </w:r>
      <w:r w:rsidR="004121D3">
        <w:rPr>
          <w:rFonts w:ascii="Garamond" w:hAnsi="Garamond"/>
        </w:rPr>
        <w:t>e</w:t>
      </w:r>
      <w:r w:rsidR="00F87A7F">
        <w:rPr>
          <w:rFonts w:ascii="Garamond" w:hAnsi="Garamond"/>
        </w:rPr>
        <w:t xml:space="preserve"> CEO dominance hypothesis</w:t>
      </w:r>
      <w:r w:rsidR="004C7627">
        <w:rPr>
          <w:rFonts w:ascii="Garamond" w:hAnsi="Garamond"/>
        </w:rPr>
        <w:t xml:space="preserve"> (</w:t>
      </w:r>
      <w:r w:rsidR="004C7627" w:rsidRPr="00C71FF4">
        <w:rPr>
          <w:rFonts w:ascii="Garamond" w:hAnsi="Garamond"/>
          <w:i/>
          <w:iCs/>
        </w:rPr>
        <w:t>H3</w:t>
      </w:r>
      <w:r w:rsidR="004C7627">
        <w:rPr>
          <w:rFonts w:ascii="Garamond" w:hAnsi="Garamond"/>
        </w:rPr>
        <w:t>)</w:t>
      </w:r>
      <w:r w:rsidR="00F87A7F">
        <w:rPr>
          <w:rFonts w:ascii="Garamond" w:hAnsi="Garamond"/>
        </w:rPr>
        <w:t xml:space="preserve">, one would expect </w:t>
      </w:r>
      <w:r w:rsidR="00161118">
        <w:rPr>
          <w:rFonts w:ascii="Garamond" w:hAnsi="Garamond"/>
        </w:rPr>
        <w:t xml:space="preserve">that female CFOs are less able to adopt corporate policies </w:t>
      </w:r>
      <w:r w:rsidR="004C7627">
        <w:rPr>
          <w:rFonts w:ascii="Garamond" w:hAnsi="Garamond"/>
        </w:rPr>
        <w:t>according to</w:t>
      </w:r>
      <w:r w:rsidR="00161118">
        <w:rPr>
          <w:rFonts w:ascii="Garamond" w:hAnsi="Garamond"/>
        </w:rPr>
        <w:t xml:space="preserve"> their risk preferences </w:t>
      </w:r>
      <w:r w:rsidR="004F41FD">
        <w:rPr>
          <w:rFonts w:ascii="Garamond" w:hAnsi="Garamond"/>
        </w:rPr>
        <w:t xml:space="preserve">in firms whose CEOs are more powerful, </w:t>
      </w:r>
      <w:r w:rsidR="00161118">
        <w:rPr>
          <w:rFonts w:ascii="Garamond" w:hAnsi="Garamond"/>
        </w:rPr>
        <w:t xml:space="preserve">resulting in </w:t>
      </w:r>
      <w:r w:rsidR="00F87A7F">
        <w:rPr>
          <w:rFonts w:ascii="Garamond" w:hAnsi="Garamond"/>
        </w:rPr>
        <w:t>the negative effect of a female CFO on leverage to be less pronounced.</w:t>
      </w:r>
    </w:p>
    <w:p w:rsidR="002F5E02" w:rsidRDefault="002F5E02" w:rsidP="000E4A73">
      <w:pPr>
        <w:spacing w:line="360" w:lineRule="auto"/>
        <w:jc w:val="both"/>
        <w:rPr>
          <w:rFonts w:ascii="Garamond" w:hAnsi="Garamond"/>
        </w:rPr>
      </w:pPr>
    </w:p>
    <w:p w:rsidR="00724316" w:rsidRDefault="002F5E02" w:rsidP="006008C8">
      <w:pPr>
        <w:spacing w:line="360" w:lineRule="auto"/>
        <w:jc w:val="both"/>
        <w:rPr>
          <w:rFonts w:ascii="Garamond" w:hAnsi="Garamond"/>
        </w:rPr>
      </w:pPr>
      <w:r>
        <w:rPr>
          <w:rFonts w:ascii="Garamond" w:hAnsi="Garamond"/>
        </w:rPr>
        <w:t xml:space="preserve">We use three different measures of CEO power from the literature to determine the impact of female CFOs </w:t>
      </w:r>
      <w:r w:rsidR="00F5556E">
        <w:rPr>
          <w:rFonts w:ascii="Garamond" w:hAnsi="Garamond"/>
        </w:rPr>
        <w:t>when the CEO is powerful.  Our first measure of CEO power follows Adams et al</w:t>
      </w:r>
      <w:r w:rsidR="003A37D9">
        <w:rPr>
          <w:rFonts w:ascii="Garamond" w:hAnsi="Garamond"/>
        </w:rPr>
        <w:t>.</w:t>
      </w:r>
      <w:r w:rsidR="00F5556E">
        <w:rPr>
          <w:rFonts w:ascii="Garamond" w:hAnsi="Garamond"/>
        </w:rPr>
        <w:t xml:space="preserve"> (2005) and is a dummy variable that measures the concentration of titles in the hands of the CEO. This variable is equal to one if the CEO accumulates both the titles of CEO and chairman, since the chairman often has an important role in the strategic decision-making.</w:t>
      </w:r>
      <w:r w:rsidR="00F5556E">
        <w:rPr>
          <w:rStyle w:val="a9"/>
          <w:rFonts w:ascii="Garamond" w:hAnsi="Garamond"/>
        </w:rPr>
        <w:footnoteReference w:id="9"/>
      </w:r>
      <w:r w:rsidR="00F5556E">
        <w:rPr>
          <w:rFonts w:ascii="Garamond" w:hAnsi="Garamond"/>
        </w:rPr>
        <w:t xml:space="preserve"> Our second measure of CEO power follows Morse et al</w:t>
      </w:r>
      <w:r w:rsidR="003A37D9">
        <w:rPr>
          <w:rFonts w:ascii="Garamond" w:hAnsi="Garamond"/>
        </w:rPr>
        <w:t>.</w:t>
      </w:r>
      <w:r w:rsidR="00F5556E">
        <w:rPr>
          <w:rFonts w:ascii="Garamond" w:hAnsi="Garamond"/>
        </w:rPr>
        <w:t xml:space="preserve"> (2011) </w:t>
      </w:r>
      <w:r w:rsidR="007B5469">
        <w:rPr>
          <w:rFonts w:ascii="Garamond" w:hAnsi="Garamond"/>
        </w:rPr>
        <w:t xml:space="preserve">and captures the weakness of the board and the </w:t>
      </w:r>
      <w:r w:rsidR="00532809">
        <w:rPr>
          <w:rFonts w:ascii="Garamond" w:hAnsi="Garamond"/>
        </w:rPr>
        <w:t>boards’</w:t>
      </w:r>
      <w:r w:rsidR="007B5469">
        <w:rPr>
          <w:rFonts w:ascii="Garamond" w:hAnsi="Garamond"/>
        </w:rPr>
        <w:t xml:space="preserve"> inability to counter the CEO. All else equal, relatively more insiders, whose incentives </w:t>
      </w:r>
      <w:r w:rsidR="00BD3C70">
        <w:rPr>
          <w:rFonts w:ascii="Garamond" w:hAnsi="Garamond"/>
        </w:rPr>
        <w:t>are</w:t>
      </w:r>
      <w:r w:rsidR="007B5469">
        <w:rPr>
          <w:rFonts w:ascii="Garamond" w:hAnsi="Garamond"/>
        </w:rPr>
        <w:t xml:space="preserve"> aligned with CEO </w:t>
      </w:r>
      <w:r w:rsidR="00B5467B">
        <w:rPr>
          <w:rFonts w:ascii="Garamond" w:hAnsi="Garamond"/>
        </w:rPr>
        <w:t>incentives</w:t>
      </w:r>
      <w:r w:rsidR="007B5469">
        <w:rPr>
          <w:rFonts w:ascii="Garamond" w:hAnsi="Garamond"/>
        </w:rPr>
        <w:t>, should be associated with more power for the CEO (</w:t>
      </w:r>
      <w:proofErr w:type="spellStart"/>
      <w:r w:rsidR="007B5469">
        <w:rPr>
          <w:rFonts w:ascii="Garamond" w:hAnsi="Garamond"/>
        </w:rPr>
        <w:t>Hermalin</w:t>
      </w:r>
      <w:proofErr w:type="spellEnd"/>
      <w:r w:rsidR="007B5469">
        <w:rPr>
          <w:rFonts w:ascii="Garamond" w:hAnsi="Garamond"/>
        </w:rPr>
        <w:t xml:space="preserve"> and </w:t>
      </w:r>
      <w:proofErr w:type="spellStart"/>
      <w:r w:rsidR="007B5469">
        <w:rPr>
          <w:rFonts w:ascii="Garamond" w:hAnsi="Garamond"/>
        </w:rPr>
        <w:t>Weisbach</w:t>
      </w:r>
      <w:proofErr w:type="spellEnd"/>
      <w:r w:rsidR="003A37D9">
        <w:rPr>
          <w:rFonts w:ascii="Garamond" w:hAnsi="Garamond"/>
        </w:rPr>
        <w:t>,</w:t>
      </w:r>
      <w:r w:rsidR="007B5469">
        <w:rPr>
          <w:rFonts w:ascii="Garamond" w:hAnsi="Garamond"/>
        </w:rPr>
        <w:t xml:space="preserve"> 1988)</w:t>
      </w:r>
      <w:r w:rsidR="00C1405A">
        <w:rPr>
          <w:rFonts w:ascii="Garamond" w:hAnsi="Garamond"/>
        </w:rPr>
        <w:t xml:space="preserve">, whereas independent directors </w:t>
      </w:r>
      <w:r w:rsidR="000D10F3">
        <w:rPr>
          <w:rFonts w:ascii="Garamond" w:hAnsi="Garamond"/>
        </w:rPr>
        <w:t>are expected to increase the degree of scrutiny and monitoring towards the CEO and hence limit CEO power</w:t>
      </w:r>
      <w:r w:rsidR="007B5469">
        <w:rPr>
          <w:rFonts w:ascii="Garamond" w:hAnsi="Garamond"/>
        </w:rPr>
        <w:t xml:space="preserve">. </w:t>
      </w:r>
      <w:r w:rsidR="00AC03EE">
        <w:rPr>
          <w:rFonts w:ascii="Garamond" w:hAnsi="Garamond"/>
        </w:rPr>
        <w:t>Therefore,</w:t>
      </w:r>
      <w:r w:rsidR="007B5469">
        <w:rPr>
          <w:rFonts w:ascii="Garamond" w:hAnsi="Garamond"/>
        </w:rPr>
        <w:t xml:space="preserve"> we calculate the percentage of insiders and split our sample into deciles representing low, middle and high levels of </w:t>
      </w:r>
      <w:r w:rsidR="00B73E5A">
        <w:rPr>
          <w:rFonts w:ascii="Garamond" w:hAnsi="Garamond"/>
        </w:rPr>
        <w:t>insiders on the board</w:t>
      </w:r>
      <w:r w:rsidR="007B5469">
        <w:rPr>
          <w:rFonts w:ascii="Garamond" w:hAnsi="Garamond"/>
        </w:rPr>
        <w:t xml:space="preserve">. Our final measure of CEO power is CEO pay slice, defined as the ratio of the CEO’s total annual compensation to the aggregate of the </w:t>
      </w:r>
      <w:r w:rsidR="00D0508D">
        <w:rPr>
          <w:rFonts w:ascii="Garamond" w:hAnsi="Garamond"/>
        </w:rPr>
        <w:t>board of directors</w:t>
      </w:r>
      <w:r w:rsidR="00C03881">
        <w:rPr>
          <w:rFonts w:ascii="Garamond" w:hAnsi="Garamond"/>
        </w:rPr>
        <w:t>’</w:t>
      </w:r>
      <w:r w:rsidR="00D0508D">
        <w:rPr>
          <w:rFonts w:ascii="Garamond" w:hAnsi="Garamond"/>
        </w:rPr>
        <w:t xml:space="preserve"> </w:t>
      </w:r>
      <w:r w:rsidR="007B5469">
        <w:rPr>
          <w:rFonts w:ascii="Garamond" w:hAnsi="Garamond"/>
        </w:rPr>
        <w:t>compensation</w:t>
      </w:r>
      <w:r w:rsidR="003A37D9">
        <w:rPr>
          <w:rFonts w:ascii="Garamond" w:hAnsi="Garamond"/>
        </w:rPr>
        <w:t>s</w:t>
      </w:r>
      <w:r w:rsidR="007B5469">
        <w:rPr>
          <w:rFonts w:ascii="Garamond" w:hAnsi="Garamond"/>
        </w:rPr>
        <w:t xml:space="preserve"> (</w:t>
      </w:r>
      <w:proofErr w:type="spellStart"/>
      <w:r w:rsidR="007B5469">
        <w:rPr>
          <w:rFonts w:ascii="Garamond" w:hAnsi="Garamond"/>
        </w:rPr>
        <w:t>Bebchuk</w:t>
      </w:r>
      <w:proofErr w:type="spellEnd"/>
      <w:r w:rsidR="007B5469">
        <w:rPr>
          <w:rFonts w:ascii="Garamond" w:hAnsi="Garamond"/>
        </w:rPr>
        <w:t xml:space="preserve"> et al</w:t>
      </w:r>
      <w:r w:rsidR="003A37D9">
        <w:rPr>
          <w:rFonts w:ascii="Garamond" w:hAnsi="Garamond"/>
        </w:rPr>
        <w:t>.,</w:t>
      </w:r>
      <w:r w:rsidR="007B5469">
        <w:rPr>
          <w:rFonts w:ascii="Garamond" w:hAnsi="Garamond"/>
        </w:rPr>
        <w:t xml:space="preserve"> 2011)</w:t>
      </w:r>
      <w:r w:rsidR="0026420D">
        <w:rPr>
          <w:rFonts w:ascii="Garamond" w:hAnsi="Garamond"/>
        </w:rPr>
        <w:t>. We</w:t>
      </w:r>
      <w:r w:rsidR="00F87A7F">
        <w:rPr>
          <w:rFonts w:ascii="Garamond" w:hAnsi="Garamond"/>
        </w:rPr>
        <w:t xml:space="preserve"> split our sample into deciles based on the ratio of CEO pay to </w:t>
      </w:r>
      <w:r w:rsidR="006008C8">
        <w:rPr>
          <w:rFonts w:ascii="Garamond" w:hAnsi="Garamond"/>
        </w:rPr>
        <w:t>aggregate directors</w:t>
      </w:r>
      <w:r w:rsidR="0044240F">
        <w:rPr>
          <w:rFonts w:ascii="Garamond" w:hAnsi="Garamond"/>
        </w:rPr>
        <w:t>’</w:t>
      </w:r>
      <w:r w:rsidR="00F87A7F">
        <w:rPr>
          <w:rFonts w:ascii="Garamond" w:hAnsi="Garamond"/>
        </w:rPr>
        <w:t xml:space="preserve"> pay, since higher paid CEOs, relative to the rest of execu</w:t>
      </w:r>
      <w:r w:rsidR="003A37D9">
        <w:rPr>
          <w:rFonts w:ascii="Garamond" w:hAnsi="Garamond"/>
        </w:rPr>
        <w:t>tives</w:t>
      </w:r>
      <w:r w:rsidR="0026420D">
        <w:rPr>
          <w:rFonts w:ascii="Garamond" w:hAnsi="Garamond"/>
        </w:rPr>
        <w:t>, are assumed to be more powerful</w:t>
      </w:r>
      <w:r w:rsidR="00F87A7F">
        <w:rPr>
          <w:rFonts w:ascii="Garamond" w:hAnsi="Garamond"/>
        </w:rPr>
        <w:t xml:space="preserve">.  </w:t>
      </w:r>
    </w:p>
    <w:p w:rsidR="00724316" w:rsidRDefault="00724316" w:rsidP="000E4A73">
      <w:pPr>
        <w:spacing w:line="360" w:lineRule="auto"/>
        <w:jc w:val="both"/>
        <w:rPr>
          <w:rFonts w:ascii="Garamond" w:hAnsi="Garamond"/>
        </w:rPr>
      </w:pPr>
    </w:p>
    <w:p w:rsidR="009E1C49" w:rsidRDefault="00F87A7F" w:rsidP="000E4A73">
      <w:pPr>
        <w:spacing w:line="360" w:lineRule="auto"/>
        <w:jc w:val="both"/>
        <w:rPr>
          <w:rFonts w:ascii="Garamond" w:hAnsi="Garamond"/>
        </w:rPr>
      </w:pPr>
      <w:r>
        <w:rPr>
          <w:rFonts w:ascii="Garamond" w:hAnsi="Garamond"/>
        </w:rPr>
        <w:t xml:space="preserve">Table </w:t>
      </w:r>
      <w:r w:rsidR="00171563">
        <w:rPr>
          <w:rFonts w:ascii="Garamond" w:hAnsi="Garamond"/>
        </w:rPr>
        <w:t>7</w:t>
      </w:r>
      <w:r w:rsidR="00724316">
        <w:rPr>
          <w:rFonts w:ascii="Garamond" w:hAnsi="Garamond"/>
        </w:rPr>
        <w:t xml:space="preserve"> reports </w:t>
      </w:r>
      <w:r w:rsidR="00161118">
        <w:rPr>
          <w:rFonts w:ascii="Garamond" w:hAnsi="Garamond"/>
        </w:rPr>
        <w:t xml:space="preserve">our </w:t>
      </w:r>
      <w:r w:rsidR="00724316">
        <w:rPr>
          <w:rFonts w:ascii="Garamond" w:hAnsi="Garamond"/>
        </w:rPr>
        <w:t xml:space="preserve">results and shows that </w:t>
      </w:r>
      <w:r w:rsidR="00F5331A">
        <w:rPr>
          <w:rFonts w:ascii="Garamond" w:hAnsi="Garamond"/>
        </w:rPr>
        <w:t>the power of the CEO has a significant impact on the ability of female CFO</w:t>
      </w:r>
      <w:r w:rsidR="00E72061">
        <w:rPr>
          <w:rFonts w:ascii="Garamond" w:hAnsi="Garamond"/>
        </w:rPr>
        <w:t>s</w:t>
      </w:r>
      <w:r w:rsidR="00F5331A">
        <w:rPr>
          <w:rFonts w:ascii="Garamond" w:hAnsi="Garamond"/>
        </w:rPr>
        <w:t xml:space="preserve"> to influence </w:t>
      </w:r>
      <w:r w:rsidR="00DD2203">
        <w:rPr>
          <w:rFonts w:ascii="Garamond" w:hAnsi="Garamond"/>
        </w:rPr>
        <w:t>corporate leverage</w:t>
      </w:r>
      <w:r w:rsidR="00F5331A">
        <w:rPr>
          <w:rFonts w:ascii="Garamond" w:hAnsi="Garamond"/>
        </w:rPr>
        <w:t xml:space="preserve">. When the CEO is </w:t>
      </w:r>
      <w:r w:rsidR="0026420D">
        <w:rPr>
          <w:rFonts w:ascii="Garamond" w:hAnsi="Garamond"/>
        </w:rPr>
        <w:t xml:space="preserve">also the </w:t>
      </w:r>
      <w:r w:rsidR="00F5331A">
        <w:rPr>
          <w:rFonts w:ascii="Garamond" w:hAnsi="Garamond"/>
        </w:rPr>
        <w:t xml:space="preserve">chairman, the </w:t>
      </w:r>
      <w:r w:rsidR="00E97305">
        <w:rPr>
          <w:rFonts w:ascii="Garamond" w:hAnsi="Garamond"/>
        </w:rPr>
        <w:t xml:space="preserve">gender of the </w:t>
      </w:r>
      <w:r w:rsidR="00F5331A">
        <w:rPr>
          <w:rFonts w:ascii="Garamond" w:hAnsi="Garamond"/>
        </w:rPr>
        <w:t>CFO has no significant influence on leverage but when the CEO is not the chairman, we find evidence that female CFO</w:t>
      </w:r>
      <w:r w:rsidR="00E97305">
        <w:rPr>
          <w:rFonts w:ascii="Garamond" w:hAnsi="Garamond"/>
        </w:rPr>
        <w:t>s</w:t>
      </w:r>
      <w:r w:rsidR="00F5331A">
        <w:rPr>
          <w:rFonts w:ascii="Garamond" w:hAnsi="Garamond"/>
        </w:rPr>
        <w:t xml:space="preserve"> significantly reduce leverage in the firm</w:t>
      </w:r>
      <w:r w:rsidR="00E6217E">
        <w:rPr>
          <w:rFonts w:ascii="Garamond" w:hAnsi="Garamond"/>
        </w:rPr>
        <w:t xml:space="preserve"> by 0.0</w:t>
      </w:r>
      <w:r w:rsidR="00CB6366">
        <w:rPr>
          <w:rFonts w:ascii="Garamond" w:hAnsi="Garamond"/>
        </w:rPr>
        <w:t>46</w:t>
      </w:r>
      <w:r w:rsidR="00D16DEC">
        <w:rPr>
          <w:rFonts w:ascii="Garamond" w:hAnsi="Garamond"/>
        </w:rPr>
        <w:t>7</w:t>
      </w:r>
      <w:r w:rsidR="00B61C9B">
        <w:rPr>
          <w:rFonts w:ascii="Garamond" w:hAnsi="Garamond"/>
        </w:rPr>
        <w:t xml:space="preserve">, which translates to an economically significant reduction in leverage </w:t>
      </w:r>
      <w:r w:rsidR="00E6217E">
        <w:rPr>
          <w:rFonts w:ascii="Garamond" w:hAnsi="Garamond"/>
        </w:rPr>
        <w:t>by about 1</w:t>
      </w:r>
      <w:r w:rsidR="00CB6366">
        <w:rPr>
          <w:rFonts w:ascii="Garamond" w:hAnsi="Garamond"/>
        </w:rPr>
        <w:t>6.</w:t>
      </w:r>
      <w:r w:rsidR="00D16DEC">
        <w:rPr>
          <w:rFonts w:ascii="Garamond" w:hAnsi="Garamond"/>
        </w:rPr>
        <w:t>96</w:t>
      </w:r>
      <w:r w:rsidR="00E6217E">
        <w:rPr>
          <w:rFonts w:ascii="Garamond" w:hAnsi="Garamond"/>
        </w:rPr>
        <w:t>% (=</w:t>
      </w:r>
      <w:r w:rsidR="00517B66">
        <w:rPr>
          <w:rFonts w:ascii="Garamond" w:hAnsi="Garamond"/>
        </w:rPr>
        <w:t>-</w:t>
      </w:r>
      <w:r w:rsidR="00E6217E">
        <w:rPr>
          <w:rFonts w:ascii="Garamond" w:hAnsi="Garamond"/>
        </w:rPr>
        <w:t>0.0</w:t>
      </w:r>
      <w:r w:rsidR="00CB6366">
        <w:rPr>
          <w:rFonts w:ascii="Garamond" w:hAnsi="Garamond"/>
        </w:rPr>
        <w:t>46</w:t>
      </w:r>
      <w:r w:rsidR="00D16DEC">
        <w:rPr>
          <w:rFonts w:ascii="Garamond" w:hAnsi="Garamond"/>
        </w:rPr>
        <w:t>7</w:t>
      </w:r>
      <w:r w:rsidR="00E6217E">
        <w:rPr>
          <w:rFonts w:ascii="Garamond" w:hAnsi="Garamond"/>
        </w:rPr>
        <w:t>/0.2</w:t>
      </w:r>
      <w:r w:rsidR="00CB6366">
        <w:rPr>
          <w:rFonts w:ascii="Garamond" w:hAnsi="Garamond"/>
        </w:rPr>
        <w:t>754</w:t>
      </w:r>
      <w:r w:rsidR="00E6217E">
        <w:rPr>
          <w:rFonts w:ascii="Garamond" w:hAnsi="Garamond"/>
        </w:rPr>
        <w:t>), on average</w:t>
      </w:r>
      <w:r w:rsidR="00F5331A">
        <w:rPr>
          <w:rFonts w:ascii="Garamond" w:hAnsi="Garamond"/>
        </w:rPr>
        <w:t xml:space="preserve">. </w:t>
      </w:r>
      <w:r w:rsidR="002E5F7C">
        <w:rPr>
          <w:rFonts w:ascii="Garamond" w:hAnsi="Garamond"/>
        </w:rPr>
        <w:t xml:space="preserve">Our </w:t>
      </w:r>
      <w:r w:rsidR="006F1557">
        <w:rPr>
          <w:rFonts w:ascii="Garamond" w:hAnsi="Garamond"/>
        </w:rPr>
        <w:t xml:space="preserve">set of regressions using </w:t>
      </w:r>
      <w:r w:rsidR="009C65F5">
        <w:rPr>
          <w:rFonts w:ascii="Garamond" w:hAnsi="Garamond"/>
        </w:rPr>
        <w:t xml:space="preserve">the second </w:t>
      </w:r>
      <w:r w:rsidR="002E5F7C">
        <w:rPr>
          <w:rFonts w:ascii="Garamond" w:hAnsi="Garamond"/>
        </w:rPr>
        <w:t>measure of CEO power show</w:t>
      </w:r>
      <w:r w:rsidR="00324AC9">
        <w:rPr>
          <w:rFonts w:ascii="Garamond" w:hAnsi="Garamond"/>
        </w:rPr>
        <w:t>s</w:t>
      </w:r>
      <w:r w:rsidR="002E5F7C">
        <w:rPr>
          <w:rFonts w:ascii="Garamond" w:hAnsi="Garamond"/>
        </w:rPr>
        <w:t xml:space="preserve"> that </w:t>
      </w:r>
      <w:r w:rsidR="00F5331A">
        <w:rPr>
          <w:rFonts w:ascii="Garamond" w:hAnsi="Garamond"/>
        </w:rPr>
        <w:t xml:space="preserve">female </w:t>
      </w:r>
      <w:r w:rsidR="00042A85">
        <w:rPr>
          <w:rFonts w:ascii="Garamond" w:hAnsi="Garamond"/>
        </w:rPr>
        <w:t xml:space="preserve">CFOs </w:t>
      </w:r>
      <w:r w:rsidR="00F5331A">
        <w:rPr>
          <w:rFonts w:ascii="Garamond" w:hAnsi="Garamond"/>
        </w:rPr>
        <w:t xml:space="preserve">only significantly lower </w:t>
      </w:r>
      <w:r w:rsidR="00BD745A">
        <w:rPr>
          <w:rFonts w:ascii="Garamond" w:hAnsi="Garamond"/>
        </w:rPr>
        <w:t xml:space="preserve">corporate </w:t>
      </w:r>
      <w:r w:rsidR="00F5331A">
        <w:rPr>
          <w:rFonts w:ascii="Garamond" w:hAnsi="Garamond"/>
        </w:rPr>
        <w:t xml:space="preserve">leverage when there </w:t>
      </w:r>
      <w:proofErr w:type="gramStart"/>
      <w:r w:rsidR="00F5331A">
        <w:rPr>
          <w:rFonts w:ascii="Garamond" w:hAnsi="Garamond"/>
        </w:rPr>
        <w:t xml:space="preserve">is a low percentage of </w:t>
      </w:r>
      <w:r w:rsidR="002E5F7C">
        <w:rPr>
          <w:rFonts w:ascii="Garamond" w:hAnsi="Garamond"/>
        </w:rPr>
        <w:t>insiders</w:t>
      </w:r>
      <w:proofErr w:type="gramEnd"/>
      <w:r w:rsidR="002E5F7C">
        <w:rPr>
          <w:rFonts w:ascii="Garamond" w:hAnsi="Garamond"/>
        </w:rPr>
        <w:t xml:space="preserve"> in the firm, while we also report that female </w:t>
      </w:r>
      <w:r w:rsidR="009C65F5">
        <w:rPr>
          <w:rFonts w:ascii="Garamond" w:hAnsi="Garamond"/>
        </w:rPr>
        <w:t xml:space="preserve">CFOs </w:t>
      </w:r>
      <w:r w:rsidR="002E5F7C">
        <w:rPr>
          <w:rFonts w:ascii="Garamond" w:hAnsi="Garamond"/>
        </w:rPr>
        <w:t>only significantly reduce leverage when the CEO pay slice is relatively low.</w:t>
      </w:r>
      <w:r w:rsidR="009E1C49">
        <w:rPr>
          <w:rFonts w:ascii="Garamond" w:hAnsi="Garamond"/>
        </w:rPr>
        <w:t xml:space="preserve"> Specifically, female CFOs</w:t>
      </w:r>
      <w:r w:rsidR="00F065A9">
        <w:rPr>
          <w:rFonts w:ascii="Garamond" w:hAnsi="Garamond"/>
        </w:rPr>
        <w:t xml:space="preserve"> are found to</w:t>
      </w:r>
      <w:r w:rsidR="009E1C49">
        <w:rPr>
          <w:rFonts w:ascii="Garamond" w:hAnsi="Garamond"/>
        </w:rPr>
        <w:t xml:space="preserve"> </w:t>
      </w:r>
      <w:r w:rsidR="00F065A9">
        <w:rPr>
          <w:rFonts w:ascii="Garamond" w:hAnsi="Garamond"/>
        </w:rPr>
        <w:t>lower</w:t>
      </w:r>
      <w:r w:rsidR="009E1C49">
        <w:rPr>
          <w:rFonts w:ascii="Garamond" w:hAnsi="Garamond"/>
        </w:rPr>
        <w:t xml:space="preserve"> leverage by about </w:t>
      </w:r>
      <w:r w:rsidR="00EF52D7">
        <w:rPr>
          <w:rFonts w:ascii="Garamond" w:hAnsi="Garamond"/>
        </w:rPr>
        <w:t>3</w:t>
      </w:r>
      <w:r w:rsidR="00D16DEC">
        <w:rPr>
          <w:rFonts w:ascii="Garamond" w:hAnsi="Garamond"/>
        </w:rPr>
        <w:t>8.50</w:t>
      </w:r>
      <w:r w:rsidR="009E1C49">
        <w:rPr>
          <w:rFonts w:ascii="Garamond" w:hAnsi="Garamond"/>
        </w:rPr>
        <w:t>% (=</w:t>
      </w:r>
      <w:r w:rsidR="00517B66">
        <w:rPr>
          <w:rFonts w:ascii="Garamond" w:hAnsi="Garamond"/>
        </w:rPr>
        <w:t>-</w:t>
      </w:r>
      <w:r w:rsidR="009E1C49">
        <w:rPr>
          <w:rFonts w:ascii="Garamond" w:hAnsi="Garamond"/>
        </w:rPr>
        <w:t>0.0</w:t>
      </w:r>
      <w:r w:rsidR="00CB6366">
        <w:rPr>
          <w:rFonts w:ascii="Garamond" w:hAnsi="Garamond"/>
        </w:rPr>
        <w:t>9</w:t>
      </w:r>
      <w:r w:rsidR="00D16DEC">
        <w:rPr>
          <w:rFonts w:ascii="Garamond" w:hAnsi="Garamond"/>
        </w:rPr>
        <w:t>61</w:t>
      </w:r>
      <w:r w:rsidR="009E1C49">
        <w:rPr>
          <w:rFonts w:ascii="Garamond" w:hAnsi="Garamond"/>
        </w:rPr>
        <w:t>/0.2</w:t>
      </w:r>
      <w:r w:rsidR="00CB6366">
        <w:rPr>
          <w:rFonts w:ascii="Garamond" w:hAnsi="Garamond"/>
        </w:rPr>
        <w:t>496</w:t>
      </w:r>
      <w:r w:rsidR="009E1C49">
        <w:rPr>
          <w:rFonts w:ascii="Garamond" w:hAnsi="Garamond"/>
        </w:rPr>
        <w:t xml:space="preserve">) in </w:t>
      </w:r>
      <w:r w:rsidR="00F065A9">
        <w:rPr>
          <w:rFonts w:ascii="Garamond" w:hAnsi="Garamond"/>
        </w:rPr>
        <w:t xml:space="preserve">firms with </w:t>
      </w:r>
      <w:r w:rsidR="009E1C49">
        <w:rPr>
          <w:rFonts w:ascii="Garamond" w:hAnsi="Garamond"/>
        </w:rPr>
        <w:t>fewer insiders</w:t>
      </w:r>
      <w:r w:rsidR="00381B22">
        <w:rPr>
          <w:rFonts w:ascii="Garamond" w:hAnsi="Garamond"/>
        </w:rPr>
        <w:t xml:space="preserve"> on the board</w:t>
      </w:r>
      <w:r w:rsidR="009E1C49">
        <w:rPr>
          <w:rFonts w:ascii="Garamond" w:hAnsi="Garamond"/>
        </w:rPr>
        <w:t xml:space="preserve"> and</w:t>
      </w:r>
      <w:r w:rsidR="00F065A9">
        <w:rPr>
          <w:rFonts w:ascii="Garamond" w:hAnsi="Garamond"/>
        </w:rPr>
        <w:t xml:space="preserve"> by</w:t>
      </w:r>
      <w:r w:rsidR="009E1C49">
        <w:rPr>
          <w:rFonts w:ascii="Garamond" w:hAnsi="Garamond"/>
        </w:rPr>
        <w:t xml:space="preserve"> </w:t>
      </w:r>
      <w:r w:rsidR="00D16DEC">
        <w:rPr>
          <w:rFonts w:ascii="Garamond" w:hAnsi="Garamond"/>
        </w:rPr>
        <w:t>40.06</w:t>
      </w:r>
      <w:r w:rsidR="009E1C49">
        <w:rPr>
          <w:rFonts w:ascii="Garamond" w:hAnsi="Garamond"/>
        </w:rPr>
        <w:t>% (=</w:t>
      </w:r>
      <w:r w:rsidR="00517B66">
        <w:rPr>
          <w:rFonts w:ascii="Garamond" w:hAnsi="Garamond"/>
        </w:rPr>
        <w:t>-</w:t>
      </w:r>
      <w:r w:rsidR="009E1C49">
        <w:rPr>
          <w:rFonts w:ascii="Garamond" w:hAnsi="Garamond"/>
        </w:rPr>
        <w:t>0.0</w:t>
      </w:r>
      <w:r w:rsidR="00EF52D7">
        <w:rPr>
          <w:rFonts w:ascii="Garamond" w:hAnsi="Garamond"/>
        </w:rPr>
        <w:t>8</w:t>
      </w:r>
      <w:r w:rsidR="00D16DEC">
        <w:rPr>
          <w:rFonts w:ascii="Garamond" w:hAnsi="Garamond"/>
        </w:rPr>
        <w:t>28</w:t>
      </w:r>
      <w:r w:rsidR="009E1C49">
        <w:rPr>
          <w:rFonts w:ascii="Garamond" w:hAnsi="Garamond"/>
        </w:rPr>
        <w:t>/0.20</w:t>
      </w:r>
      <w:r w:rsidR="00EF52D7">
        <w:rPr>
          <w:rFonts w:ascii="Garamond" w:hAnsi="Garamond"/>
        </w:rPr>
        <w:t>67</w:t>
      </w:r>
      <w:r w:rsidR="009E1C49">
        <w:rPr>
          <w:rFonts w:ascii="Garamond" w:hAnsi="Garamond"/>
        </w:rPr>
        <w:t xml:space="preserve">) in </w:t>
      </w:r>
      <w:r w:rsidR="00F065A9">
        <w:rPr>
          <w:rFonts w:ascii="Garamond" w:hAnsi="Garamond"/>
        </w:rPr>
        <w:t>firms</w:t>
      </w:r>
      <w:r w:rsidR="009E1C49">
        <w:rPr>
          <w:rFonts w:ascii="Garamond" w:hAnsi="Garamond"/>
        </w:rPr>
        <w:t xml:space="preserve"> with</w:t>
      </w:r>
      <w:r w:rsidR="00381B22">
        <w:rPr>
          <w:rFonts w:ascii="Garamond" w:hAnsi="Garamond"/>
        </w:rPr>
        <w:t xml:space="preserve"> a</w:t>
      </w:r>
      <w:r w:rsidR="009E1C49">
        <w:rPr>
          <w:rFonts w:ascii="Garamond" w:hAnsi="Garamond"/>
        </w:rPr>
        <w:t xml:space="preserve"> lower CEO pay </w:t>
      </w:r>
      <w:r w:rsidR="00381B22">
        <w:rPr>
          <w:rFonts w:ascii="Garamond" w:hAnsi="Garamond"/>
        </w:rPr>
        <w:t>slice</w:t>
      </w:r>
      <w:r w:rsidR="009E1C49">
        <w:rPr>
          <w:rFonts w:ascii="Garamond" w:hAnsi="Garamond"/>
        </w:rPr>
        <w:t xml:space="preserve">, </w:t>
      </w:r>
      <w:r w:rsidR="009E1C49" w:rsidRPr="00E6217E">
        <w:rPr>
          <w:rFonts w:ascii="Garamond" w:hAnsi="Garamond"/>
        </w:rPr>
        <w:t xml:space="preserve">compared to the leverage of a firm run by </w:t>
      </w:r>
      <w:r w:rsidR="00B56FFF">
        <w:rPr>
          <w:rFonts w:ascii="Garamond" w:hAnsi="Garamond"/>
        </w:rPr>
        <w:t xml:space="preserve">a </w:t>
      </w:r>
      <w:r w:rsidR="009E1C49" w:rsidRPr="00E6217E">
        <w:rPr>
          <w:rFonts w:ascii="Garamond" w:hAnsi="Garamond"/>
        </w:rPr>
        <w:t>male CFO</w:t>
      </w:r>
      <w:r w:rsidR="009E1C49">
        <w:rPr>
          <w:rFonts w:ascii="Garamond" w:hAnsi="Garamond"/>
        </w:rPr>
        <w:t>.</w:t>
      </w:r>
    </w:p>
    <w:p w:rsidR="00D1066A" w:rsidRDefault="00D1066A" w:rsidP="000E4A73">
      <w:pPr>
        <w:spacing w:line="360" w:lineRule="auto"/>
        <w:jc w:val="both"/>
        <w:rPr>
          <w:rFonts w:ascii="Garamond" w:hAnsi="Garamond"/>
        </w:rPr>
      </w:pPr>
    </w:p>
    <w:p w:rsidR="00F87A7F" w:rsidRDefault="00161118" w:rsidP="000E4A73">
      <w:pPr>
        <w:spacing w:line="360" w:lineRule="auto"/>
        <w:jc w:val="both"/>
        <w:rPr>
          <w:rFonts w:ascii="Garamond" w:hAnsi="Garamond"/>
        </w:rPr>
      </w:pPr>
      <w:r>
        <w:rPr>
          <w:rFonts w:ascii="Garamond" w:hAnsi="Garamond"/>
        </w:rPr>
        <w:t xml:space="preserve">Overall, these results </w:t>
      </w:r>
      <w:r w:rsidR="002E5F7C">
        <w:rPr>
          <w:rFonts w:ascii="Garamond" w:hAnsi="Garamond"/>
        </w:rPr>
        <w:t>suggest that female CFOs significantly reduce the leverage in a firm only when the CEO is not classified as a powerful CEO</w:t>
      </w:r>
      <w:r w:rsidR="00CF3DBD">
        <w:rPr>
          <w:rFonts w:ascii="Garamond" w:hAnsi="Garamond"/>
        </w:rPr>
        <w:t xml:space="preserve">, providing strong evidence in support of </w:t>
      </w:r>
      <w:r w:rsidR="00CF3DBD">
        <w:rPr>
          <w:rFonts w:ascii="Garamond" w:hAnsi="Garamond"/>
        </w:rPr>
        <w:lastRenderedPageBreak/>
        <w:t xml:space="preserve">hypothesis </w:t>
      </w:r>
      <w:r w:rsidR="00CF3DBD" w:rsidRPr="00FC0763">
        <w:rPr>
          <w:rFonts w:ascii="Garamond" w:hAnsi="Garamond"/>
          <w:i/>
        </w:rPr>
        <w:t>H</w:t>
      </w:r>
      <w:r w:rsidR="00543D61">
        <w:rPr>
          <w:rFonts w:ascii="Garamond" w:hAnsi="Garamond"/>
          <w:i/>
        </w:rPr>
        <w:t>3</w:t>
      </w:r>
      <w:r w:rsidR="00CF3DBD">
        <w:rPr>
          <w:rFonts w:ascii="Garamond" w:hAnsi="Garamond"/>
          <w:i/>
        </w:rPr>
        <w:t xml:space="preserve"> </w:t>
      </w:r>
      <w:r w:rsidR="00CF3DBD" w:rsidRPr="001C4449">
        <w:rPr>
          <w:rFonts w:ascii="Garamond" w:hAnsi="Garamond"/>
        </w:rPr>
        <w:t xml:space="preserve">and </w:t>
      </w:r>
      <w:r w:rsidR="00CF3DBD">
        <w:rPr>
          <w:rFonts w:ascii="Garamond" w:hAnsi="Garamond"/>
        </w:rPr>
        <w:t xml:space="preserve">highlighting the important relationship between the CEO and the </w:t>
      </w:r>
      <w:r w:rsidR="00BD745A">
        <w:rPr>
          <w:rFonts w:ascii="Garamond" w:hAnsi="Garamond"/>
        </w:rPr>
        <w:t>other executive directors</w:t>
      </w:r>
      <w:r w:rsidR="00CF3DBD">
        <w:rPr>
          <w:rFonts w:ascii="Garamond" w:hAnsi="Garamond"/>
        </w:rPr>
        <w:t>.</w:t>
      </w:r>
      <w:r w:rsidR="002E5F7C">
        <w:rPr>
          <w:rFonts w:ascii="Garamond" w:hAnsi="Garamond"/>
        </w:rPr>
        <w:t xml:space="preserve"> </w:t>
      </w:r>
      <w:r>
        <w:rPr>
          <w:rFonts w:ascii="Garamond" w:hAnsi="Garamond"/>
        </w:rPr>
        <w:t xml:space="preserve">These findings have important implications for policy makers that seek to promote gender diversity and promote women in leadership positions. </w:t>
      </w:r>
      <w:r w:rsidR="00A52A5B">
        <w:rPr>
          <w:rFonts w:ascii="Garamond" w:hAnsi="Garamond"/>
        </w:rPr>
        <w:t>Our results suggest</w:t>
      </w:r>
      <w:r>
        <w:rPr>
          <w:rFonts w:ascii="Garamond" w:hAnsi="Garamond"/>
        </w:rPr>
        <w:t xml:space="preserve"> that</w:t>
      </w:r>
      <w:r w:rsidR="0019424F">
        <w:rPr>
          <w:rFonts w:ascii="Garamond" w:hAnsi="Garamond"/>
        </w:rPr>
        <w:t>,</w:t>
      </w:r>
      <w:r>
        <w:rPr>
          <w:rFonts w:ascii="Garamond" w:hAnsi="Garamond"/>
        </w:rPr>
        <w:t xml:space="preserve"> in order to increase the influence of women in corporate leadership positions</w:t>
      </w:r>
      <w:r w:rsidR="0019424F">
        <w:rPr>
          <w:rFonts w:ascii="Garamond" w:hAnsi="Garamond"/>
        </w:rPr>
        <w:t>,</w:t>
      </w:r>
      <w:r>
        <w:rPr>
          <w:rFonts w:ascii="Garamond" w:hAnsi="Garamond"/>
        </w:rPr>
        <w:t xml:space="preserve"> companies </w:t>
      </w:r>
      <w:r w:rsidR="00CF3DBD">
        <w:rPr>
          <w:rFonts w:ascii="Garamond" w:hAnsi="Garamond"/>
        </w:rPr>
        <w:t xml:space="preserve">and policy makers </w:t>
      </w:r>
      <w:r>
        <w:rPr>
          <w:rFonts w:ascii="Garamond" w:hAnsi="Garamond"/>
        </w:rPr>
        <w:t xml:space="preserve">not only need to look at the gender of the executives but also have to account for the diversity of the board and the power of the CEO in order to </w:t>
      </w:r>
      <w:r w:rsidR="008D52B4">
        <w:rPr>
          <w:rFonts w:ascii="Garamond" w:hAnsi="Garamond"/>
        </w:rPr>
        <w:t xml:space="preserve">boost women’s managerial discretion and to </w:t>
      </w:r>
      <w:r w:rsidR="00CF3DBD">
        <w:rPr>
          <w:rFonts w:ascii="Garamond" w:hAnsi="Garamond"/>
        </w:rPr>
        <w:t xml:space="preserve">enable </w:t>
      </w:r>
      <w:r w:rsidR="008D52B4">
        <w:rPr>
          <w:rFonts w:ascii="Garamond" w:hAnsi="Garamond"/>
        </w:rPr>
        <w:t>female leaders</w:t>
      </w:r>
      <w:r w:rsidR="00CF3DBD">
        <w:rPr>
          <w:rFonts w:ascii="Garamond" w:hAnsi="Garamond"/>
        </w:rPr>
        <w:t xml:space="preserve"> to affect corporate policies</w:t>
      </w:r>
      <w:r w:rsidR="002E5F7C">
        <w:rPr>
          <w:rFonts w:ascii="Garamond" w:hAnsi="Garamond"/>
        </w:rPr>
        <w:t>.</w:t>
      </w:r>
    </w:p>
    <w:p w:rsidR="00F608F3" w:rsidRDefault="00F608F3" w:rsidP="000E4A73">
      <w:pPr>
        <w:spacing w:line="360" w:lineRule="auto"/>
        <w:jc w:val="both"/>
        <w:rPr>
          <w:rFonts w:ascii="Garamond" w:hAnsi="Garamond"/>
        </w:rPr>
      </w:pPr>
    </w:p>
    <w:p w:rsidR="00F608F3" w:rsidRDefault="00F608F3" w:rsidP="00F608F3">
      <w:pPr>
        <w:jc w:val="both"/>
        <w:rPr>
          <w:rFonts w:ascii="Garamond" w:hAnsi="Garamond"/>
          <w:i/>
        </w:rPr>
      </w:pPr>
      <w:r>
        <w:rPr>
          <w:rFonts w:ascii="Garamond" w:hAnsi="Garamond"/>
          <w:i/>
        </w:rPr>
        <w:t xml:space="preserve">4.5. Internally versus Externally </w:t>
      </w:r>
      <w:r w:rsidR="0049084F">
        <w:rPr>
          <w:rFonts w:ascii="Garamond" w:hAnsi="Garamond"/>
          <w:i/>
        </w:rPr>
        <w:t>P</w:t>
      </w:r>
      <w:r>
        <w:rPr>
          <w:rFonts w:ascii="Garamond" w:hAnsi="Garamond"/>
          <w:i/>
        </w:rPr>
        <w:t xml:space="preserve">romoted </w:t>
      </w:r>
      <w:r w:rsidR="00C263F7">
        <w:rPr>
          <w:rFonts w:ascii="Garamond" w:hAnsi="Garamond"/>
          <w:i/>
        </w:rPr>
        <w:t xml:space="preserve">Female </w:t>
      </w:r>
      <w:r>
        <w:rPr>
          <w:rFonts w:ascii="Garamond" w:hAnsi="Garamond"/>
          <w:i/>
        </w:rPr>
        <w:t>CFOs</w:t>
      </w:r>
    </w:p>
    <w:p w:rsidR="00F608F3" w:rsidRDefault="00F608F3" w:rsidP="00F608F3">
      <w:pPr>
        <w:jc w:val="both"/>
        <w:rPr>
          <w:rFonts w:ascii="Garamond" w:hAnsi="Garamond"/>
          <w:i/>
        </w:rPr>
      </w:pPr>
    </w:p>
    <w:p w:rsidR="00F608F3" w:rsidRPr="001669F8" w:rsidRDefault="00002263" w:rsidP="00F608F3">
      <w:pPr>
        <w:spacing w:line="360" w:lineRule="auto"/>
        <w:jc w:val="both"/>
        <w:rPr>
          <w:rFonts w:ascii="Garamond" w:hAnsi="Garamond"/>
        </w:rPr>
      </w:pPr>
      <w:r>
        <w:rPr>
          <w:rFonts w:ascii="Garamond" w:hAnsi="Garamond"/>
        </w:rPr>
        <w:t>In line with our findings of the previous sections, we</w:t>
      </w:r>
      <w:r w:rsidR="00D21519">
        <w:rPr>
          <w:rFonts w:ascii="Garamond" w:hAnsi="Garamond"/>
        </w:rPr>
        <w:t xml:space="preserve"> now test whether there is a</w:t>
      </w:r>
      <w:r w:rsidR="00F608F3">
        <w:rPr>
          <w:rFonts w:ascii="Garamond" w:hAnsi="Garamond"/>
        </w:rPr>
        <w:t xml:space="preserve"> difference between internally and externally appointed </w:t>
      </w:r>
      <w:r w:rsidR="00D21519">
        <w:rPr>
          <w:rFonts w:ascii="Garamond" w:hAnsi="Garamond"/>
        </w:rPr>
        <w:t xml:space="preserve">female </w:t>
      </w:r>
      <w:r w:rsidR="00F608F3">
        <w:rPr>
          <w:rFonts w:ascii="Garamond" w:hAnsi="Garamond"/>
        </w:rPr>
        <w:t>CFOs</w:t>
      </w:r>
      <w:r w:rsidR="00D21519">
        <w:rPr>
          <w:rFonts w:ascii="Garamond" w:hAnsi="Garamond"/>
        </w:rPr>
        <w:t xml:space="preserve"> in their propensity to affect corporate leverage</w:t>
      </w:r>
      <w:r w:rsidR="00F608F3">
        <w:rPr>
          <w:rFonts w:ascii="Garamond" w:hAnsi="Garamond"/>
        </w:rPr>
        <w:t>. Internally appointed CFOs may be more aligned to the current structures and policies of the firm and less likely to make dramatic changes to the firm. Further</w:t>
      </w:r>
      <w:r w:rsidR="00C87AC8">
        <w:rPr>
          <w:rFonts w:ascii="Garamond" w:hAnsi="Garamond"/>
        </w:rPr>
        <w:t>more</w:t>
      </w:r>
      <w:r w:rsidR="00F608F3">
        <w:rPr>
          <w:rFonts w:ascii="Garamond" w:hAnsi="Garamond"/>
        </w:rPr>
        <w:t xml:space="preserve">, internally appointed CFOs </w:t>
      </w:r>
      <w:r w:rsidR="00845233">
        <w:rPr>
          <w:rFonts w:ascii="Garamond" w:hAnsi="Garamond"/>
        </w:rPr>
        <w:t xml:space="preserve">might be more closely tied to the current CEO and hence less likely to deviate from existing corporate </w:t>
      </w:r>
      <w:r w:rsidR="00506944">
        <w:rPr>
          <w:rFonts w:ascii="Garamond" w:hAnsi="Garamond"/>
        </w:rPr>
        <w:t>policies</w:t>
      </w:r>
      <w:r w:rsidR="00F608F3">
        <w:rPr>
          <w:rFonts w:ascii="Garamond" w:hAnsi="Garamond"/>
        </w:rPr>
        <w:t xml:space="preserve">. Externally appointed CFOs however may have </w:t>
      </w:r>
      <w:proofErr w:type="gramStart"/>
      <w:r w:rsidR="00F608F3">
        <w:rPr>
          <w:rFonts w:ascii="Garamond" w:hAnsi="Garamond"/>
        </w:rPr>
        <w:t>less allegiances</w:t>
      </w:r>
      <w:proofErr w:type="gramEnd"/>
      <w:r w:rsidR="00F608F3">
        <w:rPr>
          <w:rFonts w:ascii="Garamond" w:hAnsi="Garamond"/>
        </w:rPr>
        <w:t xml:space="preserve"> to other top executives at the firm</w:t>
      </w:r>
      <w:r w:rsidR="008D52B4">
        <w:rPr>
          <w:rFonts w:ascii="Garamond" w:hAnsi="Garamond"/>
        </w:rPr>
        <w:t>, allowing them greater</w:t>
      </w:r>
      <w:r w:rsidR="002300C7">
        <w:rPr>
          <w:rFonts w:ascii="Garamond" w:hAnsi="Garamond"/>
        </w:rPr>
        <w:t xml:space="preserve"> managerial</w:t>
      </w:r>
      <w:r w:rsidR="008D52B4">
        <w:rPr>
          <w:rFonts w:ascii="Garamond" w:hAnsi="Garamond"/>
        </w:rPr>
        <w:t xml:space="preserve"> discretion</w:t>
      </w:r>
      <w:r w:rsidR="007D7444">
        <w:rPr>
          <w:rFonts w:ascii="Garamond" w:hAnsi="Garamond"/>
        </w:rPr>
        <w:t xml:space="preserve"> to change firm leverage</w:t>
      </w:r>
      <w:r w:rsidR="008D52B4">
        <w:rPr>
          <w:rFonts w:ascii="Garamond" w:hAnsi="Garamond"/>
        </w:rPr>
        <w:t>,</w:t>
      </w:r>
      <w:r w:rsidR="00F608F3">
        <w:rPr>
          <w:rFonts w:ascii="Garamond" w:hAnsi="Garamond"/>
        </w:rPr>
        <w:t xml:space="preserve"> and </w:t>
      </w:r>
      <w:r w:rsidR="006E0B3C">
        <w:rPr>
          <w:rFonts w:ascii="Garamond" w:hAnsi="Garamond"/>
        </w:rPr>
        <w:t xml:space="preserve">may </w:t>
      </w:r>
      <w:r w:rsidR="00F608F3">
        <w:rPr>
          <w:rFonts w:ascii="Garamond" w:hAnsi="Garamond"/>
        </w:rPr>
        <w:t>not be as familiar with the policies of the firm</w:t>
      </w:r>
      <w:r w:rsidR="00676CB9">
        <w:rPr>
          <w:rFonts w:ascii="Garamond" w:hAnsi="Garamond"/>
        </w:rPr>
        <w:t xml:space="preserve"> which could lead to a deviation of their decisions from the existing trend of corporate policies</w:t>
      </w:r>
      <w:r w:rsidR="00F608F3">
        <w:rPr>
          <w:rFonts w:ascii="Garamond" w:hAnsi="Garamond"/>
        </w:rPr>
        <w:t xml:space="preserve">. </w:t>
      </w:r>
      <w:r w:rsidR="00013418">
        <w:rPr>
          <w:rFonts w:ascii="Garamond" w:hAnsi="Garamond"/>
        </w:rPr>
        <w:t xml:space="preserve">To test whether the </w:t>
      </w:r>
      <w:r w:rsidR="001B0AB9">
        <w:rPr>
          <w:rFonts w:ascii="Garamond" w:hAnsi="Garamond"/>
        </w:rPr>
        <w:t xml:space="preserve">effect of CFO gender on corporate leverage depends on the hiring status of the CFO, </w:t>
      </w:r>
      <w:r w:rsidR="00F608F3">
        <w:rPr>
          <w:rFonts w:ascii="Garamond" w:hAnsi="Garamond"/>
        </w:rPr>
        <w:t xml:space="preserve">in Table </w:t>
      </w:r>
      <w:r w:rsidR="00EE11DA">
        <w:rPr>
          <w:rFonts w:ascii="Garamond" w:hAnsi="Garamond"/>
        </w:rPr>
        <w:t>8</w:t>
      </w:r>
      <w:r w:rsidR="00F608F3">
        <w:rPr>
          <w:rFonts w:ascii="Garamond" w:hAnsi="Garamond"/>
        </w:rPr>
        <w:t xml:space="preserve"> we spilt our data into internally and externally appointed CFOs</w:t>
      </w:r>
      <w:r w:rsidR="0019424F">
        <w:rPr>
          <w:rFonts w:ascii="Garamond" w:hAnsi="Garamond"/>
        </w:rPr>
        <w:t>. W</w:t>
      </w:r>
      <w:r w:rsidR="00F608F3">
        <w:rPr>
          <w:rFonts w:ascii="Garamond" w:hAnsi="Garamond"/>
        </w:rPr>
        <w:t>e define internally appointed CFOs as individuals who have been at the firm at least one full year</w:t>
      </w:r>
      <w:r w:rsidR="00927949">
        <w:rPr>
          <w:rFonts w:ascii="Garamond" w:hAnsi="Garamond"/>
        </w:rPr>
        <w:t xml:space="preserve"> prior to their appointment</w:t>
      </w:r>
      <w:r w:rsidR="00F608F3">
        <w:rPr>
          <w:rFonts w:ascii="Garamond" w:hAnsi="Garamond"/>
        </w:rPr>
        <w:t>.</w:t>
      </w:r>
      <w:r w:rsidR="00F608F3">
        <w:rPr>
          <w:rStyle w:val="a9"/>
          <w:rFonts w:ascii="Garamond" w:hAnsi="Garamond"/>
        </w:rPr>
        <w:footnoteReference w:id="10"/>
      </w:r>
      <w:r w:rsidR="00F608F3">
        <w:rPr>
          <w:rFonts w:ascii="Garamond" w:hAnsi="Garamond"/>
        </w:rPr>
        <w:t xml:space="preserve"> We find that across all specifications of board diversity, externally appointed female CFOs significantly reduce </w:t>
      </w:r>
      <w:r w:rsidR="00D100E2">
        <w:rPr>
          <w:rFonts w:ascii="Garamond" w:hAnsi="Garamond"/>
        </w:rPr>
        <w:t xml:space="preserve">the </w:t>
      </w:r>
      <w:r w:rsidR="00F608F3">
        <w:rPr>
          <w:rFonts w:ascii="Garamond" w:hAnsi="Garamond"/>
        </w:rPr>
        <w:t xml:space="preserve">leverage of the firm </w:t>
      </w:r>
      <w:r w:rsidR="002A3444">
        <w:rPr>
          <w:rFonts w:ascii="Garamond" w:hAnsi="Garamond"/>
        </w:rPr>
        <w:t xml:space="preserve">whereas the gender of </w:t>
      </w:r>
      <w:r w:rsidR="00B274ED">
        <w:rPr>
          <w:rFonts w:ascii="Garamond" w:hAnsi="Garamond"/>
        </w:rPr>
        <w:t>internally appointed CFOs does not affect corporate leverage</w:t>
      </w:r>
      <w:r w:rsidR="00F608F3">
        <w:rPr>
          <w:rFonts w:ascii="Garamond" w:hAnsi="Garamond"/>
        </w:rPr>
        <w:t xml:space="preserve">. </w:t>
      </w:r>
      <w:r w:rsidR="0061560C">
        <w:rPr>
          <w:rFonts w:ascii="Garamond" w:hAnsi="Garamond"/>
        </w:rPr>
        <w:t xml:space="preserve">On average across our six </w:t>
      </w:r>
      <w:proofErr w:type="gramStart"/>
      <w:r w:rsidR="0061560C">
        <w:rPr>
          <w:rFonts w:ascii="Garamond" w:hAnsi="Garamond"/>
        </w:rPr>
        <w:t>specification</w:t>
      </w:r>
      <w:proofErr w:type="gramEnd"/>
      <w:r w:rsidR="0061560C">
        <w:rPr>
          <w:rFonts w:ascii="Garamond" w:hAnsi="Garamond"/>
        </w:rPr>
        <w:t>,</w:t>
      </w:r>
      <w:r w:rsidR="00EB05EE">
        <w:rPr>
          <w:rFonts w:ascii="Garamond" w:hAnsi="Garamond"/>
        </w:rPr>
        <w:t xml:space="preserve"> externally appointed</w:t>
      </w:r>
      <w:r w:rsidR="00C0247E" w:rsidRPr="00C0247E">
        <w:rPr>
          <w:rFonts w:ascii="Garamond" w:hAnsi="Garamond"/>
        </w:rPr>
        <w:t xml:space="preserve"> female CFOs lower leverage by </w:t>
      </w:r>
      <w:r w:rsidR="00C0247E">
        <w:rPr>
          <w:rFonts w:ascii="Garamond" w:hAnsi="Garamond"/>
        </w:rPr>
        <w:t>more than</w:t>
      </w:r>
      <w:r w:rsidR="00C0247E" w:rsidRPr="00C0247E">
        <w:rPr>
          <w:rFonts w:ascii="Garamond" w:hAnsi="Garamond"/>
        </w:rPr>
        <w:t xml:space="preserve"> </w:t>
      </w:r>
      <w:r w:rsidR="0061560C">
        <w:rPr>
          <w:rFonts w:ascii="Garamond" w:hAnsi="Garamond"/>
        </w:rPr>
        <w:t>24.</w:t>
      </w:r>
      <w:r w:rsidR="00EA3CDC">
        <w:rPr>
          <w:rFonts w:ascii="Garamond" w:hAnsi="Garamond"/>
        </w:rPr>
        <w:t>39</w:t>
      </w:r>
      <w:r w:rsidR="00C0247E" w:rsidRPr="00C0247E">
        <w:rPr>
          <w:rFonts w:ascii="Garamond" w:hAnsi="Garamond"/>
        </w:rPr>
        <w:t>% (=</w:t>
      </w:r>
      <w:r w:rsidR="00517B66">
        <w:rPr>
          <w:rFonts w:ascii="Garamond" w:hAnsi="Garamond"/>
        </w:rPr>
        <w:t>-</w:t>
      </w:r>
      <w:r w:rsidR="00C0247E" w:rsidRPr="00C0247E">
        <w:rPr>
          <w:rFonts w:ascii="Garamond" w:hAnsi="Garamond"/>
        </w:rPr>
        <w:t>0.</w:t>
      </w:r>
      <w:r w:rsidR="0061560C" w:rsidRPr="00C0247E">
        <w:rPr>
          <w:rFonts w:ascii="Garamond" w:hAnsi="Garamond"/>
        </w:rPr>
        <w:t>0</w:t>
      </w:r>
      <w:r w:rsidR="0061560C">
        <w:rPr>
          <w:rFonts w:ascii="Garamond" w:hAnsi="Garamond"/>
        </w:rPr>
        <w:t>654</w:t>
      </w:r>
      <w:r w:rsidR="00C0247E" w:rsidRPr="00C0247E">
        <w:rPr>
          <w:rFonts w:ascii="Garamond" w:hAnsi="Garamond"/>
        </w:rPr>
        <w:t>/0.</w:t>
      </w:r>
      <w:r w:rsidR="00C0247E">
        <w:rPr>
          <w:rFonts w:ascii="Garamond" w:hAnsi="Garamond"/>
        </w:rPr>
        <w:t>2</w:t>
      </w:r>
      <w:r w:rsidR="00101C01">
        <w:rPr>
          <w:rFonts w:ascii="Garamond" w:hAnsi="Garamond"/>
        </w:rPr>
        <w:t>682</w:t>
      </w:r>
      <w:r w:rsidR="0061560C">
        <w:rPr>
          <w:rFonts w:ascii="Garamond" w:hAnsi="Garamond"/>
        </w:rPr>
        <w:t>)</w:t>
      </w:r>
      <w:r w:rsidR="00C0247E" w:rsidRPr="00C0247E">
        <w:rPr>
          <w:rFonts w:ascii="Garamond" w:hAnsi="Garamond"/>
        </w:rPr>
        <w:t xml:space="preserve">, compared to the leverage of a firm run by </w:t>
      </w:r>
      <w:r w:rsidR="00AC529E">
        <w:rPr>
          <w:rFonts w:ascii="Garamond" w:hAnsi="Garamond"/>
        </w:rPr>
        <w:t xml:space="preserve">an </w:t>
      </w:r>
      <w:r w:rsidR="00EB05EE">
        <w:rPr>
          <w:rFonts w:ascii="Garamond" w:hAnsi="Garamond"/>
        </w:rPr>
        <w:t xml:space="preserve">externally appointed </w:t>
      </w:r>
      <w:r w:rsidR="00C0247E" w:rsidRPr="00C0247E">
        <w:rPr>
          <w:rFonts w:ascii="Garamond" w:hAnsi="Garamond"/>
        </w:rPr>
        <w:t>male CFO.</w:t>
      </w:r>
      <w:r w:rsidR="00F608F3">
        <w:rPr>
          <w:rFonts w:ascii="Garamond" w:hAnsi="Garamond"/>
        </w:rPr>
        <w:t xml:space="preserve"> This suggests that internally appointed female CFOs may be more constrained in </w:t>
      </w:r>
      <w:r w:rsidR="003D5007">
        <w:rPr>
          <w:rFonts w:ascii="Garamond" w:hAnsi="Garamond"/>
        </w:rPr>
        <w:t>their managerial discretion</w:t>
      </w:r>
      <w:r w:rsidR="00F608F3">
        <w:rPr>
          <w:rFonts w:ascii="Garamond" w:hAnsi="Garamond"/>
        </w:rPr>
        <w:t xml:space="preserve"> compared to externally </w:t>
      </w:r>
      <w:proofErr w:type="gramStart"/>
      <w:r w:rsidR="00F608F3">
        <w:rPr>
          <w:rFonts w:ascii="Garamond" w:hAnsi="Garamond"/>
        </w:rPr>
        <w:t>appointed</w:t>
      </w:r>
      <w:proofErr w:type="gramEnd"/>
      <w:r w:rsidR="00F608F3">
        <w:rPr>
          <w:rFonts w:ascii="Garamond" w:hAnsi="Garamond"/>
        </w:rPr>
        <w:t xml:space="preserve"> female CFOs.</w:t>
      </w:r>
      <w:r w:rsidR="00B274ED">
        <w:rPr>
          <w:rFonts w:ascii="Garamond" w:hAnsi="Garamond"/>
        </w:rPr>
        <w:t xml:space="preserve"> This finding is in line with </w:t>
      </w:r>
      <w:r w:rsidR="009631D8">
        <w:rPr>
          <w:rFonts w:ascii="Garamond" w:hAnsi="Garamond"/>
        </w:rPr>
        <w:t xml:space="preserve">our expectation under </w:t>
      </w:r>
      <w:r w:rsidR="009631D8" w:rsidRPr="009C2916">
        <w:rPr>
          <w:rFonts w:ascii="Garamond" w:hAnsi="Garamond"/>
          <w:i/>
          <w:iCs/>
        </w:rPr>
        <w:t>H4</w:t>
      </w:r>
      <w:r w:rsidR="009631D8">
        <w:rPr>
          <w:rFonts w:ascii="Garamond" w:hAnsi="Garamond"/>
        </w:rPr>
        <w:t xml:space="preserve"> and also supports </w:t>
      </w:r>
      <w:r w:rsidR="002C5EBF">
        <w:rPr>
          <w:rFonts w:ascii="Garamond" w:hAnsi="Garamond"/>
        </w:rPr>
        <w:t>our results on CEO power suggesting that only if CFOs are sufficiently ‘independent’ from the CEO and management</w:t>
      </w:r>
      <w:r w:rsidR="00AA1C3C">
        <w:rPr>
          <w:rFonts w:ascii="Garamond" w:hAnsi="Garamond"/>
        </w:rPr>
        <w:t xml:space="preserve"> and have sufficient managerial discretion</w:t>
      </w:r>
      <w:r w:rsidR="00350F62">
        <w:rPr>
          <w:rFonts w:ascii="Garamond" w:hAnsi="Garamond"/>
        </w:rPr>
        <w:t>, will female CFOs implement more conservative leverage policies</w:t>
      </w:r>
      <w:r w:rsidR="00703254">
        <w:rPr>
          <w:rFonts w:ascii="Garamond" w:hAnsi="Garamond"/>
        </w:rPr>
        <w:t xml:space="preserve"> that differ from their male counterparts. </w:t>
      </w:r>
    </w:p>
    <w:p w:rsidR="00F608F3" w:rsidRDefault="00F608F3" w:rsidP="001C5149">
      <w:pPr>
        <w:ind w:left="714" w:hanging="357"/>
        <w:jc w:val="both"/>
        <w:rPr>
          <w:rFonts w:ascii="Garamond" w:hAnsi="Garamond"/>
        </w:rPr>
      </w:pPr>
    </w:p>
    <w:p w:rsidR="00CF3DBD" w:rsidRDefault="00CF3DBD" w:rsidP="000E4A73">
      <w:pPr>
        <w:spacing w:line="360" w:lineRule="auto"/>
        <w:jc w:val="both"/>
        <w:rPr>
          <w:rFonts w:ascii="Garamond" w:hAnsi="Garamond"/>
          <w:color w:val="FF0000"/>
        </w:rPr>
      </w:pPr>
    </w:p>
    <w:p w:rsidR="00CA11BD" w:rsidRPr="00C0670F" w:rsidRDefault="00C0670F" w:rsidP="001C5149">
      <w:pPr>
        <w:pStyle w:val="a3"/>
        <w:numPr>
          <w:ilvl w:val="0"/>
          <w:numId w:val="1"/>
        </w:numPr>
        <w:ind w:left="714" w:hanging="357"/>
        <w:contextualSpacing w:val="0"/>
        <w:jc w:val="both"/>
        <w:rPr>
          <w:rFonts w:ascii="Garamond" w:hAnsi="Garamond"/>
          <w:b/>
        </w:rPr>
      </w:pPr>
      <w:r w:rsidRPr="00C0670F">
        <w:rPr>
          <w:rFonts w:ascii="Garamond" w:hAnsi="Garamond"/>
          <w:b/>
        </w:rPr>
        <w:lastRenderedPageBreak/>
        <w:t>Robustness Checks</w:t>
      </w:r>
    </w:p>
    <w:p w:rsidR="00C0670F" w:rsidRDefault="00C0670F" w:rsidP="001C5149">
      <w:pPr>
        <w:pStyle w:val="a3"/>
        <w:contextualSpacing w:val="0"/>
        <w:jc w:val="both"/>
        <w:rPr>
          <w:rFonts w:ascii="Garamond" w:hAnsi="Garamond"/>
          <w:b/>
        </w:rPr>
      </w:pPr>
    </w:p>
    <w:p w:rsidR="00234E24" w:rsidRDefault="00C0670F" w:rsidP="00234E24">
      <w:pPr>
        <w:jc w:val="both"/>
        <w:rPr>
          <w:rFonts w:ascii="Garamond" w:hAnsi="Garamond"/>
          <w:i/>
        </w:rPr>
      </w:pPr>
      <w:r>
        <w:rPr>
          <w:rFonts w:ascii="Garamond" w:hAnsi="Garamond"/>
          <w:i/>
        </w:rPr>
        <w:t>5.1.</w:t>
      </w:r>
      <w:r w:rsidR="00211FD4">
        <w:rPr>
          <w:rFonts w:ascii="Garamond" w:hAnsi="Garamond"/>
          <w:i/>
        </w:rPr>
        <w:t xml:space="preserve"> </w:t>
      </w:r>
      <w:proofErr w:type="spellStart"/>
      <w:r w:rsidR="00234E24">
        <w:rPr>
          <w:rFonts w:ascii="Garamond" w:hAnsi="Garamond"/>
          <w:i/>
        </w:rPr>
        <w:t>Endogeneity</w:t>
      </w:r>
      <w:proofErr w:type="spellEnd"/>
      <w:r w:rsidR="00234E24">
        <w:rPr>
          <w:rFonts w:ascii="Garamond" w:hAnsi="Garamond"/>
          <w:i/>
        </w:rPr>
        <w:t xml:space="preserve"> Checks</w:t>
      </w:r>
    </w:p>
    <w:p w:rsidR="00234E24" w:rsidRDefault="00234E24" w:rsidP="001C5149">
      <w:pPr>
        <w:ind w:left="714" w:hanging="357"/>
        <w:jc w:val="both"/>
        <w:rPr>
          <w:rFonts w:ascii="Garamond" w:hAnsi="Garamond"/>
          <w:i/>
        </w:rPr>
      </w:pPr>
    </w:p>
    <w:p w:rsidR="00234E24" w:rsidRDefault="00E9441E" w:rsidP="00065E2C">
      <w:pPr>
        <w:spacing w:line="360" w:lineRule="auto"/>
        <w:jc w:val="both"/>
        <w:rPr>
          <w:rFonts w:ascii="Garamond" w:hAnsi="Garamond"/>
          <w:i/>
        </w:rPr>
      </w:pPr>
      <w:r w:rsidRPr="00E9441E">
        <w:rPr>
          <w:rFonts w:ascii="Garamond" w:hAnsi="Garamond"/>
        </w:rPr>
        <w:t xml:space="preserve">While the regression results </w:t>
      </w:r>
      <w:r w:rsidR="00597DC7">
        <w:rPr>
          <w:rFonts w:ascii="Garamond" w:hAnsi="Garamond"/>
        </w:rPr>
        <w:t xml:space="preserve">presented in the previous sections </w:t>
      </w:r>
      <w:r w:rsidRPr="00E9441E">
        <w:rPr>
          <w:rFonts w:ascii="Garamond" w:hAnsi="Garamond"/>
        </w:rPr>
        <w:t xml:space="preserve">suggest that female CFOs take on </w:t>
      </w:r>
      <w:r w:rsidR="00AA1C3C">
        <w:rPr>
          <w:rFonts w:ascii="Garamond" w:hAnsi="Garamond"/>
        </w:rPr>
        <w:t>less debt</w:t>
      </w:r>
      <w:r w:rsidRPr="00E9441E">
        <w:rPr>
          <w:rFonts w:ascii="Garamond" w:hAnsi="Garamond"/>
        </w:rPr>
        <w:t xml:space="preserve"> than their male counterparts, it is difficult to identify statistically the causal effect of female CFOs on firm leverage. An ideal experimental design would require the random assignment of firms into treatment and control groups, which is rare and impossible in this context. The above estimation</w:t>
      </w:r>
      <w:r w:rsidR="006747C2">
        <w:rPr>
          <w:rFonts w:ascii="Garamond" w:hAnsi="Garamond"/>
        </w:rPr>
        <w:t>s</w:t>
      </w:r>
      <w:r w:rsidRPr="00E9441E">
        <w:rPr>
          <w:rFonts w:ascii="Garamond" w:hAnsi="Garamond"/>
        </w:rPr>
        <w:t xml:space="preserve"> assume that the presence of a female CFO is exogenous</w:t>
      </w:r>
      <w:r>
        <w:rPr>
          <w:rFonts w:ascii="Garamond" w:hAnsi="Garamond"/>
        </w:rPr>
        <w:t>. H</w:t>
      </w:r>
      <w:r w:rsidRPr="00E9441E">
        <w:rPr>
          <w:rFonts w:ascii="Garamond" w:hAnsi="Garamond"/>
        </w:rPr>
        <w:t>owever</w:t>
      </w:r>
      <w:r w:rsidR="00065E2C">
        <w:rPr>
          <w:rFonts w:ascii="Garamond" w:hAnsi="Garamond"/>
        </w:rPr>
        <w:t>,</w:t>
      </w:r>
      <w:r w:rsidRPr="00E9441E">
        <w:rPr>
          <w:rFonts w:ascii="Garamond" w:hAnsi="Garamond"/>
        </w:rPr>
        <w:t xml:space="preserve"> it is likely to be endogenous and depends on both the firm’s demand for female CFOs and the willingness of the candidate to join the firm.</w:t>
      </w:r>
      <w:r>
        <w:rPr>
          <w:rFonts w:ascii="Garamond" w:hAnsi="Garamond"/>
        </w:rPr>
        <w:t xml:space="preserve"> </w:t>
      </w:r>
      <w:r w:rsidR="00234E24">
        <w:rPr>
          <w:rFonts w:ascii="Garamond" w:hAnsi="Garamond"/>
        </w:rPr>
        <w:t>In the following section</w:t>
      </w:r>
      <w:r w:rsidR="008D4F9F">
        <w:rPr>
          <w:rFonts w:ascii="Garamond" w:hAnsi="Garamond"/>
        </w:rPr>
        <w:t xml:space="preserve">s, we propose </w:t>
      </w:r>
      <w:r w:rsidR="001A075C">
        <w:rPr>
          <w:rFonts w:ascii="Garamond" w:hAnsi="Garamond"/>
        </w:rPr>
        <w:t xml:space="preserve">five </w:t>
      </w:r>
      <w:r w:rsidR="008D4F9F">
        <w:rPr>
          <w:rFonts w:ascii="Garamond" w:hAnsi="Garamond"/>
        </w:rPr>
        <w:t xml:space="preserve">ways to account for and mitigate </w:t>
      </w:r>
      <w:r w:rsidR="00065E2C">
        <w:rPr>
          <w:rFonts w:ascii="Garamond" w:hAnsi="Garamond"/>
        </w:rPr>
        <w:t xml:space="preserve">this </w:t>
      </w:r>
      <w:proofErr w:type="spellStart"/>
      <w:r w:rsidR="00065E2C">
        <w:rPr>
          <w:rFonts w:ascii="Garamond" w:hAnsi="Garamond"/>
        </w:rPr>
        <w:t>endogeneity</w:t>
      </w:r>
      <w:proofErr w:type="spellEnd"/>
      <w:r w:rsidR="00065E2C">
        <w:rPr>
          <w:rFonts w:ascii="Garamond" w:hAnsi="Garamond"/>
        </w:rPr>
        <w:t xml:space="preserve">: (1) Difference-in-Difference analysis; (2) </w:t>
      </w:r>
      <w:r w:rsidR="006856A1">
        <w:rPr>
          <w:rFonts w:ascii="Garamond" w:hAnsi="Garamond"/>
        </w:rPr>
        <w:t xml:space="preserve">Firm Fixed Effects regressions for Transition firms; (3) Multiple, </w:t>
      </w:r>
      <w:r w:rsidR="00917D44">
        <w:rPr>
          <w:rFonts w:ascii="Garamond" w:hAnsi="Garamond"/>
        </w:rPr>
        <w:t>h</w:t>
      </w:r>
      <w:r w:rsidR="006856A1">
        <w:rPr>
          <w:rFonts w:ascii="Garamond" w:hAnsi="Garamond"/>
        </w:rPr>
        <w:t>igh-dimens</w:t>
      </w:r>
      <w:r w:rsidR="00917D44">
        <w:rPr>
          <w:rFonts w:ascii="Garamond" w:hAnsi="Garamond"/>
        </w:rPr>
        <w:t xml:space="preserve">ional Fixed Effects </w:t>
      </w:r>
      <w:r w:rsidR="00917D44" w:rsidRPr="00145BD1">
        <w:rPr>
          <w:rFonts w:ascii="Garamond" w:hAnsi="Garamond"/>
          <w:color w:val="000000" w:themeColor="text1"/>
        </w:rPr>
        <w:t>regressions; (4) Sub-sample analyses based on a semi-exogenous shock</w:t>
      </w:r>
      <w:r w:rsidR="005B5ACB" w:rsidRPr="00145BD1">
        <w:rPr>
          <w:rFonts w:ascii="Garamond" w:hAnsi="Garamond"/>
          <w:color w:val="000000" w:themeColor="text1"/>
        </w:rPr>
        <w:t xml:space="preserve">; and (5) </w:t>
      </w:r>
      <w:r w:rsidR="00145BD1" w:rsidRPr="00145BD1">
        <w:rPr>
          <w:rFonts w:ascii="Garamond" w:hAnsi="Garamond"/>
          <w:color w:val="000000" w:themeColor="text1"/>
        </w:rPr>
        <w:t>Heckman two-stage method</w:t>
      </w:r>
      <w:r w:rsidR="005B5ACB" w:rsidRPr="00145BD1">
        <w:rPr>
          <w:rFonts w:ascii="Garamond" w:hAnsi="Garamond"/>
          <w:color w:val="000000" w:themeColor="text1"/>
        </w:rPr>
        <w:t>.</w:t>
      </w:r>
      <w:r w:rsidR="005B5ACB">
        <w:rPr>
          <w:rFonts w:ascii="Garamond" w:hAnsi="Garamond"/>
        </w:rPr>
        <w:t xml:space="preserve"> </w:t>
      </w:r>
      <w:r w:rsidR="0002567A">
        <w:rPr>
          <w:rFonts w:ascii="Garamond" w:hAnsi="Garamond"/>
        </w:rPr>
        <w:t xml:space="preserve">While none of these tests can irrefutably rule out </w:t>
      </w:r>
      <w:r w:rsidR="005910F6">
        <w:rPr>
          <w:rFonts w:ascii="Garamond" w:hAnsi="Garamond"/>
        </w:rPr>
        <w:t>the endogenous relationship between</w:t>
      </w:r>
      <w:r w:rsidR="002A2862">
        <w:rPr>
          <w:rFonts w:ascii="Garamond" w:hAnsi="Garamond"/>
        </w:rPr>
        <w:t xml:space="preserve"> the</w:t>
      </w:r>
      <w:r w:rsidR="005910F6">
        <w:rPr>
          <w:rFonts w:ascii="Garamond" w:hAnsi="Garamond"/>
        </w:rPr>
        <w:t xml:space="preserve"> presence of female CFOs and firms’ leverage choices, </w:t>
      </w:r>
      <w:r w:rsidR="00531DED">
        <w:rPr>
          <w:rFonts w:ascii="Garamond" w:hAnsi="Garamond"/>
        </w:rPr>
        <w:t xml:space="preserve">taken together they provide </w:t>
      </w:r>
      <w:r w:rsidR="00C46104">
        <w:rPr>
          <w:rFonts w:ascii="Garamond" w:hAnsi="Garamond"/>
        </w:rPr>
        <w:t xml:space="preserve">strong </w:t>
      </w:r>
      <w:r w:rsidR="009211AC">
        <w:rPr>
          <w:rFonts w:ascii="Garamond" w:hAnsi="Garamond"/>
        </w:rPr>
        <w:t>suggestive evidence</w:t>
      </w:r>
      <w:r w:rsidR="00531DED">
        <w:rPr>
          <w:rFonts w:ascii="Garamond" w:hAnsi="Garamond"/>
        </w:rPr>
        <w:t xml:space="preserve"> that the identified relationship between CFO gender and </w:t>
      </w:r>
      <w:r w:rsidR="00AB789F">
        <w:rPr>
          <w:rFonts w:ascii="Garamond" w:hAnsi="Garamond"/>
        </w:rPr>
        <w:t xml:space="preserve">firm leverage is causal in nature. </w:t>
      </w:r>
      <w:r w:rsidR="00BD1D06">
        <w:rPr>
          <w:rFonts w:ascii="Garamond" w:hAnsi="Garamond"/>
        </w:rPr>
        <w:t>I</w:t>
      </w:r>
      <w:r w:rsidR="005B5ACB">
        <w:rPr>
          <w:rFonts w:ascii="Garamond" w:hAnsi="Garamond"/>
        </w:rPr>
        <w:t xml:space="preserve">n this section, we </w:t>
      </w:r>
      <w:r w:rsidR="00BD1D06">
        <w:rPr>
          <w:rFonts w:ascii="Garamond" w:hAnsi="Garamond"/>
        </w:rPr>
        <w:t xml:space="preserve">also </w:t>
      </w:r>
      <w:r w:rsidR="005B5ACB">
        <w:rPr>
          <w:rFonts w:ascii="Garamond" w:hAnsi="Garamond"/>
        </w:rPr>
        <w:t>examine the effect of female CFOs on market leverage as well as the change in leverage.</w:t>
      </w:r>
      <w:r w:rsidR="0061560C">
        <w:rPr>
          <w:rStyle w:val="a9"/>
          <w:rFonts w:ascii="Garamond" w:hAnsi="Garamond"/>
        </w:rPr>
        <w:footnoteReference w:id="11"/>
      </w:r>
    </w:p>
    <w:p w:rsidR="00234E24" w:rsidRDefault="00234E24" w:rsidP="00E9441E">
      <w:pPr>
        <w:spacing w:line="360" w:lineRule="auto"/>
        <w:rPr>
          <w:rFonts w:ascii="Garamond" w:hAnsi="Garamond"/>
          <w:i/>
        </w:rPr>
      </w:pPr>
    </w:p>
    <w:p w:rsidR="001C4449" w:rsidRDefault="00234E24" w:rsidP="00D0508D">
      <w:pPr>
        <w:jc w:val="both"/>
        <w:rPr>
          <w:rFonts w:ascii="Garamond" w:hAnsi="Garamond"/>
          <w:i/>
        </w:rPr>
      </w:pPr>
      <w:r>
        <w:rPr>
          <w:rFonts w:ascii="Garamond" w:hAnsi="Garamond"/>
          <w:i/>
        </w:rPr>
        <w:t xml:space="preserve">5.1.1 </w:t>
      </w:r>
      <w:r w:rsidR="0004635D">
        <w:rPr>
          <w:rFonts w:ascii="Garamond" w:hAnsi="Garamond"/>
          <w:i/>
        </w:rPr>
        <w:t>Difference-in-Difference Analysis</w:t>
      </w:r>
    </w:p>
    <w:p w:rsidR="00997AEC" w:rsidRDefault="00997AEC" w:rsidP="00D0508D">
      <w:pPr>
        <w:jc w:val="both"/>
        <w:rPr>
          <w:rFonts w:ascii="Garamond" w:hAnsi="Garamond"/>
          <w:i/>
        </w:rPr>
      </w:pPr>
    </w:p>
    <w:p w:rsidR="001C4449" w:rsidRDefault="00AB789F" w:rsidP="001C4449">
      <w:pPr>
        <w:spacing w:line="360" w:lineRule="auto"/>
        <w:jc w:val="both"/>
        <w:rPr>
          <w:rFonts w:ascii="Garamond" w:hAnsi="Garamond"/>
        </w:rPr>
      </w:pPr>
      <w:r>
        <w:rPr>
          <w:rFonts w:ascii="Garamond" w:hAnsi="Garamond"/>
          <w:color w:val="000000"/>
        </w:rPr>
        <w:t>Our first robustness test involves a difference-in-difference analysis</w:t>
      </w:r>
      <w:r w:rsidR="0080364D">
        <w:rPr>
          <w:rFonts w:ascii="Garamond" w:hAnsi="Garamond"/>
          <w:color w:val="000000"/>
        </w:rPr>
        <w:t xml:space="preserve"> to understand what happens to the leverage of a firm after a male CFO has been replaced by a female CFO</w:t>
      </w:r>
      <w:r w:rsidR="00C96F65">
        <w:rPr>
          <w:rFonts w:ascii="Garamond" w:hAnsi="Garamond"/>
          <w:color w:val="000000"/>
        </w:rPr>
        <w:t>, relative to a male-</w:t>
      </w:r>
      <w:r w:rsidR="009211AC">
        <w:rPr>
          <w:rFonts w:ascii="Garamond" w:hAnsi="Garamond"/>
          <w:color w:val="000000"/>
        </w:rPr>
        <w:t>to-</w:t>
      </w:r>
      <w:r w:rsidR="00C96F65">
        <w:rPr>
          <w:rFonts w:ascii="Garamond" w:hAnsi="Garamond"/>
          <w:color w:val="000000"/>
        </w:rPr>
        <w:t xml:space="preserve">male CFO succession. </w:t>
      </w:r>
      <w:r w:rsidR="0062009D">
        <w:rPr>
          <w:rFonts w:ascii="Garamond" w:hAnsi="Garamond"/>
          <w:color w:val="000000"/>
        </w:rPr>
        <w:t xml:space="preserve">To ensure that the two groups of transition firms are </w:t>
      </w:r>
      <w:r w:rsidR="00C310EF">
        <w:rPr>
          <w:rFonts w:ascii="Garamond" w:hAnsi="Garamond"/>
          <w:color w:val="000000"/>
        </w:rPr>
        <w:t>relatively comparable before the appointment, we use propensity score matching to match firms that transition from a male to a female CFO</w:t>
      </w:r>
      <w:r w:rsidR="00924121">
        <w:rPr>
          <w:rFonts w:ascii="Garamond" w:hAnsi="Garamond"/>
          <w:color w:val="000000"/>
        </w:rPr>
        <w:t xml:space="preserve"> (Treatment group)</w:t>
      </w:r>
      <w:r w:rsidR="00C310EF">
        <w:rPr>
          <w:rFonts w:ascii="Garamond" w:hAnsi="Garamond"/>
          <w:color w:val="000000"/>
        </w:rPr>
        <w:t xml:space="preserve"> to </w:t>
      </w:r>
      <w:r w:rsidR="00CF1431">
        <w:rPr>
          <w:rFonts w:ascii="Garamond" w:hAnsi="Garamond"/>
          <w:color w:val="000000"/>
        </w:rPr>
        <w:t>comparable firms that experience a male-to-male CFO transition</w:t>
      </w:r>
      <w:r w:rsidR="00924121">
        <w:rPr>
          <w:rFonts w:ascii="Garamond" w:hAnsi="Garamond"/>
          <w:color w:val="000000"/>
        </w:rPr>
        <w:t xml:space="preserve"> (Control group)</w:t>
      </w:r>
      <w:r w:rsidR="00CF1431">
        <w:rPr>
          <w:rFonts w:ascii="Garamond" w:hAnsi="Garamond"/>
          <w:color w:val="000000"/>
        </w:rPr>
        <w:t xml:space="preserve">. </w:t>
      </w:r>
      <w:r w:rsidR="001C4449" w:rsidRPr="001C4449">
        <w:rPr>
          <w:rFonts w:ascii="Garamond" w:hAnsi="Garamond"/>
        </w:rPr>
        <w:t xml:space="preserve">The purpose of propensity score matching is to find a set of firms </w:t>
      </w:r>
      <w:r w:rsidR="00D53A12">
        <w:rPr>
          <w:rFonts w:ascii="Garamond" w:hAnsi="Garamond"/>
        </w:rPr>
        <w:t>appointing</w:t>
      </w:r>
      <w:r w:rsidR="001C4449" w:rsidRPr="001C4449">
        <w:rPr>
          <w:rFonts w:ascii="Garamond" w:hAnsi="Garamond"/>
        </w:rPr>
        <w:t xml:space="preserve"> </w:t>
      </w:r>
      <w:r w:rsidR="001C4449">
        <w:rPr>
          <w:rFonts w:ascii="Garamond" w:hAnsi="Garamond"/>
        </w:rPr>
        <w:t xml:space="preserve">female </w:t>
      </w:r>
      <w:r w:rsidR="001C4449" w:rsidRPr="001C4449">
        <w:rPr>
          <w:rFonts w:ascii="Garamond" w:hAnsi="Garamond"/>
        </w:rPr>
        <w:t>C</w:t>
      </w:r>
      <w:r w:rsidR="001C4449">
        <w:rPr>
          <w:rFonts w:ascii="Garamond" w:hAnsi="Garamond"/>
        </w:rPr>
        <w:t>F</w:t>
      </w:r>
      <w:r w:rsidR="001C4449" w:rsidRPr="001C4449">
        <w:rPr>
          <w:rFonts w:ascii="Garamond" w:hAnsi="Garamond"/>
        </w:rPr>
        <w:t xml:space="preserve">Os that is as statistically alike as possible to a set of firms </w:t>
      </w:r>
      <w:r w:rsidR="00D53A12">
        <w:rPr>
          <w:rFonts w:ascii="Garamond" w:hAnsi="Garamond"/>
        </w:rPr>
        <w:t>appointing</w:t>
      </w:r>
      <w:r w:rsidR="001C4449" w:rsidRPr="001C4449">
        <w:rPr>
          <w:rFonts w:ascii="Garamond" w:hAnsi="Garamond"/>
        </w:rPr>
        <w:t xml:space="preserve"> </w:t>
      </w:r>
      <w:r w:rsidR="001C4449">
        <w:rPr>
          <w:rFonts w:ascii="Garamond" w:hAnsi="Garamond"/>
        </w:rPr>
        <w:t xml:space="preserve">male CFOs, </w:t>
      </w:r>
      <w:r w:rsidR="001C4449" w:rsidRPr="001C4449">
        <w:rPr>
          <w:rFonts w:ascii="Garamond" w:hAnsi="Garamond"/>
        </w:rPr>
        <w:t>using a matching algorithm with observable features (Heckman</w:t>
      </w:r>
      <w:r w:rsidR="00400752">
        <w:rPr>
          <w:rFonts w:ascii="Garamond" w:hAnsi="Garamond"/>
        </w:rPr>
        <w:t xml:space="preserve"> et al</w:t>
      </w:r>
      <w:r w:rsidR="0062521A">
        <w:rPr>
          <w:rFonts w:ascii="Garamond" w:hAnsi="Garamond"/>
        </w:rPr>
        <w:t>.,</w:t>
      </w:r>
      <w:r w:rsidR="00400752">
        <w:rPr>
          <w:rFonts w:ascii="Garamond" w:hAnsi="Garamond"/>
        </w:rPr>
        <w:t xml:space="preserve"> 1998;</w:t>
      </w:r>
      <w:r w:rsidR="001C4449" w:rsidRPr="001C4449">
        <w:rPr>
          <w:rFonts w:ascii="Garamond" w:hAnsi="Garamond"/>
        </w:rPr>
        <w:t xml:space="preserve"> </w:t>
      </w:r>
      <w:proofErr w:type="spellStart"/>
      <w:r w:rsidR="001C4449" w:rsidRPr="001C4449">
        <w:rPr>
          <w:rFonts w:ascii="Garamond" w:hAnsi="Garamond"/>
        </w:rPr>
        <w:t>Imbens</w:t>
      </w:r>
      <w:proofErr w:type="spellEnd"/>
      <w:r w:rsidR="00800C9E">
        <w:rPr>
          <w:rFonts w:ascii="Garamond" w:hAnsi="Garamond"/>
        </w:rPr>
        <w:t>,</w:t>
      </w:r>
      <w:r w:rsidR="00400752">
        <w:rPr>
          <w:rFonts w:ascii="Garamond" w:hAnsi="Garamond"/>
        </w:rPr>
        <w:t xml:space="preserve"> 2000</w:t>
      </w:r>
      <w:r w:rsidR="001C4449" w:rsidRPr="001C4449">
        <w:rPr>
          <w:rFonts w:ascii="Garamond" w:hAnsi="Garamond"/>
        </w:rPr>
        <w:t xml:space="preserve">). This then enables the average treatment effect of the treated </w:t>
      </w:r>
      <w:r w:rsidR="00400752">
        <w:rPr>
          <w:rFonts w:ascii="Garamond" w:hAnsi="Garamond"/>
        </w:rPr>
        <w:t xml:space="preserve">female </w:t>
      </w:r>
      <w:r w:rsidR="001C4449" w:rsidRPr="001C4449">
        <w:rPr>
          <w:rFonts w:ascii="Garamond" w:hAnsi="Garamond"/>
        </w:rPr>
        <w:t>C</w:t>
      </w:r>
      <w:r w:rsidR="00400752">
        <w:rPr>
          <w:rFonts w:ascii="Garamond" w:hAnsi="Garamond"/>
        </w:rPr>
        <w:t>F</w:t>
      </w:r>
      <w:r w:rsidR="001C4449" w:rsidRPr="001C4449">
        <w:rPr>
          <w:rFonts w:ascii="Garamond" w:hAnsi="Garamond"/>
        </w:rPr>
        <w:t xml:space="preserve">O group to be determined. In other words, after matching, differences in </w:t>
      </w:r>
      <w:r w:rsidR="00400752">
        <w:rPr>
          <w:rFonts w:ascii="Garamond" w:hAnsi="Garamond"/>
        </w:rPr>
        <w:t>leverage</w:t>
      </w:r>
      <w:r w:rsidR="001C4449" w:rsidRPr="001C4449">
        <w:rPr>
          <w:rFonts w:ascii="Garamond" w:hAnsi="Garamond"/>
        </w:rPr>
        <w:t xml:space="preserve"> could be attributed to whether </w:t>
      </w:r>
      <w:r w:rsidR="00400752">
        <w:rPr>
          <w:rFonts w:ascii="Garamond" w:hAnsi="Garamond"/>
        </w:rPr>
        <w:t xml:space="preserve">the CFO is female or male, rather than to differences in the other covariates. </w:t>
      </w:r>
      <w:r w:rsidR="00D8635F">
        <w:rPr>
          <w:rFonts w:ascii="Garamond" w:hAnsi="Garamond"/>
        </w:rPr>
        <w:t>For the matching, we use all firm characteristics</w:t>
      </w:r>
      <w:r w:rsidR="0077378C">
        <w:rPr>
          <w:rFonts w:ascii="Garamond" w:hAnsi="Garamond"/>
        </w:rPr>
        <w:t xml:space="preserve"> and independently add the four </w:t>
      </w:r>
      <w:r w:rsidR="0077378C">
        <w:rPr>
          <w:rFonts w:ascii="Garamond" w:hAnsi="Garamond"/>
        </w:rPr>
        <w:lastRenderedPageBreak/>
        <w:t xml:space="preserve">board diversity measures </w:t>
      </w:r>
      <w:r w:rsidR="00067A51">
        <w:rPr>
          <w:rFonts w:ascii="Garamond" w:hAnsi="Garamond"/>
        </w:rPr>
        <w:t>as additional matching variables</w:t>
      </w:r>
      <w:r w:rsidR="007125A7">
        <w:rPr>
          <w:rFonts w:ascii="Garamond" w:hAnsi="Garamond"/>
        </w:rPr>
        <w:t xml:space="preserve"> as well as include the full set of control variable</w:t>
      </w:r>
      <w:r w:rsidR="00866133">
        <w:rPr>
          <w:rFonts w:ascii="Garamond" w:hAnsi="Garamond"/>
        </w:rPr>
        <w:t>s</w:t>
      </w:r>
      <w:r w:rsidR="007125A7">
        <w:rPr>
          <w:rFonts w:ascii="Garamond" w:hAnsi="Garamond"/>
        </w:rPr>
        <w:t xml:space="preserve"> as previously employed in this study.</w:t>
      </w:r>
    </w:p>
    <w:p w:rsidR="00405E52" w:rsidRPr="00CA263B" w:rsidRDefault="00CA263B" w:rsidP="00AE733B">
      <w:pPr>
        <w:pStyle w:val="a7"/>
        <w:spacing w:line="360" w:lineRule="auto"/>
        <w:jc w:val="both"/>
        <w:rPr>
          <w:rFonts w:ascii="Garamond" w:hAnsi="Garamond"/>
        </w:rPr>
      </w:pPr>
      <w:r w:rsidRPr="00AE733B">
        <w:rPr>
          <w:rFonts w:ascii="Garamond" w:hAnsi="Garamond"/>
        </w:rPr>
        <w:t xml:space="preserve">Table </w:t>
      </w:r>
      <w:r w:rsidR="00F87A7F" w:rsidRPr="00AE733B">
        <w:rPr>
          <w:rFonts w:ascii="Garamond" w:hAnsi="Garamond"/>
        </w:rPr>
        <w:t>9</w:t>
      </w:r>
      <w:r w:rsidR="00E23C1B" w:rsidRPr="00AE733B">
        <w:rPr>
          <w:rFonts w:ascii="Garamond" w:hAnsi="Garamond"/>
        </w:rPr>
        <w:t xml:space="preserve"> shows the results for the four tests, each one using a different board diversity score as additional matching variable. </w:t>
      </w:r>
      <w:r w:rsidR="00AE733B" w:rsidRPr="00AE733B">
        <w:rPr>
          <w:rFonts w:ascii="Garamond" w:hAnsi="Garamond"/>
          <w:lang w:val="en-US" w:eastAsia="zh-CN"/>
        </w:rPr>
        <w:t>In the pre-transition period, there is no statistically significant difference in leverage between the treatment and control firms, implying they use similar levels of leve</w:t>
      </w:r>
      <w:r w:rsidR="00892168">
        <w:rPr>
          <w:rFonts w:ascii="Garamond" w:hAnsi="Garamond"/>
          <w:lang w:val="en-US" w:eastAsia="zh-CN"/>
        </w:rPr>
        <w:t>rage</w:t>
      </w:r>
      <w:r w:rsidR="00AE733B" w:rsidRPr="00AE733B">
        <w:rPr>
          <w:rFonts w:ascii="Garamond" w:hAnsi="Garamond"/>
          <w:lang w:val="en-US" w:eastAsia="zh-CN"/>
        </w:rPr>
        <w:t xml:space="preserve">. By contrast, in the post-transition period, the leverage of </w:t>
      </w:r>
      <w:r w:rsidR="004453BA">
        <w:rPr>
          <w:rFonts w:ascii="Garamond" w:hAnsi="Garamond"/>
          <w:lang w:val="en-US" w:eastAsia="zh-CN"/>
        </w:rPr>
        <w:t xml:space="preserve">the </w:t>
      </w:r>
      <w:r w:rsidR="00AE733B" w:rsidRPr="00AE733B">
        <w:rPr>
          <w:rFonts w:ascii="Garamond" w:hAnsi="Garamond"/>
          <w:lang w:val="en-US" w:eastAsia="zh-CN"/>
        </w:rPr>
        <w:t xml:space="preserve">treatment group </w:t>
      </w:r>
      <w:r w:rsidR="004453BA">
        <w:rPr>
          <w:rFonts w:ascii="Garamond" w:hAnsi="Garamond"/>
          <w:lang w:val="en-US" w:eastAsia="zh-CN"/>
        </w:rPr>
        <w:t>is</w:t>
      </w:r>
      <w:r w:rsidR="00AE733B" w:rsidRPr="00AE733B">
        <w:rPr>
          <w:rFonts w:ascii="Garamond" w:hAnsi="Garamond"/>
          <w:lang w:val="en-US" w:eastAsia="zh-CN"/>
        </w:rPr>
        <w:t xml:space="preserve"> at least 3</w:t>
      </w:r>
      <w:r w:rsidR="00CF40B4">
        <w:rPr>
          <w:rFonts w:ascii="Garamond" w:hAnsi="Garamond"/>
          <w:lang w:val="en-US" w:eastAsia="zh-CN"/>
        </w:rPr>
        <w:t>.</w:t>
      </w:r>
      <w:r w:rsidR="00AE733B" w:rsidRPr="00AE733B">
        <w:rPr>
          <w:rFonts w:ascii="Garamond" w:hAnsi="Garamond"/>
          <w:lang w:val="en-US" w:eastAsia="zh-CN"/>
        </w:rPr>
        <w:t>6</w:t>
      </w:r>
      <w:r w:rsidR="00CF40B4">
        <w:rPr>
          <w:rFonts w:ascii="Garamond" w:hAnsi="Garamond"/>
          <w:lang w:val="en-US" w:eastAsia="zh-CN"/>
        </w:rPr>
        <w:t xml:space="preserve"> percentage points</w:t>
      </w:r>
      <w:r w:rsidR="00AE733B" w:rsidRPr="00AE733B">
        <w:rPr>
          <w:rFonts w:ascii="Garamond" w:hAnsi="Garamond"/>
          <w:lang w:val="en-US" w:eastAsia="zh-CN"/>
        </w:rPr>
        <w:t xml:space="preserve"> lower than in the comparison sample of control firms. The difference between the two groups is statistically significant at the 1% significance levels. Additionally, the</w:t>
      </w:r>
      <w:r w:rsidR="005D0FE7">
        <w:rPr>
          <w:rFonts w:ascii="Garamond" w:hAnsi="Garamond"/>
          <w:lang w:val="en-US" w:eastAsia="zh-CN"/>
        </w:rPr>
        <w:t xml:space="preserve"> difference between the treatment and control group in the</w:t>
      </w:r>
      <w:r w:rsidR="00AE733B" w:rsidRPr="00AE733B">
        <w:rPr>
          <w:rFonts w:ascii="Garamond" w:hAnsi="Garamond"/>
          <w:lang w:val="en-US" w:eastAsia="zh-CN"/>
        </w:rPr>
        <w:t xml:space="preserve"> decline in average leverage from pre-to-post-CFO turnover is at least </w:t>
      </w:r>
      <w:r w:rsidR="00CF40B4">
        <w:rPr>
          <w:rFonts w:ascii="Garamond" w:hAnsi="Garamond"/>
          <w:lang w:val="en-US" w:eastAsia="zh-CN"/>
        </w:rPr>
        <w:t>2.</w:t>
      </w:r>
      <w:r w:rsidR="00AE733B" w:rsidRPr="00AE733B">
        <w:rPr>
          <w:rFonts w:ascii="Garamond" w:hAnsi="Garamond"/>
          <w:lang w:val="en-US" w:eastAsia="zh-CN"/>
        </w:rPr>
        <w:t>3</w:t>
      </w:r>
      <w:r w:rsidR="00CF40B4">
        <w:rPr>
          <w:rFonts w:ascii="Garamond" w:hAnsi="Garamond"/>
          <w:lang w:val="en-US" w:eastAsia="zh-CN"/>
        </w:rPr>
        <w:t xml:space="preserve"> percentage points</w:t>
      </w:r>
      <w:r w:rsidR="00AE733B" w:rsidRPr="00AE733B">
        <w:rPr>
          <w:rFonts w:ascii="Garamond" w:hAnsi="Garamond"/>
          <w:lang w:val="en-US" w:eastAsia="zh-CN"/>
        </w:rPr>
        <w:t>, which is beyond what is shown during the same period among otherwise comparable firms without CFO transitions. The difference is also statistically significant at the conventional significance levels. The findings imply that a transition from a male CFO to a female CFO is associated with a significant decline in leverage</w:t>
      </w:r>
      <w:r w:rsidR="008773C9">
        <w:rPr>
          <w:rFonts w:ascii="Garamond" w:hAnsi="Garamond"/>
          <w:lang w:val="en-US" w:eastAsia="zh-CN"/>
        </w:rPr>
        <w:t xml:space="preserve"> compare</w:t>
      </w:r>
      <w:r w:rsidR="00824024">
        <w:rPr>
          <w:rFonts w:ascii="Garamond" w:hAnsi="Garamond"/>
          <w:lang w:val="en-US" w:eastAsia="zh-CN"/>
        </w:rPr>
        <w:t>d</w:t>
      </w:r>
      <w:r w:rsidR="008773C9">
        <w:rPr>
          <w:rFonts w:ascii="Garamond" w:hAnsi="Garamond"/>
          <w:lang w:val="en-US" w:eastAsia="zh-CN"/>
        </w:rPr>
        <w:t xml:space="preserve"> to a transition from </w:t>
      </w:r>
      <w:r w:rsidR="00A33204">
        <w:rPr>
          <w:rFonts w:ascii="Garamond" w:hAnsi="Garamond"/>
          <w:lang w:val="en-US" w:eastAsia="zh-CN"/>
        </w:rPr>
        <w:t>a</w:t>
      </w:r>
      <w:r w:rsidR="008773C9">
        <w:rPr>
          <w:rFonts w:ascii="Garamond" w:hAnsi="Garamond"/>
          <w:lang w:val="en-US" w:eastAsia="zh-CN"/>
        </w:rPr>
        <w:t xml:space="preserve"> male CFO to another male CFO</w:t>
      </w:r>
      <w:r w:rsidR="00AE733B" w:rsidRPr="00AE733B">
        <w:rPr>
          <w:rFonts w:ascii="Garamond" w:hAnsi="Garamond"/>
        </w:rPr>
        <w:t>.</w:t>
      </w:r>
    </w:p>
    <w:p w:rsidR="00405E52" w:rsidRPr="00297D1C" w:rsidRDefault="00405E52" w:rsidP="00D0508D">
      <w:pPr>
        <w:pStyle w:val="a7"/>
        <w:spacing w:before="0" w:beforeAutospacing="0" w:after="0" w:afterAutospacing="0"/>
        <w:jc w:val="both"/>
        <w:rPr>
          <w:rFonts w:ascii="Garamond" w:hAnsi="Garamond"/>
          <w:i/>
        </w:rPr>
      </w:pPr>
    </w:p>
    <w:p w:rsidR="00C0670F" w:rsidRDefault="0086452F" w:rsidP="00D0508D">
      <w:pPr>
        <w:pStyle w:val="a7"/>
        <w:spacing w:before="0" w:beforeAutospacing="0" w:after="0" w:afterAutospacing="0"/>
        <w:jc w:val="both"/>
        <w:rPr>
          <w:rFonts w:ascii="Garamond" w:hAnsi="Garamond"/>
          <w:i/>
        </w:rPr>
      </w:pPr>
      <w:r>
        <w:rPr>
          <w:rFonts w:ascii="Garamond" w:hAnsi="Garamond"/>
          <w:i/>
        </w:rPr>
        <w:t>5.</w:t>
      </w:r>
      <w:r w:rsidR="004E4F68">
        <w:rPr>
          <w:rFonts w:ascii="Garamond" w:hAnsi="Garamond"/>
          <w:i/>
        </w:rPr>
        <w:t>1.</w:t>
      </w:r>
      <w:r>
        <w:rPr>
          <w:rFonts w:ascii="Garamond" w:hAnsi="Garamond"/>
          <w:i/>
        </w:rPr>
        <w:t>2.</w:t>
      </w:r>
      <w:r w:rsidR="00CA11BD" w:rsidRPr="00CA11BD">
        <w:rPr>
          <w:rFonts w:ascii="Garamond" w:hAnsi="Garamond"/>
          <w:i/>
        </w:rPr>
        <w:t xml:space="preserve"> Transition </w:t>
      </w:r>
      <w:r w:rsidR="00CA11BD" w:rsidRPr="005A230F">
        <w:rPr>
          <w:rFonts w:ascii="Garamond" w:hAnsi="Garamond"/>
          <w:i/>
        </w:rPr>
        <w:t>Firm</w:t>
      </w:r>
      <w:r w:rsidR="00CA11BD" w:rsidRPr="00CA11BD">
        <w:rPr>
          <w:rFonts w:ascii="Garamond" w:hAnsi="Garamond"/>
          <w:i/>
        </w:rPr>
        <w:t xml:space="preserve"> Regressions</w:t>
      </w:r>
    </w:p>
    <w:p w:rsidR="00997AEC" w:rsidRDefault="00997AEC" w:rsidP="00D0508D">
      <w:pPr>
        <w:pStyle w:val="a7"/>
        <w:spacing w:before="0" w:beforeAutospacing="0" w:after="0" w:afterAutospacing="0"/>
        <w:jc w:val="both"/>
        <w:rPr>
          <w:rFonts w:ascii="Garamond" w:hAnsi="Garamond"/>
          <w:i/>
        </w:rPr>
      </w:pPr>
    </w:p>
    <w:p w:rsidR="00D94D14" w:rsidRDefault="00D94D14" w:rsidP="003A6370">
      <w:pPr>
        <w:pStyle w:val="a7"/>
        <w:spacing w:before="0" w:beforeAutospacing="0" w:after="0" w:afterAutospacing="0" w:line="360" w:lineRule="auto"/>
        <w:jc w:val="both"/>
        <w:rPr>
          <w:rFonts w:ascii="Garamond" w:hAnsi="Garamond"/>
        </w:rPr>
      </w:pPr>
      <w:r w:rsidRPr="00D94D14">
        <w:rPr>
          <w:rFonts w:ascii="Garamond" w:hAnsi="Garamond"/>
        </w:rPr>
        <w:t>A limitation of the propensity score matching results is that the documented correlation between C</w:t>
      </w:r>
      <w:r>
        <w:rPr>
          <w:rFonts w:ascii="Garamond" w:hAnsi="Garamond"/>
        </w:rPr>
        <w:t>F</w:t>
      </w:r>
      <w:r w:rsidRPr="00D94D14">
        <w:rPr>
          <w:rFonts w:ascii="Garamond" w:hAnsi="Garamond"/>
        </w:rPr>
        <w:t xml:space="preserve">O gender and corporate </w:t>
      </w:r>
      <w:r w:rsidR="005C36CB">
        <w:rPr>
          <w:rFonts w:ascii="Garamond" w:hAnsi="Garamond"/>
        </w:rPr>
        <w:t>leverage</w:t>
      </w:r>
      <w:r w:rsidRPr="00D94D14">
        <w:rPr>
          <w:rFonts w:ascii="Garamond" w:hAnsi="Garamond"/>
        </w:rPr>
        <w:t xml:space="preserve"> may simply reflect unobservable characteristics that influence both C</w:t>
      </w:r>
      <w:r>
        <w:rPr>
          <w:rFonts w:ascii="Garamond" w:hAnsi="Garamond"/>
        </w:rPr>
        <w:t>F</w:t>
      </w:r>
      <w:r w:rsidRPr="00D94D14">
        <w:rPr>
          <w:rFonts w:ascii="Garamond" w:hAnsi="Garamond"/>
        </w:rPr>
        <w:t xml:space="preserve">O gender choice and corporate </w:t>
      </w:r>
      <w:r w:rsidR="004E4F68">
        <w:rPr>
          <w:rFonts w:ascii="Garamond" w:hAnsi="Garamond"/>
        </w:rPr>
        <w:t xml:space="preserve">leverage </w:t>
      </w:r>
      <w:r w:rsidRPr="00D94D14">
        <w:rPr>
          <w:rFonts w:ascii="Garamond" w:hAnsi="Garamond"/>
        </w:rPr>
        <w:t xml:space="preserve">choices. The omission of these controls might lead us to incorrectly attribute the differences in </w:t>
      </w:r>
      <w:r w:rsidR="0065279D">
        <w:rPr>
          <w:rFonts w:ascii="Garamond" w:hAnsi="Garamond"/>
        </w:rPr>
        <w:t>leverage</w:t>
      </w:r>
      <w:r w:rsidRPr="00D94D14">
        <w:rPr>
          <w:rFonts w:ascii="Garamond" w:hAnsi="Garamond"/>
        </w:rPr>
        <w:t xml:space="preserve"> to differences in C</w:t>
      </w:r>
      <w:r>
        <w:rPr>
          <w:rFonts w:ascii="Garamond" w:hAnsi="Garamond"/>
        </w:rPr>
        <w:t>F</w:t>
      </w:r>
      <w:r w:rsidRPr="00D94D14">
        <w:rPr>
          <w:rFonts w:ascii="Garamond" w:hAnsi="Garamond"/>
        </w:rPr>
        <w:t xml:space="preserve">O gender. In this section, we exploit the panel dimension of our dataset to control for time-invariant firm-specific characteristics that may be correlated with omitted explanatory variables. For this purpose, we run </w:t>
      </w:r>
      <w:r w:rsidR="00D44E2B">
        <w:rPr>
          <w:rFonts w:ascii="Garamond" w:hAnsi="Garamond"/>
        </w:rPr>
        <w:t xml:space="preserve">fixed effect </w:t>
      </w:r>
      <w:r w:rsidRPr="00D94D14">
        <w:rPr>
          <w:rFonts w:ascii="Garamond" w:hAnsi="Garamond"/>
        </w:rPr>
        <w:t xml:space="preserve">(panel) regressions </w:t>
      </w:r>
      <w:r w:rsidR="00FF4694">
        <w:rPr>
          <w:rFonts w:ascii="Garamond" w:hAnsi="Garamond"/>
        </w:rPr>
        <w:t xml:space="preserve">for transition firms </w:t>
      </w:r>
      <w:r w:rsidRPr="00D94D14">
        <w:rPr>
          <w:rFonts w:ascii="Garamond" w:hAnsi="Garamond"/>
        </w:rPr>
        <w:t xml:space="preserve">with firm fixed effects. The inclusion of firm fixed effects in the regression models removes any purely cross-sectional correlation between gender and </w:t>
      </w:r>
      <w:r w:rsidR="00CD495C">
        <w:rPr>
          <w:rFonts w:ascii="Garamond" w:hAnsi="Garamond"/>
        </w:rPr>
        <w:t>leverage</w:t>
      </w:r>
      <w:r w:rsidRPr="00D94D14">
        <w:rPr>
          <w:rFonts w:ascii="Garamond" w:hAnsi="Garamond"/>
        </w:rPr>
        <w:t xml:space="preserve">, reducing the risk of spurious correlation. In particular, in </w:t>
      </w:r>
      <w:r w:rsidR="00053672">
        <w:rPr>
          <w:rFonts w:ascii="Garamond" w:hAnsi="Garamond"/>
        </w:rPr>
        <w:t xml:space="preserve">our </w:t>
      </w:r>
      <w:r w:rsidRPr="00D94D14">
        <w:rPr>
          <w:rFonts w:ascii="Garamond" w:hAnsi="Garamond"/>
        </w:rPr>
        <w:t>firm fixed effects regressions, we compare C</w:t>
      </w:r>
      <w:r>
        <w:rPr>
          <w:rFonts w:ascii="Garamond" w:hAnsi="Garamond"/>
        </w:rPr>
        <w:t>F</w:t>
      </w:r>
      <w:r w:rsidRPr="00D94D14">
        <w:rPr>
          <w:rFonts w:ascii="Garamond" w:hAnsi="Garamond"/>
        </w:rPr>
        <w:t>Os of different genders operating the same firm.</w:t>
      </w:r>
    </w:p>
    <w:p w:rsidR="00C0670F" w:rsidRDefault="00D94D14" w:rsidP="003A6370">
      <w:pPr>
        <w:pStyle w:val="a7"/>
        <w:spacing w:line="360" w:lineRule="auto"/>
        <w:jc w:val="both"/>
        <w:rPr>
          <w:rFonts w:ascii="Garamond" w:hAnsi="Garamond"/>
        </w:rPr>
      </w:pPr>
      <w:r>
        <w:rPr>
          <w:rFonts w:ascii="Garamond" w:hAnsi="Garamond"/>
        </w:rPr>
        <w:t>In this analysis, we include only those firms that experience a change from a male CFO to a female CFO</w:t>
      </w:r>
      <w:r w:rsidR="00D779E0">
        <w:rPr>
          <w:rFonts w:ascii="Garamond" w:hAnsi="Garamond"/>
        </w:rPr>
        <w:t>,</w:t>
      </w:r>
      <w:r>
        <w:rPr>
          <w:rFonts w:ascii="Garamond" w:hAnsi="Garamond"/>
        </w:rPr>
        <w:t xml:space="preserve"> or vice versa, as only those firms contribute to the identification.  The results from Table </w:t>
      </w:r>
      <w:r w:rsidR="00F87A7F">
        <w:rPr>
          <w:rFonts w:ascii="Garamond" w:hAnsi="Garamond"/>
        </w:rPr>
        <w:t>10</w:t>
      </w:r>
      <w:r>
        <w:rPr>
          <w:rFonts w:ascii="Garamond" w:hAnsi="Garamond"/>
        </w:rPr>
        <w:t xml:space="preserve"> indicate that firms run by female CFOs use significantly less leverage than firms run by male CFOs. The coefficient o</w:t>
      </w:r>
      <w:r w:rsidR="00974430">
        <w:rPr>
          <w:rFonts w:ascii="Garamond" w:hAnsi="Garamond"/>
        </w:rPr>
        <w:t>n</w:t>
      </w:r>
      <w:r>
        <w:rPr>
          <w:rFonts w:ascii="Garamond" w:hAnsi="Garamond"/>
        </w:rPr>
        <w:t xml:space="preserve"> </w:t>
      </w:r>
      <w:r w:rsidR="003A37D9">
        <w:rPr>
          <w:rFonts w:ascii="Garamond" w:hAnsi="Garamond"/>
        </w:rPr>
        <w:t xml:space="preserve">the female CFO dummy </w:t>
      </w:r>
      <w:r>
        <w:rPr>
          <w:rFonts w:ascii="Garamond" w:hAnsi="Garamond"/>
        </w:rPr>
        <w:t xml:space="preserve">indicates that after controlling for many </w:t>
      </w:r>
      <w:r>
        <w:rPr>
          <w:rFonts w:ascii="Garamond" w:hAnsi="Garamond"/>
        </w:rPr>
        <w:lastRenderedPageBreak/>
        <w:t>factors, a firm’s leverage is</w:t>
      </w:r>
      <w:r w:rsidR="00034C10">
        <w:rPr>
          <w:rFonts w:ascii="Garamond" w:hAnsi="Garamond"/>
        </w:rPr>
        <w:t>,</w:t>
      </w:r>
      <w:r>
        <w:rPr>
          <w:rFonts w:ascii="Garamond" w:hAnsi="Garamond"/>
        </w:rPr>
        <w:t xml:space="preserve"> </w:t>
      </w:r>
      <w:r w:rsidR="00141834">
        <w:rPr>
          <w:rFonts w:ascii="Garamond" w:hAnsi="Garamond"/>
        </w:rPr>
        <w:t xml:space="preserve">across our six specifications, on average </w:t>
      </w:r>
      <w:r>
        <w:rPr>
          <w:rFonts w:ascii="Garamond" w:hAnsi="Garamond"/>
        </w:rPr>
        <w:t>0.</w:t>
      </w:r>
      <w:r w:rsidR="00101C01">
        <w:rPr>
          <w:rFonts w:ascii="Garamond" w:hAnsi="Garamond"/>
        </w:rPr>
        <w:t>04</w:t>
      </w:r>
      <w:r w:rsidR="00662735">
        <w:rPr>
          <w:rFonts w:ascii="Garamond" w:hAnsi="Garamond"/>
        </w:rPr>
        <w:t>94</w:t>
      </w:r>
      <w:r w:rsidR="00101C01">
        <w:rPr>
          <w:rFonts w:ascii="Garamond" w:hAnsi="Garamond"/>
        </w:rPr>
        <w:t xml:space="preserve"> </w:t>
      </w:r>
      <w:r w:rsidR="003A37D9">
        <w:rPr>
          <w:rFonts w:ascii="Garamond" w:hAnsi="Garamond"/>
        </w:rPr>
        <w:t>lower when a firm is run by a female CFO compared to</w:t>
      </w:r>
      <w:r>
        <w:rPr>
          <w:rFonts w:ascii="Garamond" w:hAnsi="Garamond"/>
        </w:rPr>
        <w:t xml:space="preserve"> when the same firm is run by a male CFO.</w:t>
      </w:r>
    </w:p>
    <w:p w:rsidR="00A15A86" w:rsidRPr="00CA263B" w:rsidRDefault="00A15A86" w:rsidP="001C5149">
      <w:pPr>
        <w:pStyle w:val="a7"/>
        <w:spacing w:before="0" w:beforeAutospacing="0" w:after="0" w:afterAutospacing="0"/>
        <w:jc w:val="both"/>
        <w:rPr>
          <w:rFonts w:ascii="Garamond" w:hAnsi="Garamond"/>
        </w:rPr>
      </w:pPr>
    </w:p>
    <w:p w:rsidR="00A15A86" w:rsidRDefault="00A15A86" w:rsidP="00A15A86">
      <w:pPr>
        <w:pStyle w:val="a7"/>
        <w:spacing w:before="0" w:beforeAutospacing="0" w:after="0" w:afterAutospacing="0"/>
        <w:jc w:val="both"/>
        <w:rPr>
          <w:rFonts w:ascii="Garamond" w:hAnsi="Garamond"/>
          <w:i/>
        </w:rPr>
      </w:pPr>
      <w:r>
        <w:rPr>
          <w:rFonts w:ascii="Garamond" w:hAnsi="Garamond"/>
          <w:i/>
        </w:rPr>
        <w:t>5.1.3.</w:t>
      </w:r>
      <w:r w:rsidRPr="00CA11BD">
        <w:rPr>
          <w:rFonts w:ascii="Garamond" w:hAnsi="Garamond"/>
          <w:i/>
        </w:rPr>
        <w:t xml:space="preserve"> </w:t>
      </w:r>
      <w:r w:rsidR="007E071F">
        <w:rPr>
          <w:rFonts w:ascii="Garamond" w:hAnsi="Garamond"/>
          <w:i/>
        </w:rPr>
        <w:t>High-Dimensional Fixed Effects</w:t>
      </w:r>
    </w:p>
    <w:p w:rsidR="00A15A86" w:rsidRDefault="00A15A86" w:rsidP="00A15A86">
      <w:pPr>
        <w:pStyle w:val="a7"/>
        <w:spacing w:before="0" w:beforeAutospacing="0" w:after="0" w:afterAutospacing="0"/>
        <w:jc w:val="both"/>
        <w:rPr>
          <w:rFonts w:ascii="Garamond" w:hAnsi="Garamond"/>
          <w:i/>
        </w:rPr>
      </w:pPr>
    </w:p>
    <w:p w:rsidR="00997AEC" w:rsidRDefault="00A779B8" w:rsidP="00A15A86">
      <w:pPr>
        <w:pStyle w:val="a7"/>
        <w:spacing w:before="0" w:beforeAutospacing="0" w:after="0" w:afterAutospacing="0" w:line="360" w:lineRule="auto"/>
        <w:jc w:val="both"/>
        <w:rPr>
          <w:rFonts w:ascii="Garamond" w:hAnsi="Garamond"/>
        </w:rPr>
      </w:pPr>
      <w:r>
        <w:rPr>
          <w:rFonts w:ascii="Garamond" w:hAnsi="Garamond"/>
        </w:rPr>
        <w:t xml:space="preserve">While our previous analysis controls for unobserved firm effects, leverage might also be subject to unobservable </w:t>
      </w:r>
      <w:r w:rsidR="00790CC3">
        <w:rPr>
          <w:rFonts w:ascii="Garamond" w:hAnsi="Garamond"/>
        </w:rPr>
        <w:t>within-group heterogeneity. For instance, leverage and gender representation among firms might be subject to time-varying</w:t>
      </w:r>
      <w:r w:rsidR="00584490">
        <w:rPr>
          <w:rFonts w:ascii="Garamond" w:hAnsi="Garamond"/>
        </w:rPr>
        <w:t xml:space="preserve"> heterogeneity across industries, such as industry-wide shocks to credit supply. We follow </w:t>
      </w:r>
      <w:proofErr w:type="spellStart"/>
      <w:r w:rsidR="00584490">
        <w:rPr>
          <w:rFonts w:ascii="Garamond" w:hAnsi="Garamond"/>
        </w:rPr>
        <w:t>Gormley</w:t>
      </w:r>
      <w:proofErr w:type="spellEnd"/>
      <w:r w:rsidR="00584490">
        <w:rPr>
          <w:rFonts w:ascii="Garamond" w:hAnsi="Garamond"/>
        </w:rPr>
        <w:t xml:space="preserve"> and </w:t>
      </w:r>
      <w:proofErr w:type="spellStart"/>
      <w:r w:rsidR="00584490">
        <w:rPr>
          <w:rFonts w:ascii="Garamond" w:hAnsi="Garamond"/>
        </w:rPr>
        <w:t>Matsa</w:t>
      </w:r>
      <w:proofErr w:type="spellEnd"/>
      <w:r w:rsidR="00584490">
        <w:rPr>
          <w:rFonts w:ascii="Garamond" w:hAnsi="Garamond"/>
        </w:rPr>
        <w:t xml:space="preserve"> (201</w:t>
      </w:r>
      <w:r w:rsidR="00077D28">
        <w:rPr>
          <w:rFonts w:ascii="Garamond" w:hAnsi="Garamond"/>
        </w:rPr>
        <w:t>4) and employ multiple high-dimensional fixed effects in our benchmark regression. In particular</w:t>
      </w:r>
      <w:r w:rsidR="00C83CFE">
        <w:rPr>
          <w:rFonts w:ascii="Garamond" w:hAnsi="Garamond"/>
        </w:rPr>
        <w:t xml:space="preserve">, we </w:t>
      </w:r>
      <w:r w:rsidR="00463A6C">
        <w:rPr>
          <w:rFonts w:ascii="Garamond" w:hAnsi="Garamond"/>
        </w:rPr>
        <w:t>add</w:t>
      </w:r>
      <w:r w:rsidR="00C83CFE">
        <w:rPr>
          <w:rFonts w:ascii="Garamond" w:hAnsi="Garamond"/>
        </w:rPr>
        <w:t xml:space="preserve"> both firm fixed effects and industry-by-</w:t>
      </w:r>
      <w:r w:rsidR="008B3E12">
        <w:rPr>
          <w:rFonts w:ascii="Garamond" w:hAnsi="Garamond"/>
        </w:rPr>
        <w:t>year</w:t>
      </w:r>
      <w:r w:rsidR="00C83CFE">
        <w:rPr>
          <w:rFonts w:ascii="Garamond" w:hAnsi="Garamond"/>
        </w:rPr>
        <w:t xml:space="preserve"> fixed effects </w:t>
      </w:r>
      <w:r w:rsidR="007B704F">
        <w:rPr>
          <w:rFonts w:ascii="Garamond" w:hAnsi="Garamond"/>
        </w:rPr>
        <w:t xml:space="preserve">to equation (1) </w:t>
      </w:r>
      <w:r w:rsidR="00C83CFE">
        <w:rPr>
          <w:rFonts w:ascii="Garamond" w:hAnsi="Garamond"/>
        </w:rPr>
        <w:t xml:space="preserve">(see Li and </w:t>
      </w:r>
      <w:proofErr w:type="spellStart"/>
      <w:r w:rsidR="00C83CFE">
        <w:rPr>
          <w:rFonts w:ascii="Garamond" w:hAnsi="Garamond"/>
        </w:rPr>
        <w:t>Zeng</w:t>
      </w:r>
      <w:proofErr w:type="spellEnd"/>
      <w:r w:rsidR="00C83CFE">
        <w:rPr>
          <w:rFonts w:ascii="Garamond" w:hAnsi="Garamond"/>
        </w:rPr>
        <w:t>, 2019, for a similar application of multiple, high-dimensional fixed effects</w:t>
      </w:r>
      <w:r w:rsidR="00646B87">
        <w:rPr>
          <w:rFonts w:ascii="Garamond" w:hAnsi="Garamond"/>
        </w:rPr>
        <w:t>).</w:t>
      </w:r>
    </w:p>
    <w:p w:rsidR="00463A6C" w:rsidRDefault="00463A6C" w:rsidP="001C5149">
      <w:pPr>
        <w:pStyle w:val="a7"/>
        <w:spacing w:before="0" w:beforeAutospacing="0" w:after="0" w:afterAutospacing="0"/>
        <w:jc w:val="both"/>
        <w:rPr>
          <w:rFonts w:ascii="Garamond" w:hAnsi="Garamond"/>
        </w:rPr>
      </w:pPr>
    </w:p>
    <w:p w:rsidR="001669F8" w:rsidRPr="001669F8" w:rsidRDefault="00965A53" w:rsidP="001F61FF">
      <w:pPr>
        <w:pStyle w:val="a7"/>
        <w:spacing w:before="0" w:beforeAutospacing="0" w:after="120" w:afterAutospacing="0" w:line="360" w:lineRule="auto"/>
        <w:jc w:val="both"/>
        <w:rPr>
          <w:rFonts w:ascii="Garamond" w:hAnsi="Garamond"/>
        </w:rPr>
      </w:pPr>
      <w:r>
        <w:rPr>
          <w:rFonts w:ascii="Garamond" w:hAnsi="Garamond"/>
        </w:rPr>
        <w:t xml:space="preserve">The results are reported in Table </w:t>
      </w:r>
      <w:r w:rsidR="009D3D2F">
        <w:rPr>
          <w:rFonts w:ascii="Garamond" w:hAnsi="Garamond"/>
        </w:rPr>
        <w:t xml:space="preserve">11. While the inclusion of </w:t>
      </w:r>
      <w:r w:rsidR="00BE3002">
        <w:rPr>
          <w:rFonts w:ascii="Garamond" w:hAnsi="Garamond"/>
        </w:rPr>
        <w:t xml:space="preserve">high-dimensional </w:t>
      </w:r>
      <w:r w:rsidR="009D3D2F">
        <w:rPr>
          <w:rFonts w:ascii="Garamond" w:hAnsi="Garamond"/>
        </w:rPr>
        <w:t>fixed effects has slightly decreased the statistical significance of the female CFO effect on leverage, the coefficient estimate</w:t>
      </w:r>
      <w:r w:rsidR="00C30EA3">
        <w:rPr>
          <w:rFonts w:ascii="Garamond" w:hAnsi="Garamond"/>
        </w:rPr>
        <w:t xml:space="preserve">s on the CFO gender dummy are still significant at the 10% level and are of similar economic magnitude </w:t>
      </w:r>
      <w:r w:rsidR="00C220D2">
        <w:rPr>
          <w:rFonts w:ascii="Garamond" w:hAnsi="Garamond"/>
        </w:rPr>
        <w:t>as our benchmark results presented in Table 4. Hence, these additional tests provide further support that female CFOs reduce leverage</w:t>
      </w:r>
      <w:r w:rsidR="001F61FF">
        <w:rPr>
          <w:rFonts w:ascii="Garamond" w:hAnsi="Garamond"/>
        </w:rPr>
        <w:t xml:space="preserve"> in the firms they manage.</w:t>
      </w:r>
    </w:p>
    <w:p w:rsidR="00A15A86" w:rsidRPr="00CA263B" w:rsidRDefault="00A15A86" w:rsidP="00A15A86">
      <w:pPr>
        <w:pStyle w:val="a7"/>
        <w:spacing w:before="0" w:beforeAutospacing="0" w:after="0" w:afterAutospacing="0" w:line="360" w:lineRule="auto"/>
        <w:jc w:val="both"/>
        <w:rPr>
          <w:rFonts w:ascii="Garamond" w:hAnsi="Garamond"/>
        </w:rPr>
      </w:pPr>
    </w:p>
    <w:p w:rsidR="00A15A86" w:rsidRDefault="00A15A86" w:rsidP="00A15A86">
      <w:pPr>
        <w:pStyle w:val="a7"/>
        <w:spacing w:before="0" w:beforeAutospacing="0" w:after="0" w:afterAutospacing="0"/>
        <w:jc w:val="both"/>
        <w:rPr>
          <w:rFonts w:ascii="Garamond" w:hAnsi="Garamond"/>
          <w:i/>
        </w:rPr>
      </w:pPr>
      <w:r>
        <w:rPr>
          <w:rFonts w:ascii="Garamond" w:hAnsi="Garamond"/>
          <w:i/>
        </w:rPr>
        <w:t>5.1.4.</w:t>
      </w:r>
      <w:r w:rsidRPr="00CA11BD">
        <w:rPr>
          <w:rFonts w:ascii="Garamond" w:hAnsi="Garamond"/>
          <w:i/>
        </w:rPr>
        <w:t xml:space="preserve"> </w:t>
      </w:r>
      <w:r w:rsidR="00A779B8">
        <w:rPr>
          <w:rFonts w:ascii="Garamond" w:hAnsi="Garamond"/>
          <w:i/>
        </w:rPr>
        <w:t xml:space="preserve">Sub-period </w:t>
      </w:r>
      <w:r w:rsidR="00AD340E">
        <w:rPr>
          <w:rFonts w:ascii="Garamond" w:hAnsi="Garamond"/>
          <w:i/>
        </w:rPr>
        <w:t>Analysis</w:t>
      </w:r>
    </w:p>
    <w:p w:rsidR="00A15A86" w:rsidRDefault="00A15A86" w:rsidP="00A15A86">
      <w:pPr>
        <w:pStyle w:val="a7"/>
        <w:spacing w:before="0" w:beforeAutospacing="0" w:after="0" w:afterAutospacing="0"/>
        <w:jc w:val="both"/>
        <w:rPr>
          <w:rFonts w:ascii="Garamond" w:hAnsi="Garamond"/>
          <w:i/>
        </w:rPr>
      </w:pPr>
    </w:p>
    <w:p w:rsidR="00BD3C4E" w:rsidRDefault="001F61FF" w:rsidP="00A15A86">
      <w:pPr>
        <w:spacing w:line="360" w:lineRule="auto"/>
        <w:jc w:val="both"/>
        <w:rPr>
          <w:rFonts w:ascii="Garamond" w:hAnsi="Garamond"/>
        </w:rPr>
      </w:pPr>
      <w:r>
        <w:rPr>
          <w:rFonts w:ascii="Garamond" w:hAnsi="Garamond"/>
        </w:rPr>
        <w:t>The UK corporate governance landscape has seen significant changes over our sample period</w:t>
      </w:r>
      <w:r w:rsidR="000A2505">
        <w:rPr>
          <w:rFonts w:ascii="Garamond" w:hAnsi="Garamond"/>
        </w:rPr>
        <w:t xml:space="preserve">. </w:t>
      </w:r>
      <w:r w:rsidR="008B3E12">
        <w:rPr>
          <w:rFonts w:ascii="Garamond" w:hAnsi="Garamond"/>
        </w:rPr>
        <w:t>Awareness</w:t>
      </w:r>
      <w:r w:rsidR="000A2505">
        <w:rPr>
          <w:rFonts w:ascii="Garamond" w:hAnsi="Garamond"/>
        </w:rPr>
        <w:t xml:space="preserve"> of gender equality issues and public pressure on companies to achieve greater gender balance in their leadership teams</w:t>
      </w:r>
      <w:r w:rsidR="00AE02B3">
        <w:rPr>
          <w:rFonts w:ascii="Garamond" w:hAnsi="Garamond"/>
        </w:rPr>
        <w:t xml:space="preserve"> has considerably increased over time. </w:t>
      </w:r>
      <w:proofErr w:type="gramStart"/>
      <w:r w:rsidR="00AE02B3">
        <w:rPr>
          <w:rFonts w:ascii="Garamond" w:hAnsi="Garamond"/>
        </w:rPr>
        <w:t>While other countries have introduced mandatory gender quotas for boards (e.g. Norway, Belgium, France, Germany, Iceland, India, Israel, Italy, Spain), the UK does not have a legally binding quota</w:t>
      </w:r>
      <w:r w:rsidR="00A12F52">
        <w:rPr>
          <w:rFonts w:ascii="Garamond" w:hAnsi="Garamond"/>
        </w:rPr>
        <w:t>.</w:t>
      </w:r>
      <w:proofErr w:type="gramEnd"/>
      <w:r w:rsidR="00A12F52">
        <w:rPr>
          <w:rFonts w:ascii="Garamond" w:hAnsi="Garamond"/>
        </w:rPr>
        <w:t xml:space="preserve"> The advantage of legally binding quotas is that their introduction can be regarded as an exogenous shock to firms that </w:t>
      </w:r>
      <w:r w:rsidR="00BB5327">
        <w:rPr>
          <w:rFonts w:ascii="Garamond" w:hAnsi="Garamond"/>
        </w:rPr>
        <w:t>instantly increases the female representation in corporate boards (assuming firms follow the law)</w:t>
      </w:r>
      <w:r w:rsidR="00034211">
        <w:rPr>
          <w:rFonts w:ascii="Garamond" w:hAnsi="Garamond"/>
        </w:rPr>
        <w:t xml:space="preserve">, which mitigates the reverse causality problem of linking </w:t>
      </w:r>
      <w:r w:rsidR="00DA31D8">
        <w:rPr>
          <w:rFonts w:ascii="Garamond" w:hAnsi="Garamond"/>
        </w:rPr>
        <w:t>gender representation to corporate outcomes.</w:t>
      </w:r>
    </w:p>
    <w:p w:rsidR="008B3E12" w:rsidRDefault="008B3E12" w:rsidP="001C5149">
      <w:pPr>
        <w:jc w:val="both"/>
        <w:rPr>
          <w:rFonts w:ascii="Garamond" w:hAnsi="Garamond"/>
        </w:rPr>
      </w:pPr>
    </w:p>
    <w:p w:rsidR="001669F8" w:rsidRDefault="00DA31D8" w:rsidP="00A15A86">
      <w:pPr>
        <w:spacing w:line="360" w:lineRule="auto"/>
        <w:jc w:val="both"/>
        <w:rPr>
          <w:rFonts w:ascii="Garamond" w:hAnsi="Garamond"/>
        </w:rPr>
      </w:pPr>
      <w:r>
        <w:rPr>
          <w:rFonts w:ascii="Garamond" w:hAnsi="Garamond"/>
        </w:rPr>
        <w:t>While we do not have such an exogenous legislative shock in the UK context, the publication of the ‘Women on Boards’ report by Lord Davies in February 2011 can nevertheless be considered as a significant event</w:t>
      </w:r>
      <w:r w:rsidR="00BD3C4E">
        <w:rPr>
          <w:rFonts w:ascii="Garamond" w:hAnsi="Garamond"/>
        </w:rPr>
        <w:t xml:space="preserve"> for the UK corporate governance and gender equality landscape that strongly increased the pressure on UK publicly listed companies to appoint more women to their </w:t>
      </w:r>
      <w:r w:rsidR="00BD3C4E">
        <w:rPr>
          <w:rFonts w:ascii="Garamond" w:hAnsi="Garamond"/>
        </w:rPr>
        <w:lastRenderedPageBreak/>
        <w:t>board.</w:t>
      </w:r>
      <w:r w:rsidR="00E11DEE">
        <w:rPr>
          <w:rStyle w:val="a9"/>
          <w:rFonts w:ascii="Garamond" w:hAnsi="Garamond"/>
        </w:rPr>
        <w:footnoteReference w:id="12"/>
      </w:r>
      <w:r w:rsidR="00BD3C4E">
        <w:rPr>
          <w:rFonts w:ascii="Garamond" w:hAnsi="Garamond"/>
        </w:rPr>
        <w:t xml:space="preserve"> </w:t>
      </w:r>
      <w:r w:rsidR="00C161FD">
        <w:rPr>
          <w:rFonts w:ascii="Garamond" w:hAnsi="Garamond"/>
        </w:rPr>
        <w:t xml:space="preserve">Lord Davies had been appointed by the UK government to undertake the review which comprised an examination of the current gender representation </w:t>
      </w:r>
      <w:r w:rsidR="00161823">
        <w:rPr>
          <w:rFonts w:ascii="Garamond" w:hAnsi="Garamond"/>
        </w:rPr>
        <w:t>among FTSE350 corporate boards</w:t>
      </w:r>
      <w:r w:rsidR="003A6370">
        <w:rPr>
          <w:rFonts w:ascii="Garamond" w:hAnsi="Garamond"/>
        </w:rPr>
        <w:t>. The review concluded with</w:t>
      </w:r>
      <w:r w:rsidR="00161823">
        <w:rPr>
          <w:rFonts w:ascii="Garamond" w:hAnsi="Garamond"/>
        </w:rPr>
        <w:t xml:space="preserve"> </w:t>
      </w:r>
      <w:r w:rsidR="00FE1F52">
        <w:rPr>
          <w:rFonts w:ascii="Garamond" w:hAnsi="Garamond"/>
        </w:rPr>
        <w:t xml:space="preserve">recommendations to increase female representation among FTSE100 boards to a minimum of 25% by </w:t>
      </w:r>
      <w:r w:rsidR="003A6370">
        <w:rPr>
          <w:rFonts w:ascii="Garamond" w:hAnsi="Garamond"/>
        </w:rPr>
        <w:t>2015 and 30% by 2020 through</w:t>
      </w:r>
      <w:r w:rsidR="005A144C">
        <w:rPr>
          <w:rFonts w:ascii="Garamond" w:hAnsi="Garamond"/>
        </w:rPr>
        <w:t xml:space="preserve"> the appointment of 1/3 women and 2/3 men to open board positions. </w:t>
      </w:r>
      <w:r w:rsidR="00CC5B0B">
        <w:rPr>
          <w:rFonts w:ascii="Garamond" w:hAnsi="Garamond"/>
        </w:rPr>
        <w:t>The consultation for the report began in September 2010, the initial report was published in February 2011 and it was followed up by bi-annual</w:t>
      </w:r>
      <w:r w:rsidR="00E2488C">
        <w:rPr>
          <w:rFonts w:ascii="Garamond" w:hAnsi="Garamond"/>
        </w:rPr>
        <w:t xml:space="preserve"> progress reports.</w:t>
      </w:r>
    </w:p>
    <w:p w:rsidR="0048413B" w:rsidRDefault="0048413B" w:rsidP="001C5149">
      <w:pPr>
        <w:jc w:val="both"/>
        <w:rPr>
          <w:rFonts w:ascii="Garamond" w:hAnsi="Garamond"/>
        </w:rPr>
      </w:pPr>
    </w:p>
    <w:p w:rsidR="00032A42" w:rsidRPr="001669F8" w:rsidRDefault="00E2488C" w:rsidP="00A15A86">
      <w:pPr>
        <w:spacing w:line="360" w:lineRule="auto"/>
        <w:jc w:val="both"/>
        <w:rPr>
          <w:rFonts w:ascii="Garamond" w:hAnsi="Garamond"/>
        </w:rPr>
      </w:pPr>
      <w:r>
        <w:rPr>
          <w:rFonts w:ascii="Garamond" w:hAnsi="Garamond"/>
        </w:rPr>
        <w:t>While the recommendations were not legally binding</w:t>
      </w:r>
      <w:r w:rsidR="008F6C00">
        <w:rPr>
          <w:rFonts w:ascii="Garamond" w:hAnsi="Garamond"/>
        </w:rPr>
        <w:t>, they did have a significant effect on the number of women on UK corporate boards and on the proportion of female CFO</w:t>
      </w:r>
      <w:r w:rsidR="00F85311">
        <w:rPr>
          <w:rFonts w:ascii="Garamond" w:hAnsi="Garamond"/>
        </w:rPr>
        <w:t>s who sit on the board in most UK public companies</w:t>
      </w:r>
      <w:r w:rsidR="00C07B7C">
        <w:rPr>
          <w:rFonts w:ascii="Garamond" w:hAnsi="Garamond"/>
        </w:rPr>
        <w:t>, as can be seen</w:t>
      </w:r>
      <w:r w:rsidR="00032A42">
        <w:rPr>
          <w:rFonts w:ascii="Garamond" w:hAnsi="Garamond"/>
        </w:rPr>
        <w:t xml:space="preserve"> by the strong growth of the percentage of women among these two groups</w:t>
      </w:r>
      <w:r w:rsidR="00C07B7C">
        <w:rPr>
          <w:rFonts w:ascii="Garamond" w:hAnsi="Garamond"/>
        </w:rPr>
        <w:t xml:space="preserve"> in Figure 1.</w:t>
      </w:r>
      <w:r w:rsidR="00E11DEE">
        <w:rPr>
          <w:rStyle w:val="a9"/>
          <w:rFonts w:ascii="Garamond" w:hAnsi="Garamond"/>
        </w:rPr>
        <w:footnoteReference w:id="13"/>
      </w:r>
      <w:r w:rsidR="00707DAA">
        <w:rPr>
          <w:rFonts w:ascii="Garamond" w:hAnsi="Garamond"/>
        </w:rPr>
        <w:t xml:space="preserve"> </w:t>
      </w:r>
      <w:r w:rsidR="00032A42">
        <w:rPr>
          <w:rFonts w:ascii="Garamond" w:hAnsi="Garamond"/>
        </w:rPr>
        <w:t xml:space="preserve">Hence, we argue that the introduction of the Davies report can be </w:t>
      </w:r>
      <w:r w:rsidR="00390E96">
        <w:rPr>
          <w:rFonts w:ascii="Garamond" w:hAnsi="Garamond"/>
        </w:rPr>
        <w:t>considered as a semi-exogenous shock that led to a significant increase in female directors and represents a meaningful point in time to divide our sample into</w:t>
      </w:r>
      <w:r w:rsidR="00607BA5">
        <w:rPr>
          <w:rFonts w:ascii="Garamond" w:hAnsi="Garamond"/>
        </w:rPr>
        <w:t xml:space="preserve"> two sub-samples: 1999-2011 as the period leading up to the Davies report; and 2012-2017 as the post-Davies report period.</w:t>
      </w:r>
      <w:r w:rsidR="00EE0F3D">
        <w:rPr>
          <w:rFonts w:ascii="Garamond" w:hAnsi="Garamond"/>
        </w:rPr>
        <w:t xml:space="preserve"> Table 12 presents the results of running our baseline regression</w:t>
      </w:r>
      <w:r w:rsidR="0012629C">
        <w:rPr>
          <w:rFonts w:ascii="Garamond" w:hAnsi="Garamond"/>
        </w:rPr>
        <w:t xml:space="preserve"> for these two sub-periods. It is clear when comparing the results in Panel A (1999-2011) and Panel B (2012-2017) that the significant negative effect of female CFOs on corporate leverage is only present in the post-Davies report period when the number, and arguably the influence</w:t>
      </w:r>
      <w:r w:rsidR="0096553B">
        <w:rPr>
          <w:rFonts w:ascii="Garamond" w:hAnsi="Garamond"/>
        </w:rPr>
        <w:t xml:space="preserve"> and managerial discretion</w:t>
      </w:r>
      <w:r w:rsidR="0012629C">
        <w:rPr>
          <w:rFonts w:ascii="Garamond" w:hAnsi="Garamond"/>
        </w:rPr>
        <w:t>, of female CFOs in UK public companies had strongly risen</w:t>
      </w:r>
      <w:r w:rsidR="00DB0647">
        <w:rPr>
          <w:rFonts w:ascii="Garamond" w:hAnsi="Garamond"/>
        </w:rPr>
        <w:t xml:space="preserve">. </w:t>
      </w:r>
      <w:r w:rsidR="00977786" w:rsidRPr="00977786">
        <w:rPr>
          <w:rFonts w:ascii="Garamond" w:hAnsi="Garamond"/>
        </w:rPr>
        <w:t xml:space="preserve">Specifically, </w:t>
      </w:r>
      <w:r w:rsidR="00141834">
        <w:rPr>
          <w:rFonts w:ascii="Garamond" w:hAnsi="Garamond"/>
        </w:rPr>
        <w:t xml:space="preserve">the average </w:t>
      </w:r>
      <w:r w:rsidR="0064662A">
        <w:rPr>
          <w:rFonts w:ascii="Garamond" w:hAnsi="Garamond"/>
        </w:rPr>
        <w:t xml:space="preserve">coefficients on the female CFO dummy </w:t>
      </w:r>
      <w:r w:rsidR="00141834">
        <w:rPr>
          <w:rFonts w:ascii="Garamond" w:hAnsi="Garamond"/>
        </w:rPr>
        <w:t xml:space="preserve">across our six specifications show that </w:t>
      </w:r>
      <w:r w:rsidR="00977786" w:rsidRPr="00977786">
        <w:rPr>
          <w:rFonts w:ascii="Garamond" w:hAnsi="Garamond"/>
        </w:rPr>
        <w:t>female CFOs lower leverage by</w:t>
      </w:r>
      <w:r w:rsidR="00824024">
        <w:rPr>
          <w:rFonts w:ascii="Garamond" w:hAnsi="Garamond"/>
        </w:rPr>
        <w:t xml:space="preserve"> </w:t>
      </w:r>
      <w:r w:rsidR="00085AE2">
        <w:rPr>
          <w:rFonts w:ascii="Garamond" w:hAnsi="Garamond"/>
        </w:rPr>
        <w:t>19.</w:t>
      </w:r>
      <w:r w:rsidR="00827594">
        <w:rPr>
          <w:rFonts w:ascii="Garamond" w:hAnsi="Garamond"/>
        </w:rPr>
        <w:t>85</w:t>
      </w:r>
      <w:r w:rsidR="003B2F38">
        <w:rPr>
          <w:rFonts w:ascii="Garamond" w:hAnsi="Garamond"/>
        </w:rPr>
        <w:t>%</w:t>
      </w:r>
      <w:r w:rsidR="00977786" w:rsidRPr="00977786">
        <w:rPr>
          <w:rFonts w:ascii="Garamond" w:hAnsi="Garamond"/>
        </w:rPr>
        <w:t xml:space="preserve"> (=</w:t>
      </w:r>
      <w:r w:rsidR="00517B66">
        <w:rPr>
          <w:rFonts w:ascii="Garamond" w:hAnsi="Garamond"/>
        </w:rPr>
        <w:t>-</w:t>
      </w:r>
      <w:r w:rsidR="00977786" w:rsidRPr="00977786">
        <w:rPr>
          <w:rFonts w:ascii="Garamond" w:hAnsi="Garamond"/>
        </w:rPr>
        <w:t>0.</w:t>
      </w:r>
      <w:r w:rsidR="00141834" w:rsidRPr="00977786">
        <w:rPr>
          <w:rFonts w:ascii="Garamond" w:hAnsi="Garamond"/>
        </w:rPr>
        <w:t>0</w:t>
      </w:r>
      <w:r w:rsidR="00141834">
        <w:rPr>
          <w:rFonts w:ascii="Garamond" w:hAnsi="Garamond"/>
        </w:rPr>
        <w:t>518</w:t>
      </w:r>
      <w:r w:rsidR="00977786" w:rsidRPr="00977786">
        <w:rPr>
          <w:rFonts w:ascii="Garamond" w:hAnsi="Garamond"/>
        </w:rPr>
        <w:t>/0.2</w:t>
      </w:r>
      <w:r w:rsidR="00977786">
        <w:rPr>
          <w:rFonts w:ascii="Garamond" w:hAnsi="Garamond"/>
        </w:rPr>
        <w:t>609</w:t>
      </w:r>
      <w:r w:rsidR="00977786" w:rsidRPr="00977786">
        <w:rPr>
          <w:rFonts w:ascii="Garamond" w:hAnsi="Garamond"/>
        </w:rPr>
        <w:t xml:space="preserve">) compared to the leverage of a firm run by </w:t>
      </w:r>
      <w:r w:rsidR="00495A46">
        <w:rPr>
          <w:rFonts w:ascii="Garamond" w:hAnsi="Garamond"/>
        </w:rPr>
        <w:t xml:space="preserve">a </w:t>
      </w:r>
      <w:r w:rsidR="00977786" w:rsidRPr="00977786">
        <w:rPr>
          <w:rFonts w:ascii="Garamond" w:hAnsi="Garamond"/>
        </w:rPr>
        <w:t>male CFO</w:t>
      </w:r>
      <w:r w:rsidR="00977786">
        <w:rPr>
          <w:rFonts w:ascii="Garamond" w:hAnsi="Garamond"/>
        </w:rPr>
        <w:t xml:space="preserve"> in the subsample from 2012 to 2017</w:t>
      </w:r>
      <w:r w:rsidR="00977786" w:rsidRPr="00977786">
        <w:rPr>
          <w:rFonts w:ascii="Garamond" w:hAnsi="Garamond"/>
        </w:rPr>
        <w:t>.</w:t>
      </w:r>
      <w:r w:rsidR="00977786">
        <w:rPr>
          <w:rFonts w:ascii="Garamond" w:hAnsi="Garamond"/>
        </w:rPr>
        <w:t xml:space="preserve"> </w:t>
      </w:r>
      <w:r w:rsidR="00DB0647">
        <w:rPr>
          <w:rFonts w:ascii="Garamond" w:hAnsi="Garamond"/>
        </w:rPr>
        <w:t>While</w:t>
      </w:r>
      <w:r w:rsidR="009B50EE">
        <w:rPr>
          <w:rFonts w:ascii="Garamond" w:hAnsi="Garamond"/>
        </w:rPr>
        <w:t xml:space="preserve"> the results </w:t>
      </w:r>
      <w:r w:rsidR="00D6426F">
        <w:rPr>
          <w:rFonts w:ascii="Garamond" w:hAnsi="Garamond"/>
        </w:rPr>
        <w:t>should</w:t>
      </w:r>
      <w:r w:rsidR="009B50EE">
        <w:rPr>
          <w:rFonts w:ascii="Garamond" w:hAnsi="Garamond"/>
        </w:rPr>
        <w:t xml:space="preserve"> be interpreted with caution due to the non-legally binding nature of the recommendations, we nevertheless</w:t>
      </w:r>
      <w:r w:rsidR="00DC6FDF">
        <w:rPr>
          <w:rFonts w:ascii="Garamond" w:hAnsi="Garamond"/>
        </w:rPr>
        <w:t xml:space="preserve"> observe that the findings are strongly in line with our benchmark findings and the underlying assumption that female CFOs only adjust corporate leverage ba</w:t>
      </w:r>
      <w:r w:rsidR="004E3D12">
        <w:rPr>
          <w:rFonts w:ascii="Garamond" w:hAnsi="Garamond"/>
        </w:rPr>
        <w:t>sed on their preferences if their influence is sufficient and they are not regarded as tokens.</w:t>
      </w:r>
    </w:p>
    <w:p w:rsidR="00E15527" w:rsidRDefault="00E15527" w:rsidP="001C5149">
      <w:pPr>
        <w:jc w:val="both"/>
        <w:rPr>
          <w:rFonts w:ascii="Garamond" w:hAnsi="Garamond"/>
        </w:rPr>
      </w:pPr>
    </w:p>
    <w:p w:rsidR="00F539AF" w:rsidRDefault="00F539AF">
      <w:pPr>
        <w:rPr>
          <w:rFonts w:ascii="Garamond" w:hAnsi="Garamond"/>
        </w:rPr>
      </w:pPr>
    </w:p>
    <w:p w:rsidR="00A6710F" w:rsidRDefault="00F539AF" w:rsidP="00A6710F">
      <w:pPr>
        <w:pStyle w:val="a7"/>
        <w:spacing w:before="0" w:beforeAutospacing="0" w:after="0" w:afterAutospacing="0" w:line="360" w:lineRule="auto"/>
        <w:jc w:val="both"/>
        <w:rPr>
          <w:rFonts w:ascii="Garamond" w:hAnsi="Garamond"/>
          <w:i/>
          <w:iCs/>
        </w:rPr>
      </w:pPr>
      <w:r w:rsidRPr="00F539AF">
        <w:rPr>
          <w:rFonts w:ascii="Garamond" w:hAnsi="Garamond"/>
          <w:i/>
          <w:iCs/>
        </w:rPr>
        <w:t xml:space="preserve">5.1.5. Heckman </w:t>
      </w:r>
      <w:r w:rsidR="004F3323">
        <w:rPr>
          <w:rFonts w:ascii="Garamond" w:hAnsi="Garamond"/>
          <w:i/>
          <w:iCs/>
        </w:rPr>
        <w:t>T</w:t>
      </w:r>
      <w:r w:rsidRPr="00F539AF">
        <w:rPr>
          <w:rFonts w:ascii="Garamond" w:hAnsi="Garamond"/>
          <w:i/>
          <w:iCs/>
        </w:rPr>
        <w:t>wo-</w:t>
      </w:r>
      <w:r w:rsidR="004F3323">
        <w:rPr>
          <w:rFonts w:ascii="Garamond" w:hAnsi="Garamond"/>
          <w:i/>
          <w:iCs/>
        </w:rPr>
        <w:t>S</w:t>
      </w:r>
      <w:r w:rsidRPr="00F539AF">
        <w:rPr>
          <w:rFonts w:ascii="Garamond" w:hAnsi="Garamond"/>
          <w:i/>
          <w:iCs/>
        </w:rPr>
        <w:t xml:space="preserve">tage </w:t>
      </w:r>
      <w:r w:rsidR="004F3323">
        <w:rPr>
          <w:rFonts w:ascii="Garamond" w:hAnsi="Garamond"/>
          <w:i/>
          <w:iCs/>
        </w:rPr>
        <w:t>M</w:t>
      </w:r>
      <w:r w:rsidRPr="00F539AF">
        <w:rPr>
          <w:rFonts w:ascii="Garamond" w:hAnsi="Garamond"/>
          <w:i/>
          <w:iCs/>
        </w:rPr>
        <w:t>ethod</w:t>
      </w:r>
    </w:p>
    <w:p w:rsidR="009C1F63" w:rsidRDefault="009C1F63" w:rsidP="00A36724">
      <w:pPr>
        <w:pStyle w:val="a7"/>
        <w:spacing w:before="0" w:beforeAutospacing="0" w:after="0" w:afterAutospacing="0" w:line="360" w:lineRule="auto"/>
        <w:jc w:val="both"/>
        <w:rPr>
          <w:rFonts w:ascii="Garamond" w:hAnsi="Garamond"/>
        </w:rPr>
      </w:pPr>
      <w:r>
        <w:rPr>
          <w:rFonts w:ascii="Garamond" w:hAnsi="Garamond"/>
        </w:rPr>
        <w:t xml:space="preserve">Although our analysis so far has dealt with a number of </w:t>
      </w:r>
      <w:proofErr w:type="spellStart"/>
      <w:r>
        <w:rPr>
          <w:rFonts w:ascii="Garamond" w:hAnsi="Garamond"/>
        </w:rPr>
        <w:t>endogeneity</w:t>
      </w:r>
      <w:proofErr w:type="spellEnd"/>
      <w:r>
        <w:rPr>
          <w:rFonts w:ascii="Garamond" w:hAnsi="Garamond"/>
        </w:rPr>
        <w:t xml:space="preserve"> issues, there is the concern that firms wanting to lower leverage hire female CFOs and therefore the hiring of female </w:t>
      </w:r>
      <w:r w:rsidR="00BC439F">
        <w:rPr>
          <w:rFonts w:ascii="Garamond" w:hAnsi="Garamond"/>
        </w:rPr>
        <w:t xml:space="preserve">CFOs </w:t>
      </w:r>
      <w:r>
        <w:rPr>
          <w:rFonts w:ascii="Garamond" w:hAnsi="Garamond"/>
        </w:rPr>
        <w:t xml:space="preserve">may not be a random choice of firms, which can cause self-selection bias. </w:t>
      </w:r>
      <w:r w:rsidR="00A24457">
        <w:rPr>
          <w:rFonts w:ascii="Garamond" w:hAnsi="Garamond"/>
        </w:rPr>
        <w:t>Hence,</w:t>
      </w:r>
      <w:r>
        <w:rPr>
          <w:rFonts w:ascii="Garamond" w:hAnsi="Garamond"/>
        </w:rPr>
        <w:t xml:space="preserve"> we use the </w:t>
      </w:r>
      <w:r>
        <w:rPr>
          <w:rFonts w:ascii="Garamond" w:hAnsi="Garamond"/>
        </w:rPr>
        <w:lastRenderedPageBreak/>
        <w:t xml:space="preserve">Heckman two-stage method to </w:t>
      </w:r>
      <w:proofErr w:type="gramStart"/>
      <w:r>
        <w:rPr>
          <w:rFonts w:ascii="Garamond" w:hAnsi="Garamond"/>
        </w:rPr>
        <w:t>mitigate</w:t>
      </w:r>
      <w:proofErr w:type="gramEnd"/>
      <w:r>
        <w:rPr>
          <w:rFonts w:ascii="Garamond" w:hAnsi="Garamond"/>
        </w:rPr>
        <w:t xml:space="preserve"> against this </w:t>
      </w:r>
      <w:proofErr w:type="spellStart"/>
      <w:r>
        <w:rPr>
          <w:rFonts w:ascii="Garamond" w:hAnsi="Garamond"/>
        </w:rPr>
        <w:t>endogeneity</w:t>
      </w:r>
      <w:proofErr w:type="spellEnd"/>
      <w:r>
        <w:rPr>
          <w:rFonts w:ascii="Garamond" w:hAnsi="Garamond"/>
        </w:rPr>
        <w:t xml:space="preserve"> concern.</w:t>
      </w:r>
      <w:r>
        <w:rPr>
          <w:rStyle w:val="a9"/>
          <w:rFonts w:ascii="Garamond" w:hAnsi="Garamond"/>
        </w:rPr>
        <w:footnoteReference w:id="14"/>
      </w:r>
      <w:r>
        <w:rPr>
          <w:rFonts w:ascii="Garamond" w:hAnsi="Garamond"/>
        </w:rPr>
        <w:t xml:space="preserve">  In th</w:t>
      </w:r>
      <w:r w:rsidR="000478F5">
        <w:rPr>
          <w:rFonts w:ascii="Garamond" w:hAnsi="Garamond"/>
        </w:rPr>
        <w:t>e</w:t>
      </w:r>
      <w:r>
        <w:rPr>
          <w:rFonts w:ascii="Garamond" w:hAnsi="Garamond"/>
        </w:rPr>
        <w:t xml:space="preserve"> first stage, we construct a </w:t>
      </w:r>
      <w:proofErr w:type="spellStart"/>
      <w:r>
        <w:rPr>
          <w:rFonts w:ascii="Garamond" w:hAnsi="Garamond"/>
        </w:rPr>
        <w:t>Probit</w:t>
      </w:r>
      <w:proofErr w:type="spellEnd"/>
      <w:r>
        <w:rPr>
          <w:rFonts w:ascii="Garamond" w:hAnsi="Garamond"/>
        </w:rPr>
        <w:t xml:space="preserve"> model to estimate the probability of firms hiring a female CFO, where we consider factors such as </w:t>
      </w:r>
      <w:r w:rsidR="00360502">
        <w:rPr>
          <w:rFonts w:ascii="Garamond" w:hAnsi="Garamond"/>
        </w:rPr>
        <w:t xml:space="preserve">the </w:t>
      </w:r>
      <w:r>
        <w:rPr>
          <w:rFonts w:ascii="Garamond" w:hAnsi="Garamond"/>
        </w:rPr>
        <w:t xml:space="preserve">number of directors of a firm, the industry adjusted return-on-assets, </w:t>
      </w:r>
      <w:r w:rsidR="002F5042">
        <w:rPr>
          <w:rFonts w:ascii="Garamond" w:hAnsi="Garamond"/>
        </w:rPr>
        <w:t xml:space="preserve">the total assets, </w:t>
      </w:r>
      <w:r>
        <w:rPr>
          <w:rFonts w:ascii="Garamond" w:hAnsi="Garamond"/>
        </w:rPr>
        <w:t>if the CEO is the chairman, the CFO tenure, the CFO age, the CFO network size and the CFO total compensation</w:t>
      </w:r>
      <w:r w:rsidR="00360502">
        <w:rPr>
          <w:rFonts w:ascii="Garamond" w:hAnsi="Garamond"/>
        </w:rPr>
        <w:t xml:space="preserve"> as predictors of hiring a female CFO</w:t>
      </w:r>
      <w:r>
        <w:rPr>
          <w:rFonts w:ascii="Garamond" w:hAnsi="Garamond"/>
        </w:rPr>
        <w:t>. Since the Heckman model requires an exogenous variable, we use the mean percentage of female directors per year</w:t>
      </w:r>
      <w:r w:rsidR="00827594">
        <w:rPr>
          <w:rFonts w:ascii="Garamond" w:hAnsi="Garamond"/>
        </w:rPr>
        <w:t>,</w:t>
      </w:r>
      <w:r w:rsidR="00827594" w:rsidRPr="00827594">
        <w:rPr>
          <w:rFonts w:ascii="Garamond" w:hAnsi="Garamond"/>
        </w:rPr>
        <w:t xml:space="preserve"> excluding the firm concerned,</w:t>
      </w:r>
      <w:r>
        <w:rPr>
          <w:rFonts w:ascii="Garamond" w:hAnsi="Garamond"/>
        </w:rPr>
        <w:t xml:space="preserve"> to satisfy this requirement.</w:t>
      </w:r>
      <w:r w:rsidR="00145BD1">
        <w:rPr>
          <w:rFonts w:ascii="Garamond" w:hAnsi="Garamond"/>
        </w:rPr>
        <w:t xml:space="preserve"> </w:t>
      </w:r>
      <w:r w:rsidR="00A36724" w:rsidRPr="00A04364">
        <w:rPr>
          <w:rFonts w:ascii="Garamond" w:hAnsi="Garamond"/>
        </w:rPr>
        <w:t>The first stage regression</w:t>
      </w:r>
      <w:r w:rsidR="00A36724">
        <w:rPr>
          <w:rFonts w:ascii="Garamond" w:hAnsi="Garamond"/>
        </w:rPr>
        <w:t xml:space="preserve"> </w:t>
      </w:r>
      <w:r w:rsidR="00A36724" w:rsidRPr="00A04364">
        <w:rPr>
          <w:rFonts w:ascii="Garamond" w:hAnsi="Garamond"/>
        </w:rPr>
        <w:t xml:space="preserve">generates the inverse Mills ratio (IMR), and we include </w:t>
      </w:r>
      <w:r w:rsidR="00A36724">
        <w:rPr>
          <w:rFonts w:ascii="Garamond" w:hAnsi="Garamond"/>
        </w:rPr>
        <w:t>the lagged IMR</w:t>
      </w:r>
      <w:r w:rsidR="00A36724" w:rsidRPr="00A04364">
        <w:rPr>
          <w:rFonts w:ascii="Garamond" w:hAnsi="Garamond"/>
        </w:rPr>
        <w:t xml:space="preserve"> in the second stage regression to control for self-selection bias.</w:t>
      </w:r>
      <w:r w:rsidR="00A36724">
        <w:rPr>
          <w:rFonts w:ascii="Garamond" w:hAnsi="Garamond"/>
        </w:rPr>
        <w:t xml:space="preserve"> </w:t>
      </w:r>
      <w:r w:rsidR="00145BD1">
        <w:rPr>
          <w:rFonts w:ascii="Garamond" w:hAnsi="Garamond"/>
        </w:rPr>
        <w:t xml:space="preserve">We run this model in Table </w:t>
      </w:r>
      <w:r w:rsidR="00B75034">
        <w:rPr>
          <w:rFonts w:ascii="Garamond" w:hAnsi="Garamond"/>
        </w:rPr>
        <w:t xml:space="preserve">13 </w:t>
      </w:r>
      <w:r w:rsidR="00141834">
        <w:rPr>
          <w:rFonts w:ascii="Garamond" w:hAnsi="Garamond"/>
        </w:rPr>
        <w:t xml:space="preserve">where we report the first stage </w:t>
      </w:r>
      <w:proofErr w:type="spellStart"/>
      <w:proofErr w:type="gramStart"/>
      <w:r w:rsidR="00141834">
        <w:rPr>
          <w:rFonts w:ascii="Garamond" w:hAnsi="Garamond"/>
        </w:rPr>
        <w:t>Probit</w:t>
      </w:r>
      <w:proofErr w:type="spellEnd"/>
      <w:proofErr w:type="gramEnd"/>
      <w:r w:rsidR="00141834">
        <w:rPr>
          <w:rFonts w:ascii="Garamond" w:hAnsi="Garamond"/>
        </w:rPr>
        <w:t xml:space="preserve"> model</w:t>
      </w:r>
      <w:r w:rsidR="00A04364">
        <w:rPr>
          <w:rFonts w:ascii="Garamond" w:hAnsi="Garamond"/>
        </w:rPr>
        <w:t xml:space="preserve"> </w:t>
      </w:r>
      <w:r w:rsidR="00141834">
        <w:rPr>
          <w:rFonts w:ascii="Garamond" w:hAnsi="Garamond"/>
        </w:rPr>
        <w:t>and also</w:t>
      </w:r>
      <w:r w:rsidR="00145BD1">
        <w:rPr>
          <w:rFonts w:ascii="Garamond" w:hAnsi="Garamond"/>
        </w:rPr>
        <w:t xml:space="preserve"> the second stage regression </w:t>
      </w:r>
      <w:r w:rsidR="00611292">
        <w:rPr>
          <w:rFonts w:ascii="Garamond" w:hAnsi="Garamond"/>
        </w:rPr>
        <w:t>which employs</w:t>
      </w:r>
      <w:r w:rsidR="00145BD1">
        <w:rPr>
          <w:rFonts w:ascii="Garamond" w:hAnsi="Garamond"/>
        </w:rPr>
        <w:t xml:space="preserve"> the same control variables as in our original specification. Our findings are similar to our baseline results </w:t>
      </w:r>
      <w:r w:rsidR="002B5A18">
        <w:rPr>
          <w:rFonts w:ascii="Garamond" w:hAnsi="Garamond"/>
        </w:rPr>
        <w:t>suggesting</w:t>
      </w:r>
      <w:r w:rsidR="00145BD1">
        <w:rPr>
          <w:rFonts w:ascii="Garamond" w:hAnsi="Garamond"/>
        </w:rPr>
        <w:t xml:space="preserve"> that </w:t>
      </w:r>
      <w:r w:rsidR="00EF184C">
        <w:rPr>
          <w:rFonts w:ascii="Garamond" w:hAnsi="Garamond"/>
        </w:rPr>
        <w:t>they</w:t>
      </w:r>
      <w:r w:rsidR="00615491">
        <w:rPr>
          <w:rFonts w:ascii="Garamond" w:hAnsi="Garamond"/>
        </w:rPr>
        <w:t xml:space="preserve"> are</w:t>
      </w:r>
      <w:r w:rsidR="00145BD1">
        <w:rPr>
          <w:rFonts w:ascii="Garamond" w:hAnsi="Garamond"/>
        </w:rPr>
        <w:t xml:space="preserve"> unlikely to be driven by the potential self-selection bias</w:t>
      </w:r>
      <w:r w:rsidR="00EF184C">
        <w:rPr>
          <w:rFonts w:ascii="Garamond" w:hAnsi="Garamond"/>
        </w:rPr>
        <w:t xml:space="preserve"> in female CFO appointments</w:t>
      </w:r>
      <w:r w:rsidR="00145BD1">
        <w:rPr>
          <w:rFonts w:ascii="Garamond" w:hAnsi="Garamond"/>
        </w:rPr>
        <w:t>.</w:t>
      </w:r>
    </w:p>
    <w:p w:rsidR="00FA30AB" w:rsidRPr="00F539AF" w:rsidRDefault="00FA30AB" w:rsidP="00A6710F">
      <w:pPr>
        <w:pStyle w:val="a7"/>
        <w:spacing w:before="0" w:beforeAutospacing="0" w:after="0" w:afterAutospacing="0" w:line="360" w:lineRule="auto"/>
        <w:jc w:val="both"/>
        <w:rPr>
          <w:rFonts w:ascii="Garamond" w:hAnsi="Garamond"/>
        </w:rPr>
      </w:pPr>
    </w:p>
    <w:p w:rsidR="001A20EE" w:rsidRDefault="00A6710F" w:rsidP="00A6710F">
      <w:pPr>
        <w:pStyle w:val="a7"/>
        <w:spacing w:before="0" w:beforeAutospacing="0" w:after="0" w:afterAutospacing="0"/>
        <w:jc w:val="both"/>
        <w:rPr>
          <w:rFonts w:ascii="Garamond" w:hAnsi="Garamond"/>
          <w:i/>
        </w:rPr>
      </w:pPr>
      <w:r>
        <w:rPr>
          <w:rFonts w:ascii="Garamond" w:hAnsi="Garamond"/>
          <w:i/>
        </w:rPr>
        <w:t>5.2.</w:t>
      </w:r>
      <w:r w:rsidRPr="00CA11BD">
        <w:rPr>
          <w:rFonts w:ascii="Garamond" w:hAnsi="Garamond"/>
          <w:i/>
        </w:rPr>
        <w:t xml:space="preserve"> </w:t>
      </w:r>
      <w:r>
        <w:rPr>
          <w:rFonts w:ascii="Garamond" w:hAnsi="Garamond"/>
          <w:i/>
        </w:rPr>
        <w:t>Market Leverage</w:t>
      </w:r>
    </w:p>
    <w:p w:rsidR="00A6710F" w:rsidRDefault="00A6710F" w:rsidP="00A6710F">
      <w:pPr>
        <w:pStyle w:val="a7"/>
        <w:spacing w:before="0" w:beforeAutospacing="0" w:after="0" w:afterAutospacing="0"/>
        <w:jc w:val="both"/>
        <w:rPr>
          <w:rFonts w:ascii="Garamond" w:hAnsi="Garamond"/>
          <w:i/>
        </w:rPr>
      </w:pPr>
    </w:p>
    <w:p w:rsidR="00A6710F" w:rsidRDefault="0065185A" w:rsidP="00A6710F">
      <w:pPr>
        <w:spacing w:line="360" w:lineRule="auto"/>
        <w:jc w:val="both"/>
        <w:rPr>
          <w:rFonts w:ascii="Garamond" w:hAnsi="Garamond"/>
        </w:rPr>
      </w:pPr>
      <w:r>
        <w:rPr>
          <w:rFonts w:ascii="Garamond" w:hAnsi="Garamond"/>
        </w:rPr>
        <w:t>Our previous analyses all focused on explaining book leverage ratios as the dependent variable. The rationale behind this choice is that</w:t>
      </w:r>
      <w:r w:rsidR="001C4F67">
        <w:rPr>
          <w:rFonts w:ascii="Garamond" w:hAnsi="Garamond"/>
        </w:rPr>
        <w:t xml:space="preserve">, firstly, survey evidence of UK CFOs suggests that the vast majority </w:t>
      </w:r>
      <w:r w:rsidR="003C1B7C">
        <w:rPr>
          <w:rFonts w:ascii="Garamond" w:hAnsi="Garamond"/>
        </w:rPr>
        <w:t>(83%) of CFOs of publicly listed companies that measure debt ratios rely on book values</w:t>
      </w:r>
      <w:r w:rsidR="00413D89">
        <w:rPr>
          <w:rFonts w:ascii="Garamond" w:hAnsi="Garamond"/>
        </w:rPr>
        <w:t xml:space="preserve"> (Beattie et al., 2006</w:t>
      </w:r>
      <w:r w:rsidR="00541F23">
        <w:rPr>
          <w:rFonts w:ascii="Garamond" w:hAnsi="Garamond"/>
        </w:rPr>
        <w:t>)</w:t>
      </w:r>
      <w:r w:rsidR="00413D89">
        <w:rPr>
          <w:rStyle w:val="a9"/>
          <w:rFonts w:ascii="Garamond" w:hAnsi="Garamond"/>
        </w:rPr>
        <w:footnoteReference w:id="15"/>
      </w:r>
      <w:r w:rsidR="00541F23">
        <w:rPr>
          <w:rFonts w:ascii="Garamond" w:hAnsi="Garamond"/>
        </w:rPr>
        <w:t xml:space="preserve">, and secondly, market values can be highly </w:t>
      </w:r>
      <w:r w:rsidR="007C0A25">
        <w:rPr>
          <w:rFonts w:ascii="Garamond" w:hAnsi="Garamond"/>
        </w:rPr>
        <w:t>volatile</w:t>
      </w:r>
      <w:r w:rsidR="00541F23">
        <w:rPr>
          <w:rFonts w:ascii="Garamond" w:hAnsi="Garamond"/>
        </w:rPr>
        <w:t xml:space="preserve"> and </w:t>
      </w:r>
      <w:r w:rsidR="00291876">
        <w:rPr>
          <w:rFonts w:ascii="Garamond" w:hAnsi="Garamond"/>
        </w:rPr>
        <w:t xml:space="preserve">can </w:t>
      </w:r>
      <w:r w:rsidR="00541F23">
        <w:rPr>
          <w:rFonts w:ascii="Garamond" w:hAnsi="Garamond"/>
        </w:rPr>
        <w:t xml:space="preserve">reflect developments that are outside the </w:t>
      </w:r>
      <w:r w:rsidR="007C0A25">
        <w:rPr>
          <w:rFonts w:ascii="Garamond" w:hAnsi="Garamond"/>
        </w:rPr>
        <w:t xml:space="preserve">CFO’s control. As our main aim is to use corporate leverage measures that reflect </w:t>
      </w:r>
      <w:r w:rsidR="005630C7">
        <w:rPr>
          <w:rFonts w:ascii="Garamond" w:hAnsi="Garamond"/>
        </w:rPr>
        <w:t>managers’ active choices and preferences, book leverage seem</w:t>
      </w:r>
      <w:r w:rsidR="00F60A23">
        <w:rPr>
          <w:rFonts w:ascii="Garamond" w:hAnsi="Garamond"/>
        </w:rPr>
        <w:t>s</w:t>
      </w:r>
      <w:r w:rsidR="005630C7">
        <w:rPr>
          <w:rFonts w:ascii="Garamond" w:hAnsi="Garamond"/>
        </w:rPr>
        <w:t xml:space="preserve"> the more appropriate measure. However, market leverage ratios are </w:t>
      </w:r>
      <w:r w:rsidR="00AC221D">
        <w:rPr>
          <w:rFonts w:ascii="Garamond" w:hAnsi="Garamond"/>
        </w:rPr>
        <w:t xml:space="preserve">widely used in the corporate finance literature and hence we want to ensure that our results are not driven by the choice of </w:t>
      </w:r>
      <w:r w:rsidR="003620BA">
        <w:rPr>
          <w:rFonts w:ascii="Garamond" w:hAnsi="Garamond"/>
        </w:rPr>
        <w:t>leverage measure</w:t>
      </w:r>
      <w:r w:rsidR="00AC221D">
        <w:rPr>
          <w:rFonts w:ascii="Garamond" w:hAnsi="Garamond"/>
        </w:rPr>
        <w:t>.</w:t>
      </w:r>
    </w:p>
    <w:p w:rsidR="00D26FF7" w:rsidRDefault="00D26FF7" w:rsidP="001C5149">
      <w:pPr>
        <w:jc w:val="both"/>
        <w:rPr>
          <w:rFonts w:ascii="Garamond" w:hAnsi="Garamond"/>
        </w:rPr>
      </w:pPr>
    </w:p>
    <w:p w:rsidR="003620BA" w:rsidRPr="001669F8" w:rsidRDefault="003620BA" w:rsidP="00A6710F">
      <w:pPr>
        <w:spacing w:line="360" w:lineRule="auto"/>
        <w:jc w:val="both"/>
        <w:rPr>
          <w:rFonts w:ascii="Garamond" w:hAnsi="Garamond"/>
        </w:rPr>
      </w:pPr>
      <w:r>
        <w:rPr>
          <w:rFonts w:ascii="Garamond" w:hAnsi="Garamond"/>
        </w:rPr>
        <w:t>Table 1</w:t>
      </w:r>
      <w:r w:rsidR="00145BD1">
        <w:rPr>
          <w:rFonts w:ascii="Garamond" w:hAnsi="Garamond"/>
        </w:rPr>
        <w:t>4</w:t>
      </w:r>
      <w:r w:rsidR="00324549">
        <w:rPr>
          <w:rFonts w:ascii="Garamond" w:hAnsi="Garamond"/>
        </w:rPr>
        <w:t xml:space="preserve"> reports results of our baseline regression if we replace book leverage with market leverage where market leverage is defined as the sum of long-term and short-term debt divided by the sum of short-term</w:t>
      </w:r>
      <w:r w:rsidR="00F45EF4">
        <w:rPr>
          <w:rFonts w:ascii="Garamond" w:hAnsi="Garamond"/>
        </w:rPr>
        <w:t xml:space="preserve"> and long-term debt and the market value of equity.</w:t>
      </w:r>
      <w:r w:rsidR="00F45EF4">
        <w:rPr>
          <w:rStyle w:val="a9"/>
          <w:rFonts w:ascii="Garamond" w:hAnsi="Garamond"/>
        </w:rPr>
        <w:footnoteReference w:id="16"/>
      </w:r>
      <w:r w:rsidR="00F45EF4">
        <w:rPr>
          <w:rFonts w:ascii="Garamond" w:hAnsi="Garamond"/>
        </w:rPr>
        <w:t xml:space="preserve"> </w:t>
      </w:r>
      <w:r w:rsidR="001A277A">
        <w:rPr>
          <w:rFonts w:ascii="Garamond" w:hAnsi="Garamond"/>
        </w:rPr>
        <w:t>The statistical and economic significance of the coefficient estimate of the female CFO dummy is similar to our baseline re</w:t>
      </w:r>
      <w:r w:rsidR="00E95D49">
        <w:rPr>
          <w:rFonts w:ascii="Garamond" w:hAnsi="Garamond"/>
        </w:rPr>
        <w:t>sults in Table 4</w:t>
      </w:r>
      <w:r w:rsidR="00FA7CEF">
        <w:rPr>
          <w:rFonts w:ascii="Garamond" w:hAnsi="Garamond"/>
        </w:rPr>
        <w:t>. These findings suggest that our results are robust to alternative specifications of our dependent variable</w:t>
      </w:r>
      <w:r w:rsidR="00F836CA">
        <w:rPr>
          <w:rFonts w:ascii="Garamond" w:hAnsi="Garamond"/>
        </w:rPr>
        <w:t>.</w:t>
      </w:r>
    </w:p>
    <w:p w:rsidR="00A6710F" w:rsidRDefault="00A6710F" w:rsidP="00A6710F">
      <w:pPr>
        <w:rPr>
          <w:rFonts w:ascii="Garamond" w:hAnsi="Garamond"/>
        </w:rPr>
      </w:pPr>
    </w:p>
    <w:p w:rsidR="001A20EE" w:rsidRPr="001A20EE" w:rsidRDefault="002F166F" w:rsidP="00A6710F">
      <w:pPr>
        <w:rPr>
          <w:rFonts w:ascii="Garamond" w:hAnsi="Garamond"/>
          <w:i/>
          <w:iCs/>
        </w:rPr>
      </w:pPr>
      <w:r w:rsidRPr="002F166F">
        <w:rPr>
          <w:rFonts w:ascii="Garamond" w:hAnsi="Garamond"/>
          <w:i/>
          <w:iCs/>
        </w:rPr>
        <w:t>5.3. Change in Leverage</w:t>
      </w:r>
    </w:p>
    <w:p w:rsidR="001A20EE" w:rsidRDefault="001A20EE" w:rsidP="00A6710F">
      <w:pPr>
        <w:rPr>
          <w:rFonts w:ascii="Garamond" w:hAnsi="Garamond"/>
        </w:rPr>
      </w:pPr>
    </w:p>
    <w:p w:rsidR="00295B25" w:rsidRDefault="00AD0B9A">
      <w:pPr>
        <w:spacing w:line="360" w:lineRule="auto"/>
        <w:jc w:val="both"/>
        <w:rPr>
          <w:rFonts w:ascii="Garamond" w:hAnsi="Garamond"/>
        </w:rPr>
      </w:pPr>
      <w:r>
        <w:rPr>
          <w:rFonts w:ascii="Garamond" w:hAnsi="Garamond"/>
        </w:rPr>
        <w:t>So far</w:t>
      </w:r>
      <w:bookmarkStart w:id="0" w:name="_GoBack"/>
      <w:bookmarkEnd w:id="0"/>
      <w:r w:rsidR="001A20EE">
        <w:rPr>
          <w:rFonts w:ascii="Garamond" w:hAnsi="Garamond"/>
        </w:rPr>
        <w:t>, we have studied the effect of female CFOs on a firm</w:t>
      </w:r>
      <w:r w:rsidR="00680CAB">
        <w:rPr>
          <w:rFonts w:ascii="Garamond" w:hAnsi="Garamond"/>
        </w:rPr>
        <w:t>’</w:t>
      </w:r>
      <w:r w:rsidR="001A20EE">
        <w:rPr>
          <w:rFonts w:ascii="Garamond" w:hAnsi="Garamond"/>
        </w:rPr>
        <w:t>s leverage</w:t>
      </w:r>
      <w:r w:rsidR="00680CAB">
        <w:rPr>
          <w:rFonts w:ascii="Garamond" w:hAnsi="Garamond"/>
        </w:rPr>
        <w:t xml:space="preserve"> ratio</w:t>
      </w:r>
      <w:r w:rsidR="001A20EE">
        <w:rPr>
          <w:rFonts w:ascii="Garamond" w:hAnsi="Garamond"/>
        </w:rPr>
        <w:t xml:space="preserve"> and find that firms with female CFOs have significantly lower leverage than firms with a male CFO. </w:t>
      </w:r>
      <w:r w:rsidR="00E26AE7">
        <w:rPr>
          <w:rFonts w:ascii="Garamond" w:hAnsi="Garamond"/>
        </w:rPr>
        <w:t xml:space="preserve">We chose the leverage ratio as our main dependent variable as we are interested in comparing the level of </w:t>
      </w:r>
      <w:r w:rsidR="00E221B9">
        <w:rPr>
          <w:rFonts w:ascii="Garamond" w:hAnsi="Garamond"/>
        </w:rPr>
        <w:t>indebtedness between companies managed by female or male managers which allows us to test whether</w:t>
      </w:r>
      <w:r w:rsidR="001A20EE">
        <w:rPr>
          <w:rFonts w:ascii="Garamond" w:hAnsi="Garamond"/>
        </w:rPr>
        <w:t xml:space="preserve"> firms with a female CFO take on less debt.  But another question that could be posed i</w:t>
      </w:r>
      <w:r w:rsidR="009B238E">
        <w:rPr>
          <w:rFonts w:ascii="Garamond" w:hAnsi="Garamond"/>
        </w:rPr>
        <w:t>s</w:t>
      </w:r>
      <w:r w:rsidR="001A20EE">
        <w:rPr>
          <w:rFonts w:ascii="Garamond" w:hAnsi="Garamond"/>
        </w:rPr>
        <w:t xml:space="preserve"> what impact does </w:t>
      </w:r>
      <w:r w:rsidR="009B238E">
        <w:rPr>
          <w:rFonts w:ascii="Garamond" w:hAnsi="Garamond"/>
        </w:rPr>
        <w:t>the gender of the CFO ha</w:t>
      </w:r>
      <w:r w:rsidR="001829B4">
        <w:rPr>
          <w:rFonts w:ascii="Garamond" w:hAnsi="Garamond"/>
        </w:rPr>
        <w:t>ve</w:t>
      </w:r>
      <w:r w:rsidR="009B238E">
        <w:rPr>
          <w:rFonts w:ascii="Garamond" w:hAnsi="Garamond"/>
        </w:rPr>
        <w:t xml:space="preserve"> </w:t>
      </w:r>
      <w:r w:rsidR="001A20EE">
        <w:rPr>
          <w:rFonts w:ascii="Garamond" w:hAnsi="Garamond"/>
        </w:rPr>
        <w:t xml:space="preserve">on the </w:t>
      </w:r>
      <w:r w:rsidR="00085AE2">
        <w:rPr>
          <w:rFonts w:ascii="Garamond" w:hAnsi="Garamond"/>
        </w:rPr>
        <w:t xml:space="preserve">change in </w:t>
      </w:r>
      <w:r w:rsidR="001A20EE">
        <w:rPr>
          <w:rFonts w:ascii="Garamond" w:hAnsi="Garamond"/>
        </w:rPr>
        <w:t>leverage of a firm</w:t>
      </w:r>
      <w:r w:rsidR="00672551">
        <w:rPr>
          <w:rFonts w:ascii="Garamond" w:hAnsi="Garamond"/>
        </w:rPr>
        <w:t xml:space="preserve"> -</w:t>
      </w:r>
      <w:r w:rsidR="009B238E">
        <w:rPr>
          <w:rFonts w:ascii="Garamond" w:hAnsi="Garamond"/>
        </w:rPr>
        <w:t xml:space="preserve"> or in other words, do firms with female </w:t>
      </w:r>
      <w:r w:rsidR="00CD060B">
        <w:rPr>
          <w:rFonts w:ascii="Garamond" w:hAnsi="Garamond"/>
        </w:rPr>
        <w:t>CFOs lower the leverage more strongly than firms run by male CFOs</w:t>
      </w:r>
      <w:r w:rsidR="001A20EE">
        <w:rPr>
          <w:rFonts w:ascii="Garamond" w:hAnsi="Garamond"/>
        </w:rPr>
        <w:t>?</w:t>
      </w:r>
      <w:r w:rsidR="001A20EE">
        <w:rPr>
          <w:rStyle w:val="a9"/>
          <w:rFonts w:ascii="Garamond" w:hAnsi="Garamond"/>
        </w:rPr>
        <w:footnoteReference w:id="17"/>
      </w:r>
      <w:r w:rsidR="001A20EE">
        <w:rPr>
          <w:rFonts w:ascii="Garamond" w:hAnsi="Garamond"/>
        </w:rPr>
        <w:t xml:space="preserve"> T</w:t>
      </w:r>
      <w:r w:rsidR="00CD060B">
        <w:rPr>
          <w:rFonts w:ascii="Garamond" w:hAnsi="Garamond"/>
        </w:rPr>
        <w:t xml:space="preserve">o test this, </w:t>
      </w:r>
      <w:r w:rsidR="00A73315">
        <w:rPr>
          <w:rFonts w:ascii="Garamond" w:hAnsi="Garamond"/>
        </w:rPr>
        <w:t xml:space="preserve">we re-estimate our main </w:t>
      </w:r>
      <w:r w:rsidR="007F52D4">
        <w:rPr>
          <w:rFonts w:ascii="Garamond" w:hAnsi="Garamond"/>
        </w:rPr>
        <w:t>model</w:t>
      </w:r>
      <w:r w:rsidR="00A73315">
        <w:rPr>
          <w:rFonts w:ascii="Garamond" w:hAnsi="Garamond"/>
        </w:rPr>
        <w:t xml:space="preserve"> and use the change of leverage as the dependent variable rather than the level of leverage. </w:t>
      </w:r>
      <w:r w:rsidR="00A21101">
        <w:rPr>
          <w:rFonts w:ascii="Garamond" w:hAnsi="Garamond"/>
        </w:rPr>
        <w:t xml:space="preserve">As one of the determining factors </w:t>
      </w:r>
      <w:r w:rsidR="000303DA">
        <w:rPr>
          <w:rFonts w:ascii="Garamond" w:hAnsi="Garamond"/>
        </w:rPr>
        <w:t xml:space="preserve">in </w:t>
      </w:r>
      <w:r w:rsidR="004D2F63">
        <w:rPr>
          <w:rFonts w:ascii="Garamond" w:hAnsi="Garamond"/>
        </w:rPr>
        <w:t xml:space="preserve">the </w:t>
      </w:r>
      <w:r w:rsidR="00DB719D">
        <w:rPr>
          <w:rFonts w:ascii="Garamond" w:hAnsi="Garamond"/>
        </w:rPr>
        <w:t xml:space="preserve">extent of leverage adjustments is the </w:t>
      </w:r>
      <w:r w:rsidR="00156623">
        <w:rPr>
          <w:rFonts w:ascii="Garamond" w:hAnsi="Garamond"/>
        </w:rPr>
        <w:t>level of leverage at the outset, we include</w:t>
      </w:r>
      <w:r w:rsidR="00FA46D2">
        <w:rPr>
          <w:rFonts w:ascii="Garamond" w:hAnsi="Garamond"/>
        </w:rPr>
        <w:t xml:space="preserve"> the</w:t>
      </w:r>
      <w:r w:rsidR="00156623">
        <w:rPr>
          <w:rFonts w:ascii="Garamond" w:hAnsi="Garamond"/>
        </w:rPr>
        <w:t xml:space="preserve"> lagged leverage</w:t>
      </w:r>
      <w:r w:rsidR="00FA46D2">
        <w:rPr>
          <w:rFonts w:ascii="Garamond" w:hAnsi="Garamond"/>
        </w:rPr>
        <w:t xml:space="preserve"> ratio</w:t>
      </w:r>
      <w:r w:rsidR="00156623">
        <w:rPr>
          <w:rFonts w:ascii="Garamond" w:hAnsi="Garamond"/>
        </w:rPr>
        <w:t xml:space="preserve"> in our set of control variables.</w:t>
      </w:r>
      <w:r w:rsidR="00A73315">
        <w:rPr>
          <w:rFonts w:ascii="Garamond" w:hAnsi="Garamond"/>
        </w:rPr>
        <w:t xml:space="preserve"> The results, reported in Table 1</w:t>
      </w:r>
      <w:r w:rsidR="00145BD1">
        <w:rPr>
          <w:rFonts w:ascii="Garamond" w:hAnsi="Garamond"/>
        </w:rPr>
        <w:t>5</w:t>
      </w:r>
      <w:r w:rsidR="00A73315">
        <w:rPr>
          <w:rFonts w:ascii="Garamond" w:hAnsi="Garamond"/>
        </w:rPr>
        <w:t xml:space="preserve">, support </w:t>
      </w:r>
      <w:r w:rsidR="00E159A9">
        <w:rPr>
          <w:rFonts w:ascii="Garamond" w:hAnsi="Garamond"/>
        </w:rPr>
        <w:t xml:space="preserve">the findings of </w:t>
      </w:r>
      <w:r w:rsidR="00A73315">
        <w:rPr>
          <w:rFonts w:ascii="Garamond" w:hAnsi="Garamond"/>
        </w:rPr>
        <w:t xml:space="preserve">our previous analysis and show that firms with female CFOs have a significantly </w:t>
      </w:r>
      <w:r w:rsidR="00913D69">
        <w:rPr>
          <w:rFonts w:ascii="Garamond" w:hAnsi="Garamond"/>
        </w:rPr>
        <w:t>negative impact on</w:t>
      </w:r>
      <w:r w:rsidR="00A73315">
        <w:rPr>
          <w:rFonts w:ascii="Garamond" w:hAnsi="Garamond"/>
        </w:rPr>
        <w:t xml:space="preserve"> change in leverage compared to firms with male CFOs.</w:t>
      </w:r>
      <w:r w:rsidR="00536273" w:rsidRPr="00536273">
        <w:rPr>
          <w:rFonts w:ascii="Garamond" w:hAnsi="Garamond"/>
        </w:rPr>
        <w:t xml:space="preserve"> Specifically, </w:t>
      </w:r>
      <w:r w:rsidR="00141834">
        <w:rPr>
          <w:rFonts w:ascii="Garamond" w:hAnsi="Garamond"/>
        </w:rPr>
        <w:t xml:space="preserve">on average across our six specifications, </w:t>
      </w:r>
      <w:r w:rsidR="00913D69">
        <w:rPr>
          <w:rFonts w:ascii="Garamond" w:hAnsi="Garamond"/>
        </w:rPr>
        <w:t xml:space="preserve">the coefficient on the female CFO dummy is </w:t>
      </w:r>
      <w:r w:rsidR="00141834">
        <w:rPr>
          <w:rFonts w:ascii="Garamond" w:hAnsi="Garamond"/>
        </w:rPr>
        <w:t>-0.0256</w:t>
      </w:r>
      <w:r w:rsidR="00536273">
        <w:rPr>
          <w:rFonts w:ascii="Garamond" w:hAnsi="Garamond"/>
        </w:rPr>
        <w:t xml:space="preserve"> and statistically significant at 5% significance level</w:t>
      </w:r>
      <w:r w:rsidR="00141834">
        <w:rPr>
          <w:rFonts w:ascii="Garamond" w:hAnsi="Garamond"/>
        </w:rPr>
        <w:t xml:space="preserve"> indicating that female CFOs significantly </w:t>
      </w:r>
      <w:proofErr w:type="spellStart"/>
      <w:r w:rsidR="00141834">
        <w:rPr>
          <w:rFonts w:ascii="Garamond" w:hAnsi="Garamond"/>
        </w:rPr>
        <w:t>effect</w:t>
      </w:r>
      <w:proofErr w:type="spellEnd"/>
      <w:r w:rsidR="00141834">
        <w:rPr>
          <w:rFonts w:ascii="Garamond" w:hAnsi="Garamond"/>
        </w:rPr>
        <w:t xml:space="preserve"> the change in leverage of firms compared to male CFOs.</w:t>
      </w:r>
    </w:p>
    <w:p w:rsidR="00A6710F" w:rsidRPr="0057098D" w:rsidRDefault="00A6710F" w:rsidP="00A6710F">
      <w:pPr>
        <w:rPr>
          <w:rFonts w:ascii="Garamond" w:hAnsi="Garamond"/>
        </w:rPr>
      </w:pPr>
    </w:p>
    <w:p w:rsidR="0057098D" w:rsidRPr="000D73E2" w:rsidRDefault="002217AD">
      <w:pPr>
        <w:pStyle w:val="a3"/>
        <w:numPr>
          <w:ilvl w:val="0"/>
          <w:numId w:val="1"/>
        </w:numPr>
        <w:rPr>
          <w:rFonts w:ascii="Garamond" w:hAnsi="Garamond"/>
          <w:b/>
        </w:rPr>
      </w:pPr>
      <w:r>
        <w:rPr>
          <w:rFonts w:ascii="Garamond" w:hAnsi="Garamond"/>
          <w:b/>
        </w:rPr>
        <w:t xml:space="preserve">Summary and </w:t>
      </w:r>
      <w:r w:rsidR="000D73E2" w:rsidRPr="000D73E2">
        <w:rPr>
          <w:rFonts w:ascii="Garamond" w:hAnsi="Garamond"/>
          <w:b/>
        </w:rPr>
        <w:t>Conclusions</w:t>
      </w:r>
    </w:p>
    <w:p w:rsidR="00C15ED7" w:rsidRDefault="00C15ED7" w:rsidP="001C5149">
      <w:pPr>
        <w:jc w:val="both"/>
        <w:rPr>
          <w:rFonts w:ascii="Garamond" w:hAnsi="Garamond"/>
        </w:rPr>
      </w:pPr>
    </w:p>
    <w:p w:rsidR="008F4BB7" w:rsidRDefault="008F4BB7" w:rsidP="008F4BB7">
      <w:pPr>
        <w:spacing w:line="360" w:lineRule="auto"/>
        <w:jc w:val="both"/>
        <w:rPr>
          <w:rFonts w:ascii="Garamond" w:hAnsi="Garamond"/>
        </w:rPr>
      </w:pPr>
      <w:r>
        <w:rPr>
          <w:rFonts w:ascii="Garamond" w:hAnsi="Garamond"/>
        </w:rPr>
        <w:t xml:space="preserve">In recent years, the role of female CEOs and female board representation </w:t>
      </w:r>
      <w:r w:rsidR="00824024">
        <w:rPr>
          <w:rFonts w:ascii="Garamond" w:hAnsi="Garamond"/>
        </w:rPr>
        <w:t xml:space="preserve">has </w:t>
      </w:r>
      <w:r>
        <w:rPr>
          <w:rFonts w:ascii="Garamond" w:hAnsi="Garamond"/>
        </w:rPr>
        <w:t xml:space="preserve">received great attention by public policy makers, the media and academia alike. However, less focus has been put on the impact of women in other key corporate financial decision-making roles, such as female CFOs. On the other hand, there is a vast literature that looks at gender differences in financial decision-making and risk-taking indicating that women in general tend to take fewer risks than men. In this study, we contribute to both strands of the literature by analysing the impact of female CFOs on corporate leverage for a sample of UK firms. We are particularly interested under which decision-making environment female CFOs are able to affect corporate leverage and how the diversity of the board, the power of the CEO and </w:t>
      </w:r>
      <w:proofErr w:type="spellStart"/>
      <w:r>
        <w:rPr>
          <w:rFonts w:ascii="Garamond" w:hAnsi="Garamond"/>
        </w:rPr>
        <w:t>CFOs’</w:t>
      </w:r>
      <w:proofErr w:type="spellEnd"/>
      <w:r>
        <w:rPr>
          <w:rFonts w:ascii="Garamond" w:hAnsi="Garamond"/>
        </w:rPr>
        <w:t xml:space="preserve"> hiring status affect female </w:t>
      </w:r>
      <w:proofErr w:type="spellStart"/>
      <w:r>
        <w:rPr>
          <w:rFonts w:ascii="Garamond" w:hAnsi="Garamond"/>
        </w:rPr>
        <w:t>CFOs’</w:t>
      </w:r>
      <w:proofErr w:type="spellEnd"/>
      <w:r>
        <w:rPr>
          <w:rFonts w:ascii="Garamond" w:hAnsi="Garamond"/>
        </w:rPr>
        <w:t xml:space="preserve"> managerial discretion and leeway to influence corporate leverage choices. Based on a sample of UK public companies, we find that firms with female CFOs take on considerably lower leverage than firms run by male CFOs. Moreover, our results highlight the important role of the decision-making environment for female </w:t>
      </w:r>
      <w:proofErr w:type="spellStart"/>
      <w:r>
        <w:rPr>
          <w:rFonts w:ascii="Garamond" w:hAnsi="Garamond"/>
        </w:rPr>
        <w:t>CFOs’</w:t>
      </w:r>
      <w:proofErr w:type="spellEnd"/>
      <w:r>
        <w:rPr>
          <w:rFonts w:ascii="Garamond" w:hAnsi="Garamond"/>
        </w:rPr>
        <w:t xml:space="preserve"> managerial discretion to affect corporate leverage. We show that only in firms with diverse boards, as measured by boards’ </w:t>
      </w:r>
      <w:r>
        <w:rPr>
          <w:rFonts w:ascii="Garamond" w:hAnsi="Garamond"/>
        </w:rPr>
        <w:lastRenderedPageBreak/>
        <w:t xml:space="preserve">gender diversity, nationality diversity and age diversity, as well as in firms that are not run by powerful CEOs do female CFOs have a significant effect on corporate leverage. In addition, we find that externally appointed female CFOs are more likely to lower leverage in line with them being more independent from other executives and having greater leeway in making changes to existing policies. Our results provide novel contributions to the literature on board diversity by stressing the important role of boards in providing an inclusive decision-making environment for women in senior executive roles, as well as to the literature on powerful CEOs by presenting direct evidence of how powerful CEOs restrict the managerial discretion of female CFOs to affect corporate policies. By deploying managerial discretion theory in the context of female </w:t>
      </w:r>
      <w:proofErr w:type="spellStart"/>
      <w:r>
        <w:rPr>
          <w:rFonts w:ascii="Garamond" w:hAnsi="Garamond"/>
        </w:rPr>
        <w:t>CFOs’</w:t>
      </w:r>
      <w:proofErr w:type="spellEnd"/>
      <w:r>
        <w:rPr>
          <w:rFonts w:ascii="Garamond" w:hAnsi="Garamond"/>
        </w:rPr>
        <w:t xml:space="preserve"> impact on corporate leverage choices we also respond to calls for research into the conditions and critical factors under which gender differences in the highest echelons of the corporate hierarchy are observed (</w:t>
      </w:r>
      <w:r w:rsidRPr="00285448">
        <w:rPr>
          <w:rFonts w:ascii="Garamond" w:hAnsi="Garamond"/>
        </w:rPr>
        <w:t>Meyers-Levy</w:t>
      </w:r>
      <w:r>
        <w:rPr>
          <w:rFonts w:ascii="Garamond" w:hAnsi="Garamond"/>
        </w:rPr>
        <w:t xml:space="preserve"> and</w:t>
      </w:r>
      <w:r w:rsidRPr="00285448">
        <w:rPr>
          <w:rFonts w:ascii="Garamond" w:hAnsi="Garamond"/>
        </w:rPr>
        <w:t xml:space="preserve"> </w:t>
      </w:r>
      <w:proofErr w:type="spellStart"/>
      <w:r w:rsidRPr="00285448">
        <w:rPr>
          <w:rFonts w:ascii="Garamond" w:hAnsi="Garamond"/>
        </w:rPr>
        <w:t>Loken</w:t>
      </w:r>
      <w:proofErr w:type="spellEnd"/>
      <w:r w:rsidRPr="00285448">
        <w:rPr>
          <w:rFonts w:ascii="Garamond" w:hAnsi="Garamond"/>
        </w:rPr>
        <w:t>, 2015</w:t>
      </w:r>
      <w:r>
        <w:rPr>
          <w:rFonts w:ascii="Garamond" w:hAnsi="Garamond"/>
        </w:rPr>
        <w:t>).</w:t>
      </w:r>
    </w:p>
    <w:p w:rsidR="008F4BB7" w:rsidRDefault="008F4BB7" w:rsidP="001C5149">
      <w:pPr>
        <w:jc w:val="both"/>
        <w:rPr>
          <w:rFonts w:ascii="Garamond" w:hAnsi="Garamond"/>
        </w:rPr>
      </w:pPr>
    </w:p>
    <w:p w:rsidR="008F4BB7" w:rsidRDefault="008F4BB7" w:rsidP="008F4BB7">
      <w:pPr>
        <w:spacing w:line="360" w:lineRule="auto"/>
        <w:jc w:val="both"/>
        <w:rPr>
          <w:rFonts w:ascii="Garamond" w:hAnsi="Garamond"/>
        </w:rPr>
      </w:pPr>
      <w:r>
        <w:rPr>
          <w:rFonts w:ascii="Garamond" w:hAnsi="Garamond"/>
        </w:rPr>
        <w:t>Our findings have several important implications. Firstly, our study suggests that when assessing the role of gender in corporate financial decision-making, analyses need to go beyond the study of CEO gender and the gender composition of the board and instead also consider other main executive positions with key influence over corporate policies, such as the CFO, especially when examining corporate financial policies. Neglecting the role and importance of female CFOs can provide a skewed picture when evaluating the effectiveness of gender diversity policies and the role of women in finance.</w:t>
      </w:r>
    </w:p>
    <w:p w:rsidR="008F4BB7" w:rsidRDefault="008F4BB7" w:rsidP="001C5149">
      <w:pPr>
        <w:jc w:val="both"/>
        <w:rPr>
          <w:rFonts w:ascii="Garamond" w:hAnsi="Garamond"/>
        </w:rPr>
      </w:pPr>
    </w:p>
    <w:p w:rsidR="008F4BB7" w:rsidRDefault="008F4BB7" w:rsidP="008F4BB7">
      <w:pPr>
        <w:spacing w:line="360" w:lineRule="auto"/>
        <w:jc w:val="both"/>
        <w:rPr>
          <w:rFonts w:ascii="Garamond" w:hAnsi="Garamond"/>
        </w:rPr>
      </w:pPr>
      <w:r>
        <w:rPr>
          <w:rFonts w:ascii="Garamond" w:hAnsi="Garamond"/>
        </w:rPr>
        <w:t xml:space="preserve">Secondly, our findings of the discretion-enhancing effect of board diversity and the moderating effect of CEO power on female </w:t>
      </w:r>
      <w:proofErr w:type="spellStart"/>
      <w:r>
        <w:rPr>
          <w:rFonts w:ascii="Garamond" w:hAnsi="Garamond"/>
        </w:rPr>
        <w:t>CFOs’</w:t>
      </w:r>
      <w:proofErr w:type="spellEnd"/>
      <w:r>
        <w:rPr>
          <w:rFonts w:ascii="Garamond" w:hAnsi="Garamond"/>
        </w:rPr>
        <w:t xml:space="preserve"> ability to impact corporate leverage offer new insights into the indirect benefits of promoting diverse boards as well as potential consequences of excessive CEO power. Our study adds a unique contribution to the literature on board diversity by highlighting boards’ important role in establishing a decision-making environment that supports women executives in affecting corporate policies. While previous studies have shown that more (gender-) diverse boards have a positive effect on employee-friendly policies (</w:t>
      </w:r>
      <w:proofErr w:type="spellStart"/>
      <w:r>
        <w:rPr>
          <w:rFonts w:ascii="Garamond" w:hAnsi="Garamond"/>
        </w:rPr>
        <w:t>Matsa</w:t>
      </w:r>
      <w:proofErr w:type="spellEnd"/>
      <w:r>
        <w:rPr>
          <w:rFonts w:ascii="Garamond" w:hAnsi="Garamond"/>
        </w:rPr>
        <w:t xml:space="preserve"> and Miller, 2013), and lead to greater gender diversity below board level (</w:t>
      </w:r>
      <w:proofErr w:type="spellStart"/>
      <w:r w:rsidRPr="00006955">
        <w:rPr>
          <w:rFonts w:ascii="Garamond" w:hAnsi="Garamond"/>
        </w:rPr>
        <w:t>Bilimoria</w:t>
      </w:r>
      <w:proofErr w:type="spellEnd"/>
      <w:r w:rsidRPr="00006955">
        <w:rPr>
          <w:rFonts w:ascii="Garamond" w:hAnsi="Garamond"/>
        </w:rPr>
        <w:t xml:space="preserve">, 2006; </w:t>
      </w:r>
      <w:proofErr w:type="spellStart"/>
      <w:r w:rsidRPr="00006955">
        <w:rPr>
          <w:rFonts w:ascii="Garamond" w:hAnsi="Garamond"/>
        </w:rPr>
        <w:t>Matsa</w:t>
      </w:r>
      <w:proofErr w:type="spellEnd"/>
      <w:r w:rsidRPr="00006955">
        <w:rPr>
          <w:rFonts w:ascii="Garamond" w:hAnsi="Garamond"/>
        </w:rPr>
        <w:t xml:space="preserve"> </w:t>
      </w:r>
      <w:r>
        <w:rPr>
          <w:rFonts w:ascii="Garamond" w:hAnsi="Garamond"/>
        </w:rPr>
        <w:t>and</w:t>
      </w:r>
      <w:r w:rsidRPr="00006955">
        <w:rPr>
          <w:rFonts w:ascii="Garamond" w:hAnsi="Garamond"/>
        </w:rPr>
        <w:t xml:space="preserve"> Miller, 2011</w:t>
      </w:r>
      <w:r>
        <w:rPr>
          <w:rFonts w:ascii="Garamond" w:hAnsi="Garamond"/>
        </w:rPr>
        <w:t>),</w:t>
      </w:r>
      <w:r>
        <w:rPr>
          <w:rStyle w:val="a9"/>
          <w:rFonts w:ascii="Garamond" w:hAnsi="Garamond"/>
        </w:rPr>
        <w:footnoteReference w:id="18"/>
      </w:r>
      <w:r>
        <w:rPr>
          <w:rFonts w:ascii="Garamond" w:hAnsi="Garamond"/>
        </w:rPr>
        <w:t xml:space="preserve"> we find that board diversity is also crucial for creating an environment that enables other female executives to affect corporate policies. </w:t>
      </w:r>
    </w:p>
    <w:p w:rsidR="008F4BB7" w:rsidRDefault="008F4BB7" w:rsidP="001C5149">
      <w:pPr>
        <w:jc w:val="both"/>
        <w:rPr>
          <w:rFonts w:ascii="Garamond" w:hAnsi="Garamond"/>
        </w:rPr>
      </w:pPr>
    </w:p>
    <w:p w:rsidR="00B71D78" w:rsidRDefault="008F4BB7" w:rsidP="001674F0">
      <w:pPr>
        <w:spacing w:line="360" w:lineRule="auto"/>
        <w:jc w:val="both"/>
        <w:rPr>
          <w:rFonts w:ascii="Garamond" w:hAnsi="Garamond"/>
        </w:rPr>
      </w:pPr>
      <w:r>
        <w:rPr>
          <w:rFonts w:ascii="Garamond" w:hAnsi="Garamond"/>
        </w:rPr>
        <w:t xml:space="preserve">Thirdly, </w:t>
      </w:r>
      <w:r w:rsidRPr="00C367D7">
        <w:rPr>
          <w:rFonts w:ascii="Garamond" w:hAnsi="Garamond"/>
        </w:rPr>
        <w:t xml:space="preserve">our findings have </w:t>
      </w:r>
      <w:r>
        <w:rPr>
          <w:rFonts w:ascii="Garamond" w:hAnsi="Garamond"/>
        </w:rPr>
        <w:t xml:space="preserve">practical </w:t>
      </w:r>
      <w:r w:rsidRPr="00C367D7">
        <w:rPr>
          <w:rFonts w:ascii="Garamond" w:hAnsi="Garamond"/>
        </w:rPr>
        <w:t>implications for corporate boards and policy makers who aim to strengthen the role of female leaders in corporations.</w:t>
      </w:r>
      <w:r>
        <w:rPr>
          <w:rFonts w:ascii="Garamond" w:hAnsi="Garamond"/>
        </w:rPr>
        <w:t xml:space="preserve"> We show that f</w:t>
      </w:r>
      <w:r w:rsidRPr="00C367D7">
        <w:rPr>
          <w:rFonts w:ascii="Garamond" w:hAnsi="Garamond"/>
        </w:rPr>
        <w:t xml:space="preserve">emale CFOs – as </w:t>
      </w:r>
      <w:r w:rsidRPr="00C367D7">
        <w:rPr>
          <w:rFonts w:ascii="Garamond" w:hAnsi="Garamond"/>
        </w:rPr>
        <w:lastRenderedPageBreak/>
        <w:t>part of a minority group in corporate leadership positions – require an inclusive environment in order to shape corporate policies.</w:t>
      </w:r>
      <w:r>
        <w:rPr>
          <w:rFonts w:ascii="Garamond" w:hAnsi="Garamond"/>
        </w:rPr>
        <w:t xml:space="preserve"> While policy makers and corporate boards might face </w:t>
      </w:r>
      <w:r w:rsidRPr="00C367D7">
        <w:rPr>
          <w:rFonts w:ascii="Garamond" w:hAnsi="Garamond"/>
        </w:rPr>
        <w:t xml:space="preserve">increasing pressures to </w:t>
      </w:r>
      <w:r>
        <w:rPr>
          <w:rFonts w:ascii="Garamond" w:hAnsi="Garamond"/>
        </w:rPr>
        <w:t>raise</w:t>
      </w:r>
      <w:r w:rsidRPr="00C367D7">
        <w:rPr>
          <w:rFonts w:ascii="Garamond" w:hAnsi="Garamond"/>
        </w:rPr>
        <w:t xml:space="preserve"> female representation in executive positions (</w:t>
      </w:r>
      <w:r w:rsidRPr="00141834">
        <w:rPr>
          <w:rFonts w:ascii="Garamond" w:hAnsi="Garamond"/>
        </w:rPr>
        <w:t>Adams, 2016),</w:t>
      </w:r>
      <w:r w:rsidRPr="00C367D7">
        <w:rPr>
          <w:rFonts w:ascii="Garamond" w:hAnsi="Garamond"/>
        </w:rPr>
        <w:t xml:space="preserve"> our results suggest that merely increasing the number of women in specific roles, e.g. via female quotas, is unlikely to </w:t>
      </w:r>
      <w:r>
        <w:rPr>
          <w:rFonts w:ascii="Garamond" w:hAnsi="Garamond"/>
        </w:rPr>
        <w:t>sufficiently</w:t>
      </w:r>
      <w:r w:rsidRPr="00C367D7">
        <w:rPr>
          <w:rFonts w:ascii="Garamond" w:hAnsi="Garamond"/>
        </w:rPr>
        <w:t xml:space="preserve"> improv</w:t>
      </w:r>
      <w:r>
        <w:rPr>
          <w:rFonts w:ascii="Garamond" w:hAnsi="Garamond"/>
        </w:rPr>
        <w:t>e</w:t>
      </w:r>
      <w:r w:rsidRPr="00C367D7">
        <w:rPr>
          <w:rFonts w:ascii="Garamond" w:hAnsi="Garamond"/>
        </w:rPr>
        <w:t xml:space="preserve"> women’s impact on corporate policies</w:t>
      </w:r>
      <w:r>
        <w:rPr>
          <w:rFonts w:ascii="Garamond" w:hAnsi="Garamond"/>
        </w:rPr>
        <w:t>, if these measures disregard the</w:t>
      </w:r>
      <w:r w:rsidRPr="00C367D7">
        <w:rPr>
          <w:rFonts w:ascii="Garamond" w:hAnsi="Garamond"/>
        </w:rPr>
        <w:t xml:space="preserve"> broader managerial decision-making environment in which </w:t>
      </w:r>
      <w:r>
        <w:rPr>
          <w:rFonts w:ascii="Garamond" w:hAnsi="Garamond"/>
        </w:rPr>
        <w:t>women</w:t>
      </w:r>
      <w:r w:rsidRPr="00C367D7">
        <w:rPr>
          <w:rFonts w:ascii="Garamond" w:hAnsi="Garamond"/>
        </w:rPr>
        <w:t xml:space="preserve"> operate and their relation to other key decision makers</w:t>
      </w:r>
      <w:r>
        <w:rPr>
          <w:rFonts w:ascii="Garamond" w:hAnsi="Garamond"/>
        </w:rPr>
        <w:t>, such as the CEO and board. Hence, policy makers and corporate boards should focus on creating an inclusive environment that allows female managers sufficient leeway to influence corporate outcomes.</w:t>
      </w:r>
    </w:p>
    <w:p w:rsidR="008F4BB7" w:rsidRDefault="008F4BB7">
      <w:pPr>
        <w:rPr>
          <w:rFonts w:ascii="Garamond" w:hAnsi="Garamond"/>
          <w:b/>
        </w:rPr>
      </w:pPr>
      <w:r>
        <w:rPr>
          <w:rFonts w:ascii="Garamond" w:hAnsi="Garamond"/>
          <w:b/>
        </w:rPr>
        <w:br w:type="page"/>
      </w:r>
    </w:p>
    <w:p w:rsidR="0057098D" w:rsidRPr="000D73E2" w:rsidRDefault="000D73E2">
      <w:pPr>
        <w:rPr>
          <w:rFonts w:ascii="Garamond" w:hAnsi="Garamond"/>
          <w:b/>
        </w:rPr>
      </w:pPr>
      <w:r w:rsidRPr="000D73E2">
        <w:rPr>
          <w:rFonts w:ascii="Garamond" w:hAnsi="Garamond"/>
          <w:b/>
        </w:rPr>
        <w:lastRenderedPageBreak/>
        <w:t>References</w:t>
      </w:r>
    </w:p>
    <w:p w:rsidR="00303D48" w:rsidRDefault="00303D48">
      <w:pPr>
        <w:rPr>
          <w:rFonts w:ascii="Garamond" w:hAnsi="Garamond"/>
        </w:rPr>
      </w:pPr>
    </w:p>
    <w:p w:rsidR="00EC2159" w:rsidRPr="00141834" w:rsidRDefault="00EC2159" w:rsidP="00EC2159">
      <w:pPr>
        <w:ind w:left="720" w:hanging="720"/>
        <w:jc w:val="both"/>
        <w:rPr>
          <w:rFonts w:ascii="Garamond" w:hAnsi="Garamond"/>
        </w:rPr>
      </w:pPr>
      <w:r w:rsidRPr="00141834">
        <w:rPr>
          <w:rFonts w:ascii="Garamond" w:hAnsi="Garamond"/>
        </w:rPr>
        <w:t>Adams, R. B. (2016). Women on boards: The superheroes of tomorrow</w:t>
      </w:r>
      <w:proofErr w:type="gramStart"/>
      <w:r w:rsidRPr="00141834">
        <w:rPr>
          <w:rFonts w:ascii="Garamond" w:hAnsi="Garamond"/>
        </w:rPr>
        <w:t>?</w:t>
      </w:r>
      <w:r w:rsidR="00AC06C2">
        <w:rPr>
          <w:rFonts w:ascii="Garamond" w:hAnsi="Garamond"/>
        </w:rPr>
        <w:t>.</w:t>
      </w:r>
      <w:proofErr w:type="gramEnd"/>
      <w:r w:rsidRPr="00141834">
        <w:rPr>
          <w:rFonts w:ascii="Garamond" w:hAnsi="Garamond"/>
        </w:rPr>
        <w:t xml:space="preserve"> </w:t>
      </w:r>
      <w:r w:rsidR="004F48A9" w:rsidRPr="002B5A18">
        <w:rPr>
          <w:rFonts w:ascii="Garamond" w:hAnsi="Garamond"/>
          <w:i/>
          <w:iCs/>
        </w:rPr>
        <w:t>The</w:t>
      </w:r>
      <w:r w:rsidR="004F48A9" w:rsidRPr="002B5A18">
        <w:rPr>
          <w:rFonts w:ascii="Garamond" w:eastAsiaTheme="minorEastAsia" w:hAnsi="Garamond" w:hint="eastAsia"/>
          <w:i/>
          <w:iCs/>
          <w:lang w:eastAsia="zh-CN"/>
        </w:rPr>
        <w:t xml:space="preserve"> </w:t>
      </w:r>
      <w:r w:rsidRPr="00141834">
        <w:rPr>
          <w:rFonts w:ascii="Garamond" w:hAnsi="Garamond"/>
          <w:i/>
          <w:iCs/>
        </w:rPr>
        <w:t>Leadership Quarterly</w:t>
      </w:r>
      <w:r w:rsidRPr="00141834">
        <w:rPr>
          <w:rFonts w:ascii="Garamond" w:hAnsi="Garamond"/>
        </w:rPr>
        <w:t>, 27</w:t>
      </w:r>
      <w:r w:rsidR="00E12DF8">
        <w:rPr>
          <w:rFonts w:ascii="Garamond" w:hAnsi="Garamond"/>
        </w:rPr>
        <w:t>,</w:t>
      </w:r>
      <w:r w:rsidR="00E12DF8" w:rsidRPr="00141834">
        <w:rPr>
          <w:rFonts w:ascii="Garamond" w:hAnsi="Garamond"/>
        </w:rPr>
        <w:t xml:space="preserve"> </w:t>
      </w:r>
      <w:r w:rsidRPr="00141834">
        <w:rPr>
          <w:rFonts w:ascii="Garamond" w:hAnsi="Garamond"/>
        </w:rPr>
        <w:t>371</w:t>
      </w:r>
      <w:r w:rsidR="00AC06C2" w:rsidRPr="00141834">
        <w:rPr>
          <w:rFonts w:ascii="Garamond" w:hAnsi="Garamond"/>
        </w:rPr>
        <w:t>-</w:t>
      </w:r>
      <w:r w:rsidRPr="00141834">
        <w:rPr>
          <w:rFonts w:ascii="Garamond" w:hAnsi="Garamond"/>
        </w:rPr>
        <w:t>386.</w:t>
      </w:r>
    </w:p>
    <w:p w:rsidR="00EC2159" w:rsidRPr="00141834" w:rsidRDefault="00EC2159" w:rsidP="00EC2159">
      <w:pPr>
        <w:ind w:left="720" w:hanging="720"/>
        <w:jc w:val="both"/>
        <w:rPr>
          <w:rFonts w:ascii="Garamond" w:hAnsi="Garamond"/>
        </w:rPr>
      </w:pPr>
      <w:r w:rsidRPr="00141834">
        <w:rPr>
          <w:rFonts w:ascii="Garamond" w:hAnsi="Garamond"/>
        </w:rPr>
        <w:t xml:space="preserve">Adams, R. B., Almeida, H., Ferreira, A. (2005). </w:t>
      </w:r>
      <w:proofErr w:type="gramStart"/>
      <w:r w:rsidRPr="00141834">
        <w:rPr>
          <w:rFonts w:ascii="Garamond" w:hAnsi="Garamond"/>
        </w:rPr>
        <w:t>Powerful CEOs and their impact on corporate performance.</w:t>
      </w:r>
      <w:proofErr w:type="gramEnd"/>
      <w:r w:rsidRPr="00141834">
        <w:rPr>
          <w:rFonts w:ascii="Garamond" w:hAnsi="Garamond"/>
        </w:rPr>
        <w:t xml:space="preserve"> </w:t>
      </w:r>
      <w:r w:rsidRPr="00141834">
        <w:rPr>
          <w:rFonts w:ascii="Garamond" w:hAnsi="Garamond"/>
          <w:i/>
        </w:rPr>
        <w:t>Review of Financial Studies</w:t>
      </w:r>
      <w:r w:rsidRPr="00141834">
        <w:rPr>
          <w:rFonts w:ascii="Garamond" w:hAnsi="Garamond"/>
        </w:rPr>
        <w:t>, 18, 1403-1432.</w:t>
      </w:r>
    </w:p>
    <w:p w:rsidR="00EC2159" w:rsidRPr="00141834" w:rsidRDefault="00EC2159" w:rsidP="00EC2159">
      <w:pPr>
        <w:ind w:left="720" w:hanging="720"/>
        <w:jc w:val="both"/>
        <w:rPr>
          <w:rFonts w:ascii="Garamond" w:hAnsi="Garamond"/>
        </w:rPr>
      </w:pPr>
      <w:r w:rsidRPr="00141834">
        <w:rPr>
          <w:rFonts w:ascii="Garamond" w:hAnsi="Garamond"/>
        </w:rPr>
        <w:t xml:space="preserve">Adams, R. B., Ferreira, D. (2009). </w:t>
      </w:r>
      <w:proofErr w:type="gramStart"/>
      <w:r w:rsidRPr="00141834">
        <w:rPr>
          <w:rFonts w:ascii="Garamond" w:hAnsi="Garamond"/>
        </w:rPr>
        <w:t xml:space="preserve">Women in the boardroom and their </w:t>
      </w:r>
      <w:r w:rsidRPr="00141834">
        <w:rPr>
          <w:rFonts w:ascii="Garamond" w:hAnsi="Garamond"/>
          <w:lang w:eastAsia="zh-CN"/>
        </w:rPr>
        <w:t>i</w:t>
      </w:r>
      <w:r w:rsidRPr="00141834">
        <w:rPr>
          <w:rFonts w:ascii="Garamond" w:hAnsi="Garamond"/>
        </w:rPr>
        <w:t>mpact on governance and performance.</w:t>
      </w:r>
      <w:proofErr w:type="gramEnd"/>
      <w:r w:rsidRPr="00141834">
        <w:rPr>
          <w:rFonts w:ascii="Garamond" w:hAnsi="Garamond"/>
        </w:rPr>
        <w:t xml:space="preserve"> </w:t>
      </w:r>
      <w:r w:rsidRPr="00141834">
        <w:rPr>
          <w:rFonts w:ascii="Garamond" w:hAnsi="Garamond"/>
          <w:i/>
        </w:rPr>
        <w:t>Journal of Financial Economics</w:t>
      </w:r>
      <w:r w:rsidRPr="00141834">
        <w:rPr>
          <w:rFonts w:ascii="Garamond" w:hAnsi="Garamond"/>
        </w:rPr>
        <w:t>, 94, 291-309.</w:t>
      </w:r>
    </w:p>
    <w:p w:rsidR="00EC2159" w:rsidRPr="00141834" w:rsidRDefault="00EC2159" w:rsidP="00EC2159">
      <w:pPr>
        <w:ind w:left="720" w:hanging="720"/>
        <w:jc w:val="both"/>
        <w:rPr>
          <w:rFonts w:ascii="Garamond" w:hAnsi="Garamond"/>
        </w:rPr>
      </w:pPr>
      <w:r w:rsidRPr="00141834">
        <w:rPr>
          <w:rFonts w:ascii="Garamond" w:hAnsi="Garamond"/>
        </w:rPr>
        <w:t>Adams, R. B., Funk, P. (2012). Beyond the glass ceiling: Does gender matter</w:t>
      </w:r>
      <w:proofErr w:type="gramStart"/>
      <w:r w:rsidRPr="00141834">
        <w:rPr>
          <w:rFonts w:ascii="Garamond" w:hAnsi="Garamond"/>
        </w:rPr>
        <w:t>?</w:t>
      </w:r>
      <w:r w:rsidR="00AC06C2">
        <w:rPr>
          <w:rFonts w:ascii="Garamond" w:hAnsi="Garamond"/>
        </w:rPr>
        <w:t>.</w:t>
      </w:r>
      <w:proofErr w:type="gramEnd"/>
      <w:r w:rsidRPr="00141834">
        <w:rPr>
          <w:rFonts w:ascii="Garamond" w:hAnsi="Garamond"/>
        </w:rPr>
        <w:t xml:space="preserve"> </w:t>
      </w:r>
      <w:r w:rsidRPr="00141834">
        <w:rPr>
          <w:rFonts w:ascii="Garamond" w:hAnsi="Garamond"/>
          <w:i/>
        </w:rPr>
        <w:t>Management Science</w:t>
      </w:r>
      <w:r w:rsidRPr="00141834">
        <w:rPr>
          <w:rFonts w:ascii="Garamond" w:hAnsi="Garamond"/>
        </w:rPr>
        <w:t>, 58(2), 219-235.</w:t>
      </w:r>
    </w:p>
    <w:p w:rsidR="00EC2159" w:rsidRPr="00141834" w:rsidRDefault="00EC2159" w:rsidP="00EC2159">
      <w:pPr>
        <w:ind w:left="720" w:hanging="720"/>
        <w:rPr>
          <w:rFonts w:ascii="Garamond" w:hAnsi="Garamond"/>
        </w:rPr>
      </w:pPr>
      <w:r w:rsidRPr="00141834">
        <w:rPr>
          <w:rFonts w:ascii="Garamond" w:hAnsi="Garamond"/>
        </w:rPr>
        <w:t xml:space="preserve">Adams, R. B., </w:t>
      </w:r>
      <w:proofErr w:type="spellStart"/>
      <w:r w:rsidRPr="00141834">
        <w:rPr>
          <w:rFonts w:ascii="Garamond" w:hAnsi="Garamond"/>
        </w:rPr>
        <w:t>Ragunathan</w:t>
      </w:r>
      <w:proofErr w:type="spellEnd"/>
      <w:r w:rsidRPr="00141834">
        <w:rPr>
          <w:rFonts w:ascii="Garamond" w:hAnsi="Garamond"/>
        </w:rPr>
        <w:t xml:space="preserve">, V. (2017). </w:t>
      </w:r>
      <w:proofErr w:type="gramStart"/>
      <w:r w:rsidRPr="00141834">
        <w:rPr>
          <w:rFonts w:ascii="Garamond" w:hAnsi="Garamond"/>
        </w:rPr>
        <w:t xml:space="preserve">Lehman </w:t>
      </w:r>
      <w:r w:rsidR="00AC06C2">
        <w:rPr>
          <w:rFonts w:ascii="Garamond" w:hAnsi="Garamond"/>
        </w:rPr>
        <w:t>s</w:t>
      </w:r>
      <w:r w:rsidR="00AC06C2" w:rsidRPr="00141834">
        <w:rPr>
          <w:rFonts w:ascii="Garamond" w:hAnsi="Garamond"/>
        </w:rPr>
        <w:t>isters</w:t>
      </w:r>
      <w:r w:rsidRPr="00141834">
        <w:rPr>
          <w:rFonts w:ascii="Garamond" w:hAnsi="Garamond"/>
        </w:rPr>
        <w:t>.</w:t>
      </w:r>
      <w:proofErr w:type="gramEnd"/>
      <w:r w:rsidRPr="00141834">
        <w:rPr>
          <w:rFonts w:ascii="Garamond" w:hAnsi="Garamond"/>
          <w:shd w:val="clear" w:color="auto" w:fill="FFFFFF"/>
        </w:rPr>
        <w:t xml:space="preserve"> Available at SSRN:</w:t>
      </w:r>
      <w:r w:rsidRPr="00141834">
        <w:rPr>
          <w:rStyle w:val="apple-converted-space"/>
          <w:rFonts w:ascii="Garamond" w:hAnsi="Garamond"/>
          <w:shd w:val="clear" w:color="auto" w:fill="FFFFFF"/>
        </w:rPr>
        <w:t> </w:t>
      </w:r>
      <w:hyperlink r:id="rId14" w:tgtFrame="_blank" w:history="1">
        <w:r w:rsidRPr="00141834">
          <w:rPr>
            <w:rStyle w:val="ac"/>
            <w:rFonts w:ascii="Garamond" w:hAnsi="Garamond"/>
            <w:color w:val="auto"/>
          </w:rPr>
          <w:t>https://ssrn.com/abstract=3046451</w:t>
        </w:r>
      </w:hyperlink>
      <w:r w:rsidRPr="00141834">
        <w:rPr>
          <w:rFonts w:ascii="Garamond" w:hAnsi="Garamond"/>
          <w:shd w:val="clear" w:color="auto" w:fill="FFFFFF"/>
        </w:rPr>
        <w:t>.</w:t>
      </w:r>
    </w:p>
    <w:p w:rsidR="00EC2159" w:rsidRPr="00141834" w:rsidRDefault="00EC2159" w:rsidP="00EC2159">
      <w:pPr>
        <w:ind w:left="720" w:hanging="720"/>
        <w:jc w:val="both"/>
        <w:rPr>
          <w:rFonts w:ascii="Garamond" w:hAnsi="Garamond"/>
        </w:rPr>
      </w:pPr>
      <w:r w:rsidRPr="00141834">
        <w:rPr>
          <w:rFonts w:ascii="Garamond" w:hAnsi="Garamond"/>
        </w:rPr>
        <w:t xml:space="preserve">Agnew, J., </w:t>
      </w:r>
      <w:proofErr w:type="spellStart"/>
      <w:r w:rsidRPr="00141834">
        <w:rPr>
          <w:rFonts w:ascii="Garamond" w:hAnsi="Garamond"/>
        </w:rPr>
        <w:t>Balduzzi</w:t>
      </w:r>
      <w:proofErr w:type="spellEnd"/>
      <w:r w:rsidRPr="00141834">
        <w:rPr>
          <w:rFonts w:ascii="Garamond" w:hAnsi="Garamond"/>
        </w:rPr>
        <w:t xml:space="preserve">, P., </w:t>
      </w:r>
      <w:proofErr w:type="spellStart"/>
      <w:r w:rsidRPr="00141834">
        <w:rPr>
          <w:rFonts w:ascii="Garamond" w:hAnsi="Garamond"/>
        </w:rPr>
        <w:t>Sundén</w:t>
      </w:r>
      <w:proofErr w:type="spellEnd"/>
      <w:r w:rsidRPr="00141834">
        <w:rPr>
          <w:rFonts w:ascii="Garamond" w:hAnsi="Garamond"/>
        </w:rPr>
        <w:t xml:space="preserve">, A. (2003). Portfolio </w:t>
      </w:r>
      <w:r w:rsidR="00E12DF8">
        <w:rPr>
          <w:rFonts w:ascii="Garamond" w:hAnsi="Garamond"/>
        </w:rPr>
        <w:t>c</w:t>
      </w:r>
      <w:r w:rsidR="00E12DF8" w:rsidRPr="00141834">
        <w:rPr>
          <w:rFonts w:ascii="Garamond" w:hAnsi="Garamond"/>
        </w:rPr>
        <w:t xml:space="preserve">hoice </w:t>
      </w:r>
      <w:r w:rsidRPr="00141834">
        <w:rPr>
          <w:rFonts w:ascii="Garamond" w:hAnsi="Garamond"/>
        </w:rPr>
        <w:t xml:space="preserve">and </w:t>
      </w:r>
      <w:r w:rsidR="00E12DF8">
        <w:rPr>
          <w:rFonts w:ascii="Garamond" w:hAnsi="Garamond"/>
        </w:rPr>
        <w:t>t</w:t>
      </w:r>
      <w:r w:rsidR="00E12DF8" w:rsidRPr="00141834">
        <w:rPr>
          <w:rFonts w:ascii="Garamond" w:hAnsi="Garamond"/>
        </w:rPr>
        <w:t xml:space="preserve">rading </w:t>
      </w:r>
      <w:r w:rsidRPr="00141834">
        <w:rPr>
          <w:rFonts w:ascii="Garamond" w:hAnsi="Garamond"/>
        </w:rPr>
        <w:t xml:space="preserve">in a </w:t>
      </w:r>
      <w:r w:rsidR="00E12DF8">
        <w:rPr>
          <w:rFonts w:ascii="Garamond" w:hAnsi="Garamond"/>
        </w:rPr>
        <w:t>l</w:t>
      </w:r>
      <w:r w:rsidR="00E12DF8" w:rsidRPr="00141834">
        <w:rPr>
          <w:rFonts w:ascii="Garamond" w:hAnsi="Garamond"/>
        </w:rPr>
        <w:t xml:space="preserve">arge </w:t>
      </w:r>
      <w:r w:rsidRPr="00141834">
        <w:rPr>
          <w:rFonts w:ascii="Garamond" w:hAnsi="Garamond"/>
        </w:rPr>
        <w:t xml:space="preserve">401(k) </w:t>
      </w:r>
      <w:r w:rsidR="00E12DF8">
        <w:rPr>
          <w:rFonts w:ascii="Garamond" w:hAnsi="Garamond"/>
        </w:rPr>
        <w:t>p</w:t>
      </w:r>
      <w:r w:rsidR="00E12DF8" w:rsidRPr="00141834">
        <w:rPr>
          <w:rFonts w:ascii="Garamond" w:hAnsi="Garamond"/>
        </w:rPr>
        <w:t>lan</w:t>
      </w:r>
      <w:r w:rsidRPr="00141834">
        <w:rPr>
          <w:rFonts w:ascii="Garamond" w:hAnsi="Garamond"/>
        </w:rPr>
        <w:t xml:space="preserve">. </w:t>
      </w:r>
      <w:r w:rsidRPr="00141834">
        <w:rPr>
          <w:rFonts w:ascii="Garamond" w:hAnsi="Garamond"/>
          <w:i/>
          <w:iCs/>
        </w:rPr>
        <w:t>American Economic Review</w:t>
      </w:r>
      <w:r w:rsidRPr="00141834">
        <w:rPr>
          <w:rFonts w:ascii="Garamond" w:hAnsi="Garamond"/>
        </w:rPr>
        <w:t>, 93, 193-215.</w:t>
      </w:r>
    </w:p>
    <w:p w:rsidR="00EC2159" w:rsidRPr="00141834" w:rsidRDefault="00EC2159" w:rsidP="00EC2159">
      <w:pPr>
        <w:ind w:left="720" w:hanging="720"/>
        <w:jc w:val="both"/>
        <w:rPr>
          <w:rFonts w:ascii="Garamond" w:hAnsi="Garamond"/>
        </w:rPr>
      </w:pPr>
      <w:r w:rsidRPr="00141834">
        <w:rPr>
          <w:rFonts w:ascii="Garamond" w:hAnsi="Garamond"/>
        </w:rPr>
        <w:t xml:space="preserve">Aguilera, R. V., Williams, C. A., Conley, J. M., Rupp, D. E. (2006). Corporate governance and social responsibility: A comparative analysis of the UK and the US. </w:t>
      </w:r>
      <w:r w:rsidRPr="00141834">
        <w:rPr>
          <w:rFonts w:ascii="Garamond" w:hAnsi="Garamond"/>
          <w:i/>
        </w:rPr>
        <w:t>Corporate Governance: An International Review</w:t>
      </w:r>
      <w:r w:rsidRPr="00141834">
        <w:rPr>
          <w:rFonts w:ascii="Garamond" w:hAnsi="Garamond"/>
        </w:rPr>
        <w:t>, 14, 147-158.</w:t>
      </w:r>
    </w:p>
    <w:p w:rsidR="00EC2159" w:rsidRPr="00141834" w:rsidRDefault="00EC2159" w:rsidP="00EC2159">
      <w:pPr>
        <w:ind w:left="720" w:hanging="720"/>
        <w:jc w:val="both"/>
        <w:rPr>
          <w:rFonts w:ascii="Garamond" w:hAnsi="Garamond"/>
        </w:rPr>
      </w:pPr>
      <w:proofErr w:type="gramStart"/>
      <w:r w:rsidRPr="00141834">
        <w:rPr>
          <w:rFonts w:ascii="Garamond" w:hAnsi="Garamond"/>
        </w:rPr>
        <w:t xml:space="preserve">Anderson, R. C., </w:t>
      </w:r>
      <w:proofErr w:type="spellStart"/>
      <w:r w:rsidRPr="00141834">
        <w:rPr>
          <w:rFonts w:ascii="Garamond" w:hAnsi="Garamond"/>
        </w:rPr>
        <w:t>Reeb</w:t>
      </w:r>
      <w:proofErr w:type="spellEnd"/>
      <w:r w:rsidRPr="00141834">
        <w:rPr>
          <w:rFonts w:ascii="Garamond" w:hAnsi="Garamond"/>
        </w:rPr>
        <w:t xml:space="preserve">, D. M., </w:t>
      </w:r>
      <w:proofErr w:type="spellStart"/>
      <w:r w:rsidRPr="00141834">
        <w:rPr>
          <w:rFonts w:ascii="Garamond" w:hAnsi="Garamond"/>
        </w:rPr>
        <w:t>Upadhyay</w:t>
      </w:r>
      <w:proofErr w:type="spellEnd"/>
      <w:r w:rsidRPr="00141834">
        <w:rPr>
          <w:rFonts w:ascii="Garamond" w:hAnsi="Garamond"/>
        </w:rPr>
        <w:t>, A., Zhao, W. (2011).</w:t>
      </w:r>
      <w:proofErr w:type="gramEnd"/>
      <w:r w:rsidRPr="00141834">
        <w:rPr>
          <w:rFonts w:ascii="Garamond" w:hAnsi="Garamond"/>
        </w:rPr>
        <w:t xml:space="preserve"> </w:t>
      </w:r>
      <w:proofErr w:type="gramStart"/>
      <w:r w:rsidRPr="00141834">
        <w:rPr>
          <w:rFonts w:ascii="Garamond" w:hAnsi="Garamond"/>
        </w:rPr>
        <w:t>The economics of director heterogeneity.</w:t>
      </w:r>
      <w:proofErr w:type="gramEnd"/>
      <w:r w:rsidRPr="00141834">
        <w:rPr>
          <w:rFonts w:ascii="Garamond" w:hAnsi="Garamond"/>
        </w:rPr>
        <w:t xml:space="preserve"> </w:t>
      </w:r>
      <w:r w:rsidRPr="00141834">
        <w:rPr>
          <w:rFonts w:ascii="Garamond" w:hAnsi="Garamond"/>
          <w:i/>
        </w:rPr>
        <w:t>Financial Management</w:t>
      </w:r>
      <w:r w:rsidRPr="00141834">
        <w:rPr>
          <w:rFonts w:ascii="Garamond" w:hAnsi="Garamond"/>
        </w:rPr>
        <w:t>, 40 (1), 5-38.</w:t>
      </w:r>
    </w:p>
    <w:p w:rsidR="00EC2159" w:rsidRPr="00141834" w:rsidRDefault="00EC2159" w:rsidP="00EC2159">
      <w:pPr>
        <w:ind w:left="720" w:hanging="720"/>
        <w:jc w:val="both"/>
        <w:rPr>
          <w:rFonts w:ascii="Garamond" w:hAnsi="Garamond"/>
        </w:rPr>
      </w:pPr>
      <w:proofErr w:type="spellStart"/>
      <w:r w:rsidRPr="00141834">
        <w:rPr>
          <w:rFonts w:ascii="Garamond" w:hAnsi="Garamond"/>
        </w:rPr>
        <w:t>Barua</w:t>
      </w:r>
      <w:proofErr w:type="spellEnd"/>
      <w:r w:rsidRPr="00141834">
        <w:rPr>
          <w:rFonts w:ascii="Garamond" w:hAnsi="Garamond"/>
        </w:rPr>
        <w:t xml:space="preserve">, A., Davidson, L. F., Rama, D. V., </w:t>
      </w:r>
      <w:proofErr w:type="spellStart"/>
      <w:r w:rsidRPr="00141834">
        <w:rPr>
          <w:rFonts w:ascii="Garamond" w:hAnsi="Garamond"/>
        </w:rPr>
        <w:t>Thiruvadi</w:t>
      </w:r>
      <w:proofErr w:type="spellEnd"/>
      <w:r w:rsidRPr="00141834">
        <w:rPr>
          <w:rFonts w:ascii="Garamond" w:hAnsi="Garamond"/>
        </w:rPr>
        <w:t xml:space="preserve">, S. (2010). </w:t>
      </w:r>
      <w:proofErr w:type="gramStart"/>
      <w:r w:rsidRPr="00141834">
        <w:rPr>
          <w:rFonts w:ascii="Garamond" w:hAnsi="Garamond"/>
        </w:rPr>
        <w:t>CFO gender and accruals quality.</w:t>
      </w:r>
      <w:proofErr w:type="gramEnd"/>
      <w:r w:rsidRPr="00141834">
        <w:rPr>
          <w:rFonts w:ascii="Garamond" w:hAnsi="Garamond"/>
        </w:rPr>
        <w:t xml:space="preserve"> </w:t>
      </w:r>
      <w:proofErr w:type="gramStart"/>
      <w:r w:rsidRPr="00141834">
        <w:rPr>
          <w:rFonts w:ascii="Garamond" w:hAnsi="Garamond"/>
          <w:i/>
        </w:rPr>
        <w:t>Accounting Horizons,</w:t>
      </w:r>
      <w:r w:rsidRPr="00141834">
        <w:rPr>
          <w:rFonts w:ascii="Garamond" w:hAnsi="Garamond"/>
        </w:rPr>
        <w:t xml:space="preserve"> 24, 25</w:t>
      </w:r>
      <w:r w:rsidR="00AC06C2" w:rsidRPr="00141834">
        <w:rPr>
          <w:rFonts w:ascii="Garamond" w:hAnsi="Garamond"/>
        </w:rPr>
        <w:t>-</w:t>
      </w:r>
      <w:r w:rsidRPr="00141834">
        <w:rPr>
          <w:rFonts w:ascii="Garamond" w:hAnsi="Garamond"/>
        </w:rPr>
        <w:t>39.</w:t>
      </w:r>
      <w:proofErr w:type="gramEnd"/>
    </w:p>
    <w:p w:rsidR="00EC2159" w:rsidRPr="00141834" w:rsidRDefault="00EC2159" w:rsidP="00EC2159">
      <w:pPr>
        <w:ind w:left="720" w:hanging="720"/>
        <w:jc w:val="both"/>
        <w:rPr>
          <w:rFonts w:ascii="Garamond" w:hAnsi="Garamond"/>
        </w:rPr>
      </w:pPr>
      <w:r w:rsidRPr="00141834">
        <w:rPr>
          <w:rFonts w:ascii="Garamond" w:hAnsi="Garamond"/>
        </w:rPr>
        <w:t xml:space="preserve">Barber, B. M., </w:t>
      </w:r>
      <w:proofErr w:type="spellStart"/>
      <w:r w:rsidRPr="00141834">
        <w:rPr>
          <w:rFonts w:ascii="Garamond" w:hAnsi="Garamond"/>
        </w:rPr>
        <w:t>Odean</w:t>
      </w:r>
      <w:proofErr w:type="spellEnd"/>
      <w:r w:rsidRPr="00141834">
        <w:rPr>
          <w:rFonts w:ascii="Garamond" w:hAnsi="Garamond"/>
        </w:rPr>
        <w:t xml:space="preserve">, T. (2001). Boys will be </w:t>
      </w:r>
      <w:r w:rsidR="00E12DF8">
        <w:rPr>
          <w:rFonts w:ascii="Garamond" w:hAnsi="Garamond"/>
        </w:rPr>
        <w:t>b</w:t>
      </w:r>
      <w:r w:rsidR="00E12DF8" w:rsidRPr="00141834">
        <w:rPr>
          <w:rFonts w:ascii="Garamond" w:hAnsi="Garamond"/>
        </w:rPr>
        <w:t>oys</w:t>
      </w:r>
      <w:r w:rsidRPr="00141834">
        <w:rPr>
          <w:rFonts w:ascii="Garamond" w:hAnsi="Garamond"/>
        </w:rPr>
        <w:t xml:space="preserve">: Gender, </w:t>
      </w:r>
      <w:r w:rsidR="00E12DF8">
        <w:rPr>
          <w:rFonts w:ascii="Garamond" w:hAnsi="Garamond"/>
        </w:rPr>
        <w:t>o</w:t>
      </w:r>
      <w:r w:rsidR="00E12DF8" w:rsidRPr="00141834">
        <w:rPr>
          <w:rFonts w:ascii="Garamond" w:hAnsi="Garamond"/>
        </w:rPr>
        <w:t>verconfidence</w:t>
      </w:r>
      <w:r w:rsidRPr="00141834">
        <w:rPr>
          <w:rFonts w:ascii="Garamond" w:hAnsi="Garamond"/>
        </w:rPr>
        <w:t xml:space="preserve">, and the </w:t>
      </w:r>
      <w:r w:rsidR="00E12DF8">
        <w:rPr>
          <w:rFonts w:ascii="Garamond" w:hAnsi="Garamond"/>
        </w:rPr>
        <w:t>c</w:t>
      </w:r>
      <w:r w:rsidR="00E12DF8" w:rsidRPr="00141834">
        <w:rPr>
          <w:rFonts w:ascii="Garamond" w:hAnsi="Garamond"/>
        </w:rPr>
        <w:t xml:space="preserve">ommon </w:t>
      </w:r>
      <w:r w:rsidR="00E12DF8">
        <w:rPr>
          <w:rFonts w:ascii="Garamond" w:hAnsi="Garamond"/>
        </w:rPr>
        <w:t>s</w:t>
      </w:r>
      <w:r w:rsidR="00E12DF8" w:rsidRPr="00141834">
        <w:rPr>
          <w:rFonts w:ascii="Garamond" w:hAnsi="Garamond"/>
        </w:rPr>
        <w:t xml:space="preserve">tock </w:t>
      </w:r>
      <w:r w:rsidR="00E12DF8">
        <w:rPr>
          <w:rFonts w:ascii="Garamond" w:hAnsi="Garamond"/>
        </w:rPr>
        <w:t>i</w:t>
      </w:r>
      <w:r w:rsidR="00E12DF8" w:rsidRPr="00141834">
        <w:rPr>
          <w:rFonts w:ascii="Garamond" w:hAnsi="Garamond"/>
        </w:rPr>
        <w:t>nvestment</w:t>
      </w:r>
      <w:r w:rsidRPr="00141834">
        <w:rPr>
          <w:rFonts w:ascii="Garamond" w:hAnsi="Garamond"/>
        </w:rPr>
        <w:t xml:space="preserve">. </w:t>
      </w:r>
      <w:r w:rsidRPr="00141834">
        <w:rPr>
          <w:rFonts w:ascii="Garamond" w:hAnsi="Garamond"/>
          <w:i/>
          <w:iCs/>
        </w:rPr>
        <w:t>The Quarterly Journal of Economics</w:t>
      </w:r>
      <w:r w:rsidRPr="00141834">
        <w:rPr>
          <w:rFonts w:ascii="Garamond" w:hAnsi="Garamond"/>
        </w:rPr>
        <w:t>, 116, 261-292.</w:t>
      </w:r>
    </w:p>
    <w:p w:rsidR="00EC2159" w:rsidRPr="00141834" w:rsidRDefault="00EC2159" w:rsidP="00EC2159">
      <w:pPr>
        <w:ind w:left="720" w:hanging="720"/>
        <w:jc w:val="both"/>
        <w:rPr>
          <w:rFonts w:ascii="Garamond" w:hAnsi="Garamond"/>
        </w:rPr>
      </w:pPr>
      <w:proofErr w:type="gramStart"/>
      <w:r w:rsidRPr="00141834">
        <w:rPr>
          <w:rFonts w:ascii="Garamond" w:hAnsi="Garamond"/>
        </w:rPr>
        <w:t xml:space="preserve">Beattie, V., </w:t>
      </w:r>
      <w:proofErr w:type="spellStart"/>
      <w:r w:rsidRPr="00141834">
        <w:rPr>
          <w:rFonts w:ascii="Garamond" w:hAnsi="Garamond"/>
        </w:rPr>
        <w:t>Goodacre</w:t>
      </w:r>
      <w:proofErr w:type="spellEnd"/>
      <w:r w:rsidRPr="00141834">
        <w:rPr>
          <w:rFonts w:ascii="Garamond" w:hAnsi="Garamond"/>
        </w:rPr>
        <w:t>, A., Thomson, S. J. (2006).</w:t>
      </w:r>
      <w:proofErr w:type="gramEnd"/>
      <w:r w:rsidRPr="00141834">
        <w:rPr>
          <w:rFonts w:ascii="Garamond" w:hAnsi="Garamond"/>
        </w:rPr>
        <w:t xml:space="preserve"> Corporate financing decisions: UK survey evidence. </w:t>
      </w:r>
      <w:r w:rsidRPr="00141834">
        <w:rPr>
          <w:rFonts w:ascii="Garamond" w:hAnsi="Garamond"/>
          <w:i/>
        </w:rPr>
        <w:t>Journal of Business Finance and Accounting</w:t>
      </w:r>
      <w:r w:rsidRPr="00141834">
        <w:rPr>
          <w:rFonts w:ascii="Garamond" w:hAnsi="Garamond"/>
        </w:rPr>
        <w:t>, 33 (9) &amp; (10), 1402</w:t>
      </w:r>
      <w:r w:rsidR="00AC06C2" w:rsidRPr="00141834">
        <w:rPr>
          <w:rFonts w:ascii="Garamond" w:hAnsi="Garamond"/>
        </w:rPr>
        <w:t>-</w:t>
      </w:r>
      <w:r w:rsidRPr="00141834">
        <w:rPr>
          <w:rFonts w:ascii="Garamond" w:hAnsi="Garamond"/>
        </w:rPr>
        <w:t>1434.</w:t>
      </w:r>
    </w:p>
    <w:p w:rsidR="00EC2159" w:rsidRPr="00141834" w:rsidRDefault="00EC2159" w:rsidP="00EC2159">
      <w:pPr>
        <w:ind w:left="720" w:hanging="720"/>
        <w:jc w:val="both"/>
        <w:rPr>
          <w:rFonts w:ascii="Garamond" w:hAnsi="Garamond"/>
        </w:rPr>
      </w:pPr>
      <w:proofErr w:type="spellStart"/>
      <w:r w:rsidRPr="00141834">
        <w:rPr>
          <w:rFonts w:ascii="Garamond" w:hAnsi="Garamond"/>
        </w:rPr>
        <w:t>Bebchuk</w:t>
      </w:r>
      <w:proofErr w:type="spellEnd"/>
      <w:r w:rsidRPr="00141834">
        <w:rPr>
          <w:rFonts w:ascii="Garamond" w:hAnsi="Garamond"/>
        </w:rPr>
        <w:t xml:space="preserve">, L. A., </w:t>
      </w:r>
      <w:proofErr w:type="spellStart"/>
      <w:r w:rsidRPr="00141834">
        <w:rPr>
          <w:rFonts w:ascii="Garamond" w:hAnsi="Garamond"/>
        </w:rPr>
        <w:t>Cremers</w:t>
      </w:r>
      <w:proofErr w:type="spellEnd"/>
      <w:r w:rsidRPr="00141834">
        <w:rPr>
          <w:rFonts w:ascii="Garamond" w:hAnsi="Garamond"/>
        </w:rPr>
        <w:t xml:space="preserve">, K. M., </w:t>
      </w:r>
      <w:proofErr w:type="spellStart"/>
      <w:r w:rsidRPr="00141834">
        <w:rPr>
          <w:rFonts w:ascii="Garamond" w:hAnsi="Garamond"/>
        </w:rPr>
        <w:t>Peyer</w:t>
      </w:r>
      <w:proofErr w:type="spellEnd"/>
      <w:r w:rsidRPr="00141834">
        <w:rPr>
          <w:rFonts w:ascii="Garamond" w:hAnsi="Garamond"/>
        </w:rPr>
        <w:t xml:space="preserve">, U. C. (2011). The CEO pay slice. </w:t>
      </w:r>
      <w:r w:rsidRPr="00141834">
        <w:rPr>
          <w:rFonts w:ascii="Garamond" w:hAnsi="Garamond"/>
          <w:i/>
        </w:rPr>
        <w:t>Journal of Financial Economics</w:t>
      </w:r>
      <w:r w:rsidRPr="00141834">
        <w:rPr>
          <w:rFonts w:ascii="Garamond" w:hAnsi="Garamond"/>
        </w:rPr>
        <w:t>, 102, 199-221.</w:t>
      </w:r>
    </w:p>
    <w:p w:rsidR="00EC2159" w:rsidRPr="00141834" w:rsidRDefault="00EC2159" w:rsidP="00EC2159">
      <w:pPr>
        <w:ind w:left="720" w:hanging="720"/>
        <w:jc w:val="both"/>
        <w:rPr>
          <w:rFonts w:ascii="Garamond" w:hAnsi="Garamond"/>
        </w:rPr>
      </w:pPr>
      <w:r w:rsidRPr="00141834">
        <w:rPr>
          <w:rFonts w:ascii="Garamond" w:hAnsi="Garamond"/>
        </w:rPr>
        <w:t xml:space="preserve">Berger, A. N., Kick, T., </w:t>
      </w:r>
      <w:proofErr w:type="spellStart"/>
      <w:r w:rsidRPr="00141834">
        <w:rPr>
          <w:rFonts w:ascii="Garamond" w:hAnsi="Garamond"/>
        </w:rPr>
        <w:t>Schaeck</w:t>
      </w:r>
      <w:proofErr w:type="spellEnd"/>
      <w:r w:rsidRPr="00141834">
        <w:rPr>
          <w:rFonts w:ascii="Garamond" w:hAnsi="Garamond"/>
        </w:rPr>
        <w:t xml:space="preserve">, K. (2014), Executive board composition and bank risk taking. </w:t>
      </w:r>
      <w:r w:rsidRPr="00141834">
        <w:rPr>
          <w:rFonts w:ascii="Garamond" w:hAnsi="Garamond"/>
          <w:i/>
        </w:rPr>
        <w:t>Journal of Corporate Finance</w:t>
      </w:r>
      <w:r w:rsidRPr="00141834">
        <w:rPr>
          <w:rFonts w:ascii="Garamond" w:hAnsi="Garamond"/>
        </w:rPr>
        <w:t>, 28, 48-65.</w:t>
      </w:r>
    </w:p>
    <w:p w:rsidR="00EC2159" w:rsidRPr="00141834" w:rsidRDefault="00EC2159" w:rsidP="00EC2159">
      <w:pPr>
        <w:ind w:left="720" w:hanging="720"/>
        <w:jc w:val="both"/>
        <w:rPr>
          <w:rFonts w:ascii="Garamond" w:hAnsi="Garamond"/>
        </w:rPr>
      </w:pPr>
      <w:proofErr w:type="spellStart"/>
      <w:r w:rsidRPr="00141834">
        <w:rPr>
          <w:rFonts w:ascii="Garamond" w:hAnsi="Garamond"/>
        </w:rPr>
        <w:t>Bernile</w:t>
      </w:r>
      <w:proofErr w:type="spellEnd"/>
      <w:r w:rsidRPr="00141834">
        <w:rPr>
          <w:rFonts w:ascii="Garamond" w:hAnsi="Garamond"/>
        </w:rPr>
        <w:t xml:space="preserve">, G., </w:t>
      </w:r>
      <w:proofErr w:type="spellStart"/>
      <w:r w:rsidRPr="00141834">
        <w:rPr>
          <w:rFonts w:ascii="Garamond" w:hAnsi="Garamond"/>
        </w:rPr>
        <w:t>Bhagwat</w:t>
      </w:r>
      <w:proofErr w:type="spellEnd"/>
      <w:r w:rsidRPr="00141834">
        <w:rPr>
          <w:rFonts w:ascii="Garamond" w:hAnsi="Garamond"/>
        </w:rPr>
        <w:t xml:space="preserve">, V., </w:t>
      </w:r>
      <w:proofErr w:type="spellStart"/>
      <w:r w:rsidRPr="00141834">
        <w:rPr>
          <w:rFonts w:ascii="Garamond" w:hAnsi="Garamond"/>
        </w:rPr>
        <w:t>Yonker</w:t>
      </w:r>
      <w:proofErr w:type="spellEnd"/>
      <w:r w:rsidRPr="00141834">
        <w:rPr>
          <w:rFonts w:ascii="Garamond" w:hAnsi="Garamond"/>
        </w:rPr>
        <w:t xml:space="preserve">, S. (2018). </w:t>
      </w:r>
      <w:proofErr w:type="gramStart"/>
      <w:r w:rsidRPr="00141834">
        <w:rPr>
          <w:rFonts w:ascii="Garamond" w:hAnsi="Garamond"/>
        </w:rPr>
        <w:t>Board diversity, firm risk, and corporate policies</w:t>
      </w:r>
      <w:r w:rsidR="00AC06C2">
        <w:rPr>
          <w:rFonts w:ascii="Garamond" w:hAnsi="Garamond"/>
        </w:rPr>
        <w:t>.</w:t>
      </w:r>
      <w:proofErr w:type="gramEnd"/>
      <w:r w:rsidR="00AC06C2" w:rsidRPr="00141834">
        <w:rPr>
          <w:rFonts w:ascii="Garamond" w:hAnsi="Garamond"/>
        </w:rPr>
        <w:t xml:space="preserve"> </w:t>
      </w:r>
      <w:r w:rsidRPr="00141834">
        <w:rPr>
          <w:rFonts w:ascii="Garamond" w:hAnsi="Garamond"/>
          <w:i/>
        </w:rPr>
        <w:t>Journal of Financial Economics</w:t>
      </w:r>
      <w:r w:rsidRPr="00141834">
        <w:rPr>
          <w:rFonts w:ascii="Garamond" w:hAnsi="Garamond"/>
        </w:rPr>
        <w:t>, 127 (3), 588-612.</w:t>
      </w:r>
    </w:p>
    <w:p w:rsidR="00EC2159" w:rsidRPr="00141834" w:rsidRDefault="00EC2159" w:rsidP="00EC2159">
      <w:pPr>
        <w:ind w:left="720" w:hanging="720"/>
        <w:jc w:val="both"/>
        <w:rPr>
          <w:rFonts w:ascii="Garamond" w:hAnsi="Garamond"/>
        </w:rPr>
      </w:pPr>
      <w:proofErr w:type="gramStart"/>
      <w:r w:rsidRPr="00141834">
        <w:rPr>
          <w:rFonts w:ascii="Garamond" w:hAnsi="Garamond"/>
        </w:rPr>
        <w:t>Bertrand, M. (2011).</w:t>
      </w:r>
      <w:proofErr w:type="gramEnd"/>
      <w:r w:rsidRPr="00141834">
        <w:rPr>
          <w:rFonts w:ascii="Garamond" w:hAnsi="Garamond"/>
        </w:rPr>
        <w:t xml:space="preserve"> </w:t>
      </w:r>
      <w:proofErr w:type="gramStart"/>
      <w:r w:rsidRPr="00141834">
        <w:rPr>
          <w:rFonts w:ascii="Garamond" w:hAnsi="Garamond"/>
        </w:rPr>
        <w:t>New perspectives on gender.</w:t>
      </w:r>
      <w:proofErr w:type="gramEnd"/>
      <w:r w:rsidRPr="00141834">
        <w:rPr>
          <w:rFonts w:ascii="Garamond" w:hAnsi="Garamond"/>
        </w:rPr>
        <w:t xml:space="preserve"> </w:t>
      </w:r>
      <w:r w:rsidRPr="00141834">
        <w:rPr>
          <w:rFonts w:ascii="Garamond" w:hAnsi="Garamond"/>
          <w:i/>
        </w:rPr>
        <w:t xml:space="preserve">Handbook of </w:t>
      </w:r>
      <w:proofErr w:type="spellStart"/>
      <w:r w:rsidRPr="00141834">
        <w:rPr>
          <w:rFonts w:ascii="Garamond" w:hAnsi="Garamond"/>
          <w:i/>
        </w:rPr>
        <w:t>Labor</w:t>
      </w:r>
      <w:proofErr w:type="spellEnd"/>
      <w:r w:rsidRPr="00141834">
        <w:rPr>
          <w:rFonts w:ascii="Garamond" w:hAnsi="Garamond"/>
          <w:i/>
        </w:rPr>
        <w:t xml:space="preserve"> Economics</w:t>
      </w:r>
      <w:r w:rsidRPr="00141834">
        <w:rPr>
          <w:rFonts w:ascii="Garamond" w:hAnsi="Garamond"/>
        </w:rPr>
        <w:t>, 4, Part B, 1543-1590.</w:t>
      </w:r>
    </w:p>
    <w:p w:rsidR="00EC2159" w:rsidRPr="00141834" w:rsidRDefault="00EC2159" w:rsidP="00EC2159">
      <w:pPr>
        <w:ind w:left="720" w:hanging="720"/>
        <w:jc w:val="both"/>
        <w:rPr>
          <w:rFonts w:ascii="Garamond" w:hAnsi="Garamond"/>
        </w:rPr>
      </w:pPr>
      <w:proofErr w:type="gramStart"/>
      <w:r w:rsidRPr="00141834">
        <w:rPr>
          <w:rFonts w:ascii="Garamond" w:hAnsi="Garamond"/>
        </w:rPr>
        <w:t xml:space="preserve">Bertrand, M., </w:t>
      </w:r>
      <w:proofErr w:type="spellStart"/>
      <w:r w:rsidRPr="00141834">
        <w:rPr>
          <w:rFonts w:ascii="Garamond" w:hAnsi="Garamond"/>
        </w:rPr>
        <w:t>Schoar</w:t>
      </w:r>
      <w:proofErr w:type="spellEnd"/>
      <w:r w:rsidRPr="00141834">
        <w:rPr>
          <w:rFonts w:ascii="Garamond" w:hAnsi="Garamond"/>
        </w:rPr>
        <w:t>, A. (2003).</w:t>
      </w:r>
      <w:proofErr w:type="gramEnd"/>
      <w:r w:rsidRPr="00141834">
        <w:rPr>
          <w:rFonts w:ascii="Garamond" w:hAnsi="Garamond"/>
        </w:rPr>
        <w:t xml:space="preserve"> </w:t>
      </w:r>
      <w:proofErr w:type="gramStart"/>
      <w:r w:rsidRPr="00141834">
        <w:rPr>
          <w:rFonts w:ascii="Garamond" w:hAnsi="Garamond"/>
        </w:rPr>
        <w:t>Managing with style: The effect of managers on firm policies.</w:t>
      </w:r>
      <w:proofErr w:type="gramEnd"/>
      <w:r w:rsidRPr="00141834">
        <w:rPr>
          <w:rFonts w:ascii="Garamond" w:hAnsi="Garamond"/>
        </w:rPr>
        <w:t xml:space="preserve"> </w:t>
      </w:r>
      <w:r w:rsidRPr="00141834">
        <w:rPr>
          <w:rFonts w:ascii="Garamond" w:hAnsi="Garamond"/>
          <w:i/>
        </w:rPr>
        <w:t>The Quarterly Journal of Economics</w:t>
      </w:r>
      <w:r w:rsidRPr="00141834">
        <w:rPr>
          <w:rFonts w:ascii="Garamond" w:hAnsi="Garamond"/>
        </w:rPr>
        <w:t>, 118 (4), 1169</w:t>
      </w:r>
      <w:r w:rsidR="00AC06C2" w:rsidRPr="00141834">
        <w:rPr>
          <w:rFonts w:ascii="Garamond" w:hAnsi="Garamond"/>
        </w:rPr>
        <w:t>-</w:t>
      </w:r>
      <w:r w:rsidRPr="00141834">
        <w:rPr>
          <w:rFonts w:ascii="Garamond" w:hAnsi="Garamond"/>
        </w:rPr>
        <w:t>1208.</w:t>
      </w:r>
    </w:p>
    <w:p w:rsidR="00EC2159" w:rsidRPr="00141834" w:rsidRDefault="00EC2159" w:rsidP="00EC2159">
      <w:pPr>
        <w:ind w:left="720" w:hanging="720"/>
        <w:jc w:val="both"/>
        <w:rPr>
          <w:rFonts w:ascii="Garamond" w:hAnsi="Garamond"/>
        </w:rPr>
      </w:pPr>
      <w:proofErr w:type="spellStart"/>
      <w:proofErr w:type="gramStart"/>
      <w:r w:rsidRPr="00141834">
        <w:rPr>
          <w:rFonts w:ascii="Garamond" w:hAnsi="Garamond"/>
        </w:rPr>
        <w:t>Bhagat</w:t>
      </w:r>
      <w:proofErr w:type="spellEnd"/>
      <w:r w:rsidRPr="00141834">
        <w:rPr>
          <w:rFonts w:ascii="Garamond" w:hAnsi="Garamond"/>
        </w:rPr>
        <w:t>, S., Bolton, B., Lu, J. (2015).</w:t>
      </w:r>
      <w:proofErr w:type="gramEnd"/>
      <w:r w:rsidRPr="00141834">
        <w:rPr>
          <w:rFonts w:ascii="Garamond" w:hAnsi="Garamond"/>
        </w:rPr>
        <w:t xml:space="preserve"> </w:t>
      </w:r>
      <w:proofErr w:type="gramStart"/>
      <w:r w:rsidRPr="00141834">
        <w:rPr>
          <w:rFonts w:ascii="Garamond" w:hAnsi="Garamond"/>
        </w:rPr>
        <w:t>Size, leverage, and risk-taking of financial institutions.</w:t>
      </w:r>
      <w:proofErr w:type="gramEnd"/>
      <w:r w:rsidRPr="00141834">
        <w:rPr>
          <w:rFonts w:ascii="Garamond" w:hAnsi="Garamond"/>
        </w:rPr>
        <w:t xml:space="preserve"> </w:t>
      </w:r>
      <w:r w:rsidRPr="00141834">
        <w:rPr>
          <w:rFonts w:ascii="Garamond" w:hAnsi="Garamond"/>
          <w:i/>
          <w:iCs/>
        </w:rPr>
        <w:t>Journal of Banking and Finance</w:t>
      </w:r>
      <w:r w:rsidRPr="00141834">
        <w:rPr>
          <w:rFonts w:ascii="Garamond" w:hAnsi="Garamond"/>
        </w:rPr>
        <w:t>, 59, 520-537.</w:t>
      </w:r>
    </w:p>
    <w:p w:rsidR="00EC2159" w:rsidRPr="00141834" w:rsidRDefault="00EC2159" w:rsidP="00EC2159">
      <w:pPr>
        <w:ind w:left="720" w:hanging="720"/>
        <w:jc w:val="both"/>
        <w:rPr>
          <w:rFonts w:ascii="Garamond" w:hAnsi="Garamond"/>
        </w:rPr>
      </w:pPr>
      <w:proofErr w:type="spellStart"/>
      <w:r w:rsidRPr="00141834">
        <w:rPr>
          <w:rFonts w:ascii="Garamond" w:hAnsi="Garamond"/>
        </w:rPr>
        <w:t>Bilimoria</w:t>
      </w:r>
      <w:proofErr w:type="spellEnd"/>
      <w:r w:rsidRPr="00141834">
        <w:rPr>
          <w:rFonts w:ascii="Garamond" w:hAnsi="Garamond"/>
        </w:rPr>
        <w:t xml:space="preserve">, D. (2006). </w:t>
      </w:r>
      <w:proofErr w:type="gramStart"/>
      <w:r w:rsidRPr="00141834">
        <w:rPr>
          <w:rFonts w:ascii="Garamond" w:hAnsi="Garamond"/>
        </w:rPr>
        <w:t>The relationship between women corporate directors and women corporate officers</w:t>
      </w:r>
      <w:r w:rsidRPr="00141834">
        <w:rPr>
          <w:rFonts w:ascii="Garamond" w:hAnsi="Garamond"/>
          <w:i/>
        </w:rPr>
        <w:t>.</w:t>
      </w:r>
      <w:proofErr w:type="gramEnd"/>
      <w:r w:rsidRPr="00141834">
        <w:rPr>
          <w:rFonts w:ascii="Garamond" w:hAnsi="Garamond"/>
          <w:i/>
        </w:rPr>
        <w:t xml:space="preserve"> Journal of Managerial Issues</w:t>
      </w:r>
      <w:r w:rsidRPr="00141834">
        <w:rPr>
          <w:rFonts w:ascii="Garamond" w:hAnsi="Garamond"/>
        </w:rPr>
        <w:t>, 18, 47</w:t>
      </w:r>
      <w:r w:rsidR="00AC06C2" w:rsidRPr="00141834">
        <w:rPr>
          <w:rFonts w:ascii="Garamond" w:hAnsi="Garamond"/>
        </w:rPr>
        <w:t>-</w:t>
      </w:r>
      <w:r w:rsidRPr="00141834">
        <w:rPr>
          <w:rFonts w:ascii="Garamond" w:hAnsi="Garamond"/>
        </w:rPr>
        <w:t>61.</w:t>
      </w:r>
    </w:p>
    <w:p w:rsidR="00EC2159" w:rsidRPr="00141834" w:rsidRDefault="00EC2159" w:rsidP="00EC2159">
      <w:pPr>
        <w:ind w:left="720" w:hanging="720"/>
        <w:jc w:val="both"/>
        <w:rPr>
          <w:rFonts w:ascii="Garamond" w:hAnsi="Garamond"/>
        </w:rPr>
      </w:pPr>
      <w:r w:rsidRPr="00141834">
        <w:rPr>
          <w:rFonts w:ascii="Garamond" w:hAnsi="Garamond"/>
        </w:rPr>
        <w:t>Byrnes, J. P., Miller, D. C.</w:t>
      </w:r>
      <w:r w:rsidR="00987C74">
        <w:rPr>
          <w:rFonts w:ascii="Garamond" w:hAnsi="Garamond"/>
        </w:rPr>
        <w:t>,</w:t>
      </w:r>
      <w:r w:rsidRPr="00141834">
        <w:rPr>
          <w:rFonts w:ascii="Garamond" w:hAnsi="Garamond"/>
        </w:rPr>
        <w:t xml:space="preserve"> Schafer, W. D. (1999). Gender differences in risk taking: A meta-analysis. </w:t>
      </w:r>
      <w:r w:rsidRPr="00141834">
        <w:rPr>
          <w:rFonts w:ascii="Garamond" w:hAnsi="Garamond"/>
          <w:i/>
          <w:iCs/>
        </w:rPr>
        <w:t>Psychological Bulletin</w:t>
      </w:r>
      <w:r w:rsidRPr="00141834">
        <w:rPr>
          <w:rFonts w:ascii="Garamond" w:hAnsi="Garamond"/>
        </w:rPr>
        <w:t>, 125 (3</w:t>
      </w:r>
      <w:r w:rsidR="00987C74" w:rsidRPr="00141834">
        <w:rPr>
          <w:rFonts w:ascii="Garamond" w:hAnsi="Garamond"/>
        </w:rPr>
        <w:t>)</w:t>
      </w:r>
      <w:r w:rsidR="00987C74">
        <w:rPr>
          <w:rFonts w:ascii="Garamond" w:hAnsi="Garamond"/>
        </w:rPr>
        <w:t>,</w:t>
      </w:r>
      <w:r w:rsidR="00987C74" w:rsidRPr="00141834">
        <w:rPr>
          <w:rFonts w:ascii="Garamond" w:hAnsi="Garamond"/>
        </w:rPr>
        <w:t xml:space="preserve"> </w:t>
      </w:r>
      <w:r w:rsidRPr="00141834">
        <w:rPr>
          <w:rFonts w:ascii="Garamond" w:hAnsi="Garamond"/>
        </w:rPr>
        <w:t>367-383.</w:t>
      </w:r>
    </w:p>
    <w:p w:rsidR="00EC2159" w:rsidRPr="00141834" w:rsidRDefault="00EC2159" w:rsidP="00EC2159">
      <w:pPr>
        <w:ind w:left="720" w:hanging="720"/>
        <w:jc w:val="both"/>
        <w:rPr>
          <w:rFonts w:ascii="Garamond" w:hAnsi="Garamond"/>
        </w:rPr>
      </w:pPr>
      <w:proofErr w:type="spellStart"/>
      <w:proofErr w:type="gramStart"/>
      <w:r w:rsidRPr="00141834">
        <w:rPr>
          <w:rFonts w:ascii="Garamond" w:hAnsi="Garamond"/>
        </w:rPr>
        <w:t>Charness</w:t>
      </w:r>
      <w:proofErr w:type="spellEnd"/>
      <w:r w:rsidRPr="00141834">
        <w:rPr>
          <w:rFonts w:ascii="Garamond" w:hAnsi="Garamond"/>
        </w:rPr>
        <w:t>, G.</w:t>
      </w:r>
      <w:r w:rsidR="00987C74">
        <w:rPr>
          <w:rFonts w:ascii="Garamond" w:hAnsi="Garamond"/>
        </w:rPr>
        <w:t>,</w:t>
      </w:r>
      <w:r w:rsidRPr="00141834">
        <w:rPr>
          <w:rFonts w:ascii="Garamond" w:hAnsi="Garamond"/>
        </w:rPr>
        <w:t xml:space="preserve"> </w:t>
      </w:r>
      <w:proofErr w:type="spellStart"/>
      <w:r w:rsidRPr="00141834">
        <w:rPr>
          <w:rFonts w:ascii="Garamond" w:hAnsi="Garamond"/>
        </w:rPr>
        <w:t>Gneezy</w:t>
      </w:r>
      <w:proofErr w:type="spellEnd"/>
      <w:r w:rsidRPr="00141834">
        <w:rPr>
          <w:rFonts w:ascii="Garamond" w:hAnsi="Garamond"/>
        </w:rPr>
        <w:t>, U. (2012).</w:t>
      </w:r>
      <w:proofErr w:type="gramEnd"/>
      <w:r w:rsidRPr="00141834">
        <w:rPr>
          <w:rFonts w:ascii="Garamond" w:hAnsi="Garamond"/>
        </w:rPr>
        <w:t xml:space="preserve"> </w:t>
      </w:r>
      <w:proofErr w:type="gramStart"/>
      <w:r w:rsidRPr="00141834">
        <w:rPr>
          <w:rFonts w:ascii="Garamond" w:hAnsi="Garamond"/>
        </w:rPr>
        <w:t xml:space="preserve">Strong </w:t>
      </w:r>
      <w:r w:rsidR="00987C74">
        <w:rPr>
          <w:rFonts w:ascii="Garamond" w:hAnsi="Garamond"/>
        </w:rPr>
        <w:t>e</w:t>
      </w:r>
      <w:r w:rsidR="00987C74" w:rsidRPr="00141834">
        <w:rPr>
          <w:rFonts w:ascii="Garamond" w:hAnsi="Garamond"/>
        </w:rPr>
        <w:t xml:space="preserve">vidence </w:t>
      </w:r>
      <w:r w:rsidRPr="00141834">
        <w:rPr>
          <w:rFonts w:ascii="Garamond" w:hAnsi="Garamond"/>
        </w:rPr>
        <w:t xml:space="preserve">for </w:t>
      </w:r>
      <w:r w:rsidR="00987C74">
        <w:rPr>
          <w:rFonts w:ascii="Garamond" w:hAnsi="Garamond"/>
        </w:rPr>
        <w:t>g</w:t>
      </w:r>
      <w:r w:rsidR="00987C74" w:rsidRPr="00141834">
        <w:rPr>
          <w:rFonts w:ascii="Garamond" w:hAnsi="Garamond"/>
        </w:rPr>
        <w:t xml:space="preserve">ender </w:t>
      </w:r>
      <w:r w:rsidR="00987C74">
        <w:rPr>
          <w:rFonts w:ascii="Garamond" w:hAnsi="Garamond"/>
        </w:rPr>
        <w:t>d</w:t>
      </w:r>
      <w:r w:rsidR="00987C74" w:rsidRPr="00141834">
        <w:rPr>
          <w:rFonts w:ascii="Garamond" w:hAnsi="Garamond"/>
        </w:rPr>
        <w:t xml:space="preserve">ifferences </w:t>
      </w:r>
      <w:r w:rsidRPr="00141834">
        <w:rPr>
          <w:rFonts w:ascii="Garamond" w:hAnsi="Garamond"/>
        </w:rPr>
        <w:t xml:space="preserve">in </w:t>
      </w:r>
      <w:r w:rsidR="00987C74">
        <w:rPr>
          <w:rFonts w:ascii="Garamond" w:hAnsi="Garamond"/>
        </w:rPr>
        <w:t>r</w:t>
      </w:r>
      <w:r w:rsidR="00987C74" w:rsidRPr="00141834">
        <w:rPr>
          <w:rFonts w:ascii="Garamond" w:hAnsi="Garamond"/>
        </w:rPr>
        <w:t xml:space="preserve">isk </w:t>
      </w:r>
      <w:r w:rsidR="00987C74">
        <w:rPr>
          <w:rFonts w:ascii="Garamond" w:hAnsi="Garamond"/>
        </w:rPr>
        <w:t>t</w:t>
      </w:r>
      <w:r w:rsidR="00987C74" w:rsidRPr="00141834">
        <w:rPr>
          <w:rFonts w:ascii="Garamond" w:hAnsi="Garamond"/>
        </w:rPr>
        <w:t>aking</w:t>
      </w:r>
      <w:r w:rsidRPr="00141834">
        <w:rPr>
          <w:rFonts w:ascii="Garamond" w:hAnsi="Garamond"/>
        </w:rPr>
        <w:t>.</w:t>
      </w:r>
      <w:proofErr w:type="gramEnd"/>
      <w:r w:rsidRPr="00141834">
        <w:rPr>
          <w:rFonts w:ascii="Garamond" w:hAnsi="Garamond"/>
        </w:rPr>
        <w:t xml:space="preserve"> </w:t>
      </w:r>
      <w:r w:rsidRPr="00141834">
        <w:rPr>
          <w:rFonts w:ascii="Garamond" w:hAnsi="Garamond"/>
          <w:i/>
          <w:iCs/>
        </w:rPr>
        <w:t xml:space="preserve">Journal of Economic </w:t>
      </w:r>
      <w:proofErr w:type="spellStart"/>
      <w:r w:rsidRPr="00141834">
        <w:rPr>
          <w:rFonts w:ascii="Garamond" w:hAnsi="Garamond"/>
          <w:i/>
          <w:iCs/>
        </w:rPr>
        <w:t>Behavior</w:t>
      </w:r>
      <w:proofErr w:type="spellEnd"/>
      <w:r w:rsidRPr="00141834">
        <w:rPr>
          <w:rFonts w:ascii="Garamond" w:hAnsi="Garamond"/>
          <w:i/>
          <w:iCs/>
        </w:rPr>
        <w:t xml:space="preserve"> </w:t>
      </w:r>
      <w:r w:rsidR="00987C74">
        <w:rPr>
          <w:rFonts w:ascii="Garamond" w:hAnsi="Garamond"/>
          <w:i/>
          <w:iCs/>
        </w:rPr>
        <w:t>and</w:t>
      </w:r>
      <w:r w:rsidR="00987C74" w:rsidRPr="00141834">
        <w:rPr>
          <w:rFonts w:ascii="Garamond" w:hAnsi="Garamond"/>
          <w:i/>
          <w:iCs/>
        </w:rPr>
        <w:t xml:space="preserve"> </w:t>
      </w:r>
      <w:r w:rsidRPr="00141834">
        <w:rPr>
          <w:rFonts w:ascii="Garamond" w:hAnsi="Garamond"/>
          <w:i/>
          <w:iCs/>
        </w:rPr>
        <w:t>Organization</w:t>
      </w:r>
      <w:r w:rsidRPr="00141834">
        <w:rPr>
          <w:rFonts w:ascii="Garamond" w:hAnsi="Garamond"/>
        </w:rPr>
        <w:t>, 83 (1</w:t>
      </w:r>
      <w:r w:rsidR="00987C74" w:rsidRPr="00141834">
        <w:rPr>
          <w:rFonts w:ascii="Garamond" w:hAnsi="Garamond"/>
        </w:rPr>
        <w:t>)</w:t>
      </w:r>
      <w:r w:rsidR="00987C74">
        <w:rPr>
          <w:rFonts w:ascii="Garamond" w:hAnsi="Garamond"/>
        </w:rPr>
        <w:t>,</w:t>
      </w:r>
      <w:r w:rsidR="00987C74" w:rsidRPr="00141834">
        <w:rPr>
          <w:rFonts w:ascii="Garamond" w:hAnsi="Garamond"/>
        </w:rPr>
        <w:t xml:space="preserve"> </w:t>
      </w:r>
      <w:r w:rsidRPr="00141834">
        <w:rPr>
          <w:rFonts w:ascii="Garamond" w:hAnsi="Garamond"/>
        </w:rPr>
        <w:t>50-58.</w:t>
      </w:r>
    </w:p>
    <w:p w:rsidR="00EC2159" w:rsidRPr="00141834" w:rsidRDefault="00EC2159" w:rsidP="00EC2159">
      <w:pPr>
        <w:ind w:left="720" w:hanging="720"/>
        <w:jc w:val="both"/>
        <w:rPr>
          <w:rFonts w:ascii="Garamond" w:hAnsi="Garamond"/>
        </w:rPr>
      </w:pPr>
      <w:proofErr w:type="gramStart"/>
      <w:r w:rsidRPr="00141834">
        <w:rPr>
          <w:rFonts w:ascii="Garamond" w:hAnsi="Garamond"/>
        </w:rPr>
        <w:t>Carter, M. E., Franco, F.</w:t>
      </w:r>
      <w:r w:rsidR="00987C74">
        <w:rPr>
          <w:rFonts w:ascii="Garamond" w:hAnsi="Garamond"/>
        </w:rPr>
        <w:t>,</w:t>
      </w:r>
      <w:r w:rsidRPr="00141834">
        <w:rPr>
          <w:rFonts w:ascii="Garamond" w:hAnsi="Garamond"/>
        </w:rPr>
        <w:t xml:space="preserve"> </w:t>
      </w:r>
      <w:proofErr w:type="spellStart"/>
      <w:r w:rsidRPr="00141834">
        <w:rPr>
          <w:rFonts w:ascii="Garamond" w:hAnsi="Garamond"/>
        </w:rPr>
        <w:t>Gine</w:t>
      </w:r>
      <w:proofErr w:type="spellEnd"/>
      <w:r w:rsidRPr="00141834">
        <w:rPr>
          <w:rFonts w:ascii="Garamond" w:hAnsi="Garamond"/>
        </w:rPr>
        <w:t>, M. (2017).</w:t>
      </w:r>
      <w:proofErr w:type="gramEnd"/>
      <w:r w:rsidRPr="00141834">
        <w:rPr>
          <w:rFonts w:ascii="Garamond" w:hAnsi="Garamond"/>
        </w:rPr>
        <w:t xml:space="preserve"> Executive </w:t>
      </w:r>
      <w:proofErr w:type="gramStart"/>
      <w:r w:rsidR="00987C74">
        <w:rPr>
          <w:rFonts w:ascii="Garamond" w:hAnsi="Garamond"/>
        </w:rPr>
        <w:t>g</w:t>
      </w:r>
      <w:r w:rsidR="00987C74" w:rsidRPr="00141834">
        <w:rPr>
          <w:rFonts w:ascii="Garamond" w:hAnsi="Garamond"/>
        </w:rPr>
        <w:t xml:space="preserve">ender </w:t>
      </w:r>
      <w:r w:rsidR="00987C74">
        <w:rPr>
          <w:rFonts w:ascii="Garamond" w:hAnsi="Garamond"/>
        </w:rPr>
        <w:t>p</w:t>
      </w:r>
      <w:r w:rsidR="00987C74" w:rsidRPr="00141834">
        <w:rPr>
          <w:rFonts w:ascii="Garamond" w:hAnsi="Garamond"/>
        </w:rPr>
        <w:t>ay</w:t>
      </w:r>
      <w:proofErr w:type="gramEnd"/>
      <w:r w:rsidR="00987C74" w:rsidRPr="00141834">
        <w:rPr>
          <w:rFonts w:ascii="Garamond" w:hAnsi="Garamond"/>
        </w:rPr>
        <w:t xml:space="preserve"> </w:t>
      </w:r>
      <w:r w:rsidR="00987C74">
        <w:rPr>
          <w:rFonts w:ascii="Garamond" w:hAnsi="Garamond"/>
        </w:rPr>
        <w:t>g</w:t>
      </w:r>
      <w:r w:rsidR="00987C74" w:rsidRPr="00141834">
        <w:rPr>
          <w:rFonts w:ascii="Garamond" w:hAnsi="Garamond"/>
        </w:rPr>
        <w:t>aps</w:t>
      </w:r>
      <w:r w:rsidRPr="00141834">
        <w:rPr>
          <w:rFonts w:ascii="Garamond" w:hAnsi="Garamond"/>
        </w:rPr>
        <w:t xml:space="preserve">: The </w:t>
      </w:r>
      <w:r w:rsidR="00987C74">
        <w:rPr>
          <w:rFonts w:ascii="Garamond" w:hAnsi="Garamond"/>
        </w:rPr>
        <w:t>r</w:t>
      </w:r>
      <w:r w:rsidR="00987C74" w:rsidRPr="00141834">
        <w:rPr>
          <w:rFonts w:ascii="Garamond" w:hAnsi="Garamond"/>
        </w:rPr>
        <w:t xml:space="preserve">oles </w:t>
      </w:r>
      <w:r w:rsidRPr="00141834">
        <w:rPr>
          <w:rFonts w:ascii="Garamond" w:hAnsi="Garamond"/>
        </w:rPr>
        <w:t xml:space="preserve">of </w:t>
      </w:r>
      <w:r w:rsidR="00987C74">
        <w:rPr>
          <w:rFonts w:ascii="Garamond" w:hAnsi="Garamond"/>
        </w:rPr>
        <w:t>f</w:t>
      </w:r>
      <w:r w:rsidR="00987C74" w:rsidRPr="00141834">
        <w:rPr>
          <w:rFonts w:ascii="Garamond" w:hAnsi="Garamond"/>
        </w:rPr>
        <w:t xml:space="preserve">emale </w:t>
      </w:r>
      <w:r w:rsidR="00987C74">
        <w:rPr>
          <w:rFonts w:ascii="Garamond" w:hAnsi="Garamond"/>
        </w:rPr>
        <w:t>r</w:t>
      </w:r>
      <w:r w:rsidR="00987C74" w:rsidRPr="00141834">
        <w:rPr>
          <w:rFonts w:ascii="Garamond" w:hAnsi="Garamond"/>
        </w:rPr>
        <w:t xml:space="preserve">isk </w:t>
      </w:r>
      <w:r w:rsidR="00987C74">
        <w:rPr>
          <w:rFonts w:ascii="Garamond" w:hAnsi="Garamond"/>
        </w:rPr>
        <w:t>a</w:t>
      </w:r>
      <w:r w:rsidR="00987C74" w:rsidRPr="00141834">
        <w:rPr>
          <w:rFonts w:ascii="Garamond" w:hAnsi="Garamond"/>
        </w:rPr>
        <w:t xml:space="preserve">version </w:t>
      </w:r>
      <w:r w:rsidRPr="00141834">
        <w:rPr>
          <w:rFonts w:ascii="Garamond" w:hAnsi="Garamond"/>
        </w:rPr>
        <w:t xml:space="preserve">and </w:t>
      </w:r>
      <w:r w:rsidR="00987C74">
        <w:rPr>
          <w:rFonts w:ascii="Garamond" w:hAnsi="Garamond"/>
        </w:rPr>
        <w:t>b</w:t>
      </w:r>
      <w:r w:rsidR="00987C74" w:rsidRPr="00141834">
        <w:rPr>
          <w:rFonts w:ascii="Garamond" w:hAnsi="Garamond"/>
        </w:rPr>
        <w:t xml:space="preserve">oard </w:t>
      </w:r>
      <w:r w:rsidR="00987C74">
        <w:rPr>
          <w:rFonts w:ascii="Garamond" w:hAnsi="Garamond"/>
        </w:rPr>
        <w:t>r</w:t>
      </w:r>
      <w:r w:rsidR="00987C74" w:rsidRPr="00141834">
        <w:rPr>
          <w:rFonts w:ascii="Garamond" w:hAnsi="Garamond"/>
        </w:rPr>
        <w:t>epresentation</w:t>
      </w:r>
      <w:r w:rsidRPr="00141834">
        <w:rPr>
          <w:rFonts w:ascii="Garamond" w:hAnsi="Garamond"/>
        </w:rPr>
        <w:t xml:space="preserve">. </w:t>
      </w:r>
      <w:r w:rsidRPr="00141834">
        <w:rPr>
          <w:rFonts w:ascii="Garamond" w:hAnsi="Garamond"/>
          <w:i/>
          <w:iCs/>
        </w:rPr>
        <w:t>Contemporary Accounting Research</w:t>
      </w:r>
      <w:r w:rsidRPr="00141834">
        <w:rPr>
          <w:rFonts w:ascii="Garamond" w:hAnsi="Garamond"/>
        </w:rPr>
        <w:t>, 34 (2</w:t>
      </w:r>
      <w:r w:rsidR="00987C74" w:rsidRPr="00141834">
        <w:rPr>
          <w:rFonts w:ascii="Garamond" w:hAnsi="Garamond"/>
        </w:rPr>
        <w:t>)</w:t>
      </w:r>
      <w:r w:rsidR="00987C74">
        <w:rPr>
          <w:rFonts w:ascii="Garamond" w:hAnsi="Garamond"/>
        </w:rPr>
        <w:t>,</w:t>
      </w:r>
      <w:r w:rsidR="00987C74" w:rsidRPr="00141834">
        <w:rPr>
          <w:rFonts w:ascii="Garamond" w:hAnsi="Garamond"/>
        </w:rPr>
        <w:t xml:space="preserve"> </w:t>
      </w:r>
      <w:r w:rsidRPr="00141834">
        <w:rPr>
          <w:rFonts w:ascii="Garamond" w:hAnsi="Garamond"/>
        </w:rPr>
        <w:t>1232</w:t>
      </w:r>
      <w:r w:rsidR="00AC06C2" w:rsidRPr="00141834">
        <w:rPr>
          <w:rFonts w:ascii="Garamond" w:hAnsi="Garamond"/>
        </w:rPr>
        <w:t>-</w:t>
      </w:r>
      <w:r w:rsidRPr="00141834">
        <w:rPr>
          <w:rFonts w:ascii="Garamond" w:hAnsi="Garamond"/>
        </w:rPr>
        <w:t>1264.</w:t>
      </w:r>
    </w:p>
    <w:p w:rsidR="00DB0821" w:rsidRPr="00141834" w:rsidRDefault="00DB0821" w:rsidP="00EC2159">
      <w:pPr>
        <w:ind w:left="720" w:hanging="720"/>
        <w:jc w:val="both"/>
        <w:rPr>
          <w:rFonts w:ascii="Garamond" w:hAnsi="Garamond"/>
        </w:rPr>
      </w:pPr>
      <w:proofErr w:type="spellStart"/>
      <w:proofErr w:type="gramStart"/>
      <w:r w:rsidRPr="00141834">
        <w:rPr>
          <w:rFonts w:ascii="Garamond" w:hAnsi="Garamond"/>
        </w:rPr>
        <w:t>Chasan</w:t>
      </w:r>
      <w:proofErr w:type="spellEnd"/>
      <w:r w:rsidRPr="00141834">
        <w:rPr>
          <w:rFonts w:ascii="Garamond" w:hAnsi="Garamond"/>
        </w:rPr>
        <w:t>, E.</w:t>
      </w:r>
      <w:r w:rsidR="00987C74">
        <w:rPr>
          <w:rFonts w:ascii="Garamond" w:hAnsi="Garamond"/>
        </w:rPr>
        <w:t>,</w:t>
      </w:r>
      <w:r w:rsidRPr="00141834">
        <w:rPr>
          <w:rFonts w:ascii="Garamond" w:hAnsi="Garamond"/>
        </w:rPr>
        <w:t xml:space="preserve"> Murphy, M. (2013).</w:t>
      </w:r>
      <w:proofErr w:type="gramEnd"/>
      <w:r w:rsidRPr="00141834">
        <w:rPr>
          <w:rFonts w:ascii="Garamond" w:hAnsi="Garamond"/>
        </w:rPr>
        <w:t xml:space="preserve"> </w:t>
      </w:r>
      <w:proofErr w:type="gramStart"/>
      <w:r w:rsidRPr="00141834">
        <w:rPr>
          <w:rFonts w:ascii="Garamond" w:hAnsi="Garamond"/>
        </w:rPr>
        <w:t>New job, new steppingstones.</w:t>
      </w:r>
      <w:proofErr w:type="gramEnd"/>
      <w:r w:rsidRPr="00141834">
        <w:rPr>
          <w:rFonts w:ascii="Garamond" w:hAnsi="Garamond"/>
        </w:rPr>
        <w:t xml:space="preserve"> </w:t>
      </w:r>
      <w:proofErr w:type="gramStart"/>
      <w:r w:rsidRPr="00824024">
        <w:rPr>
          <w:rFonts w:ascii="Garamond" w:hAnsi="Garamond"/>
          <w:i/>
        </w:rPr>
        <w:t>Wall Street Journal</w:t>
      </w:r>
      <w:r w:rsidRPr="00141834">
        <w:rPr>
          <w:rFonts w:ascii="Garamond" w:hAnsi="Garamond"/>
        </w:rPr>
        <w:t>.</w:t>
      </w:r>
      <w:proofErr w:type="gramEnd"/>
      <w:r w:rsidRPr="00141834">
        <w:rPr>
          <w:rFonts w:ascii="Garamond" w:hAnsi="Garamond"/>
        </w:rPr>
        <w:t xml:space="preserve"> pB7.</w:t>
      </w:r>
    </w:p>
    <w:p w:rsidR="00EC2159" w:rsidRPr="00141834" w:rsidRDefault="00EC2159" w:rsidP="00EC2159">
      <w:pPr>
        <w:ind w:left="720" w:hanging="720"/>
        <w:jc w:val="both"/>
        <w:rPr>
          <w:rFonts w:ascii="Garamond" w:hAnsi="Garamond"/>
        </w:rPr>
      </w:pPr>
      <w:proofErr w:type="spellStart"/>
      <w:r w:rsidRPr="00141834">
        <w:rPr>
          <w:rFonts w:ascii="Garamond" w:hAnsi="Garamond"/>
        </w:rPr>
        <w:t>Conyon</w:t>
      </w:r>
      <w:proofErr w:type="spellEnd"/>
      <w:r w:rsidRPr="00141834">
        <w:rPr>
          <w:rFonts w:ascii="Garamond" w:hAnsi="Garamond"/>
        </w:rPr>
        <w:t xml:space="preserve">, M. J., </w:t>
      </w:r>
      <w:proofErr w:type="spellStart"/>
      <w:r w:rsidRPr="00141834">
        <w:rPr>
          <w:rFonts w:ascii="Garamond" w:hAnsi="Garamond"/>
        </w:rPr>
        <w:t>Haß</w:t>
      </w:r>
      <w:proofErr w:type="spellEnd"/>
      <w:r w:rsidRPr="00141834">
        <w:rPr>
          <w:rFonts w:ascii="Garamond" w:hAnsi="Garamond"/>
        </w:rPr>
        <w:t xml:space="preserve">, L. H., </w:t>
      </w:r>
      <w:proofErr w:type="spellStart"/>
      <w:r w:rsidRPr="00141834">
        <w:rPr>
          <w:rFonts w:ascii="Garamond" w:hAnsi="Garamond"/>
        </w:rPr>
        <w:t>Vergauwe</w:t>
      </w:r>
      <w:proofErr w:type="spellEnd"/>
      <w:r w:rsidRPr="00141834">
        <w:rPr>
          <w:rFonts w:ascii="Garamond" w:hAnsi="Garamond"/>
        </w:rPr>
        <w:t xml:space="preserve">, S., Zhang, Z. (2019). </w:t>
      </w:r>
      <w:proofErr w:type="gramStart"/>
      <w:r w:rsidRPr="00141834">
        <w:rPr>
          <w:rFonts w:ascii="Garamond" w:hAnsi="Garamond"/>
        </w:rPr>
        <w:t>Foreign experience and CEO compensation.</w:t>
      </w:r>
      <w:proofErr w:type="gramEnd"/>
      <w:r w:rsidRPr="00141834">
        <w:rPr>
          <w:rFonts w:ascii="Garamond" w:hAnsi="Garamond"/>
        </w:rPr>
        <w:t xml:space="preserve"> </w:t>
      </w:r>
      <w:r w:rsidRPr="00141834">
        <w:rPr>
          <w:rFonts w:ascii="Garamond" w:hAnsi="Garamond"/>
          <w:i/>
        </w:rPr>
        <w:t>Journal of Corporate Finance</w:t>
      </w:r>
      <w:r w:rsidRPr="00141834">
        <w:rPr>
          <w:rFonts w:ascii="Garamond" w:hAnsi="Garamond"/>
        </w:rPr>
        <w:t>, 57, 102-121.</w:t>
      </w:r>
    </w:p>
    <w:p w:rsidR="00EC2159" w:rsidRPr="00141834" w:rsidRDefault="00EC2159" w:rsidP="00EC2159">
      <w:pPr>
        <w:ind w:left="720" w:hanging="720"/>
        <w:jc w:val="both"/>
        <w:rPr>
          <w:rFonts w:ascii="Garamond" w:hAnsi="Garamond"/>
        </w:rPr>
      </w:pPr>
      <w:proofErr w:type="spellStart"/>
      <w:r w:rsidRPr="00141834">
        <w:rPr>
          <w:rFonts w:ascii="Garamond" w:hAnsi="Garamond"/>
        </w:rPr>
        <w:t>Cronqvist</w:t>
      </w:r>
      <w:proofErr w:type="spellEnd"/>
      <w:r w:rsidRPr="00141834">
        <w:rPr>
          <w:rFonts w:ascii="Garamond" w:hAnsi="Garamond"/>
        </w:rPr>
        <w:t xml:space="preserve">, H., </w:t>
      </w:r>
      <w:proofErr w:type="spellStart"/>
      <w:r w:rsidRPr="00141834">
        <w:rPr>
          <w:rFonts w:ascii="Garamond" w:hAnsi="Garamond"/>
        </w:rPr>
        <w:t>Makhija</w:t>
      </w:r>
      <w:proofErr w:type="spellEnd"/>
      <w:r w:rsidRPr="00141834">
        <w:rPr>
          <w:rFonts w:ascii="Garamond" w:hAnsi="Garamond"/>
        </w:rPr>
        <w:t xml:space="preserve">, A. K., </w:t>
      </w:r>
      <w:proofErr w:type="spellStart"/>
      <w:r w:rsidRPr="00141834">
        <w:rPr>
          <w:rFonts w:ascii="Garamond" w:hAnsi="Garamond"/>
        </w:rPr>
        <w:t>Yonker</w:t>
      </w:r>
      <w:proofErr w:type="spellEnd"/>
      <w:r w:rsidRPr="00141834">
        <w:rPr>
          <w:rFonts w:ascii="Garamond" w:hAnsi="Garamond"/>
        </w:rPr>
        <w:t xml:space="preserve">, S.E. (2012). </w:t>
      </w:r>
      <w:proofErr w:type="spellStart"/>
      <w:r w:rsidRPr="00141834">
        <w:rPr>
          <w:rFonts w:ascii="Garamond" w:hAnsi="Garamond"/>
        </w:rPr>
        <w:t>Behavioral</w:t>
      </w:r>
      <w:proofErr w:type="spellEnd"/>
      <w:r w:rsidRPr="00141834">
        <w:rPr>
          <w:rFonts w:ascii="Garamond" w:hAnsi="Garamond"/>
        </w:rPr>
        <w:t xml:space="preserve"> consistency in corporate finance: CEO personal and corporate leverage. </w:t>
      </w:r>
      <w:r w:rsidRPr="00141834">
        <w:rPr>
          <w:rFonts w:ascii="Garamond" w:hAnsi="Garamond"/>
          <w:i/>
        </w:rPr>
        <w:t>Journal of Financial Economics</w:t>
      </w:r>
      <w:r w:rsidRPr="00141834">
        <w:rPr>
          <w:rFonts w:ascii="Garamond" w:hAnsi="Garamond"/>
        </w:rPr>
        <w:t>, 103 (1), 20-40.</w:t>
      </w:r>
    </w:p>
    <w:p w:rsidR="00EC2159" w:rsidRPr="00141834" w:rsidRDefault="00EC2159" w:rsidP="00EC2159">
      <w:pPr>
        <w:ind w:left="720" w:hanging="720"/>
        <w:jc w:val="both"/>
        <w:rPr>
          <w:rFonts w:ascii="Garamond" w:hAnsi="Garamond"/>
        </w:rPr>
      </w:pPr>
      <w:proofErr w:type="spellStart"/>
      <w:r w:rsidRPr="00141834">
        <w:rPr>
          <w:rFonts w:ascii="Garamond" w:hAnsi="Garamond"/>
        </w:rPr>
        <w:lastRenderedPageBreak/>
        <w:t>Croson</w:t>
      </w:r>
      <w:proofErr w:type="spellEnd"/>
      <w:r w:rsidRPr="00141834">
        <w:rPr>
          <w:rFonts w:ascii="Garamond" w:hAnsi="Garamond"/>
        </w:rPr>
        <w:t xml:space="preserve">, R., </w:t>
      </w:r>
      <w:proofErr w:type="spellStart"/>
      <w:r w:rsidRPr="00141834">
        <w:rPr>
          <w:rFonts w:ascii="Garamond" w:hAnsi="Garamond"/>
        </w:rPr>
        <w:t>Gneezy</w:t>
      </w:r>
      <w:proofErr w:type="spellEnd"/>
      <w:r w:rsidRPr="00141834">
        <w:rPr>
          <w:rFonts w:ascii="Garamond" w:hAnsi="Garamond"/>
        </w:rPr>
        <w:t xml:space="preserve">, U. (2009). </w:t>
      </w:r>
      <w:proofErr w:type="gramStart"/>
      <w:r w:rsidRPr="00141834">
        <w:rPr>
          <w:rFonts w:ascii="Garamond" w:hAnsi="Garamond"/>
        </w:rPr>
        <w:t>Gender differences in preferences</w:t>
      </w:r>
      <w:r w:rsidR="00987C74">
        <w:rPr>
          <w:rFonts w:ascii="Garamond" w:hAnsi="Garamond"/>
        </w:rPr>
        <w:t>.</w:t>
      </w:r>
      <w:proofErr w:type="gramEnd"/>
      <w:r w:rsidR="00987C74" w:rsidRPr="00141834">
        <w:rPr>
          <w:rFonts w:ascii="Garamond" w:hAnsi="Garamond"/>
        </w:rPr>
        <w:t xml:space="preserve"> </w:t>
      </w:r>
      <w:r w:rsidRPr="00141834">
        <w:rPr>
          <w:rFonts w:ascii="Garamond" w:hAnsi="Garamond"/>
          <w:i/>
        </w:rPr>
        <w:t>Journal of Economic Literature</w:t>
      </w:r>
      <w:r w:rsidRPr="00141834">
        <w:rPr>
          <w:rFonts w:ascii="Garamond" w:hAnsi="Garamond"/>
        </w:rPr>
        <w:t>, 47 (2), 448</w:t>
      </w:r>
      <w:r w:rsidR="00D57A4B" w:rsidRPr="00141834">
        <w:rPr>
          <w:rFonts w:ascii="Garamond" w:hAnsi="Garamond"/>
        </w:rPr>
        <w:t>-</w:t>
      </w:r>
      <w:r w:rsidRPr="00141834">
        <w:rPr>
          <w:rFonts w:ascii="Garamond" w:hAnsi="Garamond"/>
        </w:rPr>
        <w:t>474.</w:t>
      </w:r>
    </w:p>
    <w:p w:rsidR="00EC2159" w:rsidRPr="00141834" w:rsidRDefault="00EC2159" w:rsidP="00EC2159">
      <w:pPr>
        <w:ind w:left="720" w:hanging="720"/>
        <w:jc w:val="both"/>
        <w:rPr>
          <w:rFonts w:ascii="Garamond" w:hAnsi="Garamond"/>
        </w:rPr>
      </w:pPr>
      <w:r w:rsidRPr="00141834">
        <w:rPr>
          <w:rFonts w:ascii="Garamond" w:hAnsi="Garamond"/>
        </w:rPr>
        <w:t>Cumming, D., Leung, T. Y.</w:t>
      </w:r>
      <w:r w:rsidR="00987C74">
        <w:rPr>
          <w:rFonts w:ascii="Garamond" w:hAnsi="Garamond"/>
        </w:rPr>
        <w:t>,</w:t>
      </w:r>
      <w:r w:rsidRPr="00141834">
        <w:rPr>
          <w:rFonts w:ascii="Garamond" w:hAnsi="Garamond"/>
        </w:rPr>
        <w:t xml:space="preserve"> </w:t>
      </w:r>
      <w:proofErr w:type="spellStart"/>
      <w:r w:rsidRPr="00141834">
        <w:rPr>
          <w:rFonts w:ascii="Garamond" w:hAnsi="Garamond"/>
        </w:rPr>
        <w:t>Rui</w:t>
      </w:r>
      <w:proofErr w:type="spellEnd"/>
      <w:r w:rsidRPr="00141834">
        <w:rPr>
          <w:rFonts w:ascii="Garamond" w:hAnsi="Garamond"/>
        </w:rPr>
        <w:t xml:space="preserve">, O. (2015). </w:t>
      </w:r>
      <w:proofErr w:type="gramStart"/>
      <w:r w:rsidRPr="00141834">
        <w:rPr>
          <w:rFonts w:ascii="Garamond" w:hAnsi="Garamond"/>
        </w:rPr>
        <w:t xml:space="preserve">Gender </w:t>
      </w:r>
      <w:r w:rsidR="00987C74">
        <w:rPr>
          <w:rFonts w:ascii="Garamond" w:hAnsi="Garamond"/>
        </w:rPr>
        <w:t>d</w:t>
      </w:r>
      <w:r w:rsidR="00987C74" w:rsidRPr="00141834">
        <w:rPr>
          <w:rFonts w:ascii="Garamond" w:hAnsi="Garamond"/>
        </w:rPr>
        <w:t xml:space="preserve">iversity </w:t>
      </w:r>
      <w:r w:rsidRPr="00141834">
        <w:rPr>
          <w:rFonts w:ascii="Garamond" w:hAnsi="Garamond"/>
        </w:rPr>
        <w:t xml:space="preserve">and </w:t>
      </w:r>
      <w:r w:rsidR="00987C74">
        <w:rPr>
          <w:rFonts w:ascii="Garamond" w:hAnsi="Garamond"/>
        </w:rPr>
        <w:t>s</w:t>
      </w:r>
      <w:r w:rsidR="00987C74" w:rsidRPr="00141834">
        <w:rPr>
          <w:rFonts w:ascii="Garamond" w:hAnsi="Garamond"/>
        </w:rPr>
        <w:t xml:space="preserve">ecurities </w:t>
      </w:r>
      <w:r w:rsidR="00987C74">
        <w:rPr>
          <w:rFonts w:ascii="Garamond" w:hAnsi="Garamond"/>
        </w:rPr>
        <w:t>f</w:t>
      </w:r>
      <w:r w:rsidR="00987C74" w:rsidRPr="00141834">
        <w:rPr>
          <w:rFonts w:ascii="Garamond" w:hAnsi="Garamond"/>
        </w:rPr>
        <w:t>raud</w:t>
      </w:r>
      <w:r w:rsidRPr="00141834">
        <w:rPr>
          <w:rFonts w:ascii="Garamond" w:hAnsi="Garamond"/>
        </w:rPr>
        <w:t>.</w:t>
      </w:r>
      <w:proofErr w:type="gramEnd"/>
      <w:r w:rsidRPr="00141834">
        <w:rPr>
          <w:rFonts w:ascii="Garamond" w:hAnsi="Garamond"/>
        </w:rPr>
        <w:t xml:space="preserve"> </w:t>
      </w:r>
      <w:r w:rsidRPr="00141834">
        <w:rPr>
          <w:rFonts w:ascii="Garamond" w:hAnsi="Garamond"/>
          <w:i/>
          <w:iCs/>
        </w:rPr>
        <w:t>Academy of Management Journal</w:t>
      </w:r>
      <w:r w:rsidRPr="00141834">
        <w:rPr>
          <w:rFonts w:ascii="Garamond" w:hAnsi="Garamond"/>
        </w:rPr>
        <w:t>, 58 (5</w:t>
      </w:r>
      <w:r w:rsidR="00987C74" w:rsidRPr="00141834">
        <w:rPr>
          <w:rFonts w:ascii="Garamond" w:hAnsi="Garamond"/>
        </w:rPr>
        <w:t>)</w:t>
      </w:r>
      <w:r w:rsidR="00987C74">
        <w:rPr>
          <w:rFonts w:ascii="Garamond" w:hAnsi="Garamond"/>
        </w:rPr>
        <w:t>,</w:t>
      </w:r>
      <w:r w:rsidR="00987C74" w:rsidRPr="00141834">
        <w:rPr>
          <w:rFonts w:ascii="Garamond" w:hAnsi="Garamond"/>
        </w:rPr>
        <w:t xml:space="preserve"> </w:t>
      </w:r>
      <w:r w:rsidRPr="00141834">
        <w:rPr>
          <w:rFonts w:ascii="Garamond" w:hAnsi="Garamond"/>
        </w:rPr>
        <w:t>1572-1593.</w:t>
      </w:r>
    </w:p>
    <w:p w:rsidR="00EC2159" w:rsidRPr="00141834" w:rsidRDefault="00EC2159" w:rsidP="00EC2159">
      <w:pPr>
        <w:ind w:left="720" w:hanging="720"/>
        <w:jc w:val="both"/>
        <w:rPr>
          <w:rFonts w:ascii="Garamond" w:hAnsi="Garamond"/>
        </w:rPr>
      </w:pPr>
      <w:proofErr w:type="spellStart"/>
      <w:r w:rsidRPr="00141834">
        <w:rPr>
          <w:rFonts w:ascii="Garamond" w:hAnsi="Garamond"/>
        </w:rPr>
        <w:t>Eckbo</w:t>
      </w:r>
      <w:proofErr w:type="spellEnd"/>
      <w:r w:rsidRPr="00141834">
        <w:rPr>
          <w:rFonts w:ascii="Garamond" w:hAnsi="Garamond"/>
        </w:rPr>
        <w:t xml:space="preserve">, B. E., </w:t>
      </w:r>
      <w:proofErr w:type="spellStart"/>
      <w:r w:rsidRPr="00141834">
        <w:rPr>
          <w:rFonts w:ascii="Garamond" w:hAnsi="Garamond"/>
        </w:rPr>
        <w:t>Thorburn</w:t>
      </w:r>
      <w:proofErr w:type="spellEnd"/>
      <w:r w:rsidRPr="00141834">
        <w:rPr>
          <w:rFonts w:ascii="Garamond" w:hAnsi="Garamond"/>
        </w:rPr>
        <w:t xml:space="preserve">, K. S. (2003). Control benefits and CEO discipline in automatic bankruptcy auctions. </w:t>
      </w:r>
      <w:r w:rsidRPr="00141834">
        <w:rPr>
          <w:rFonts w:ascii="Garamond" w:hAnsi="Garamond"/>
          <w:i/>
        </w:rPr>
        <w:t>Journal of Financial Economics</w:t>
      </w:r>
      <w:r w:rsidRPr="00141834">
        <w:rPr>
          <w:rFonts w:ascii="Garamond" w:hAnsi="Garamond"/>
        </w:rPr>
        <w:t>, 69 (1), 227-258.</w:t>
      </w:r>
    </w:p>
    <w:p w:rsidR="00EC2159" w:rsidRPr="00141834" w:rsidRDefault="00EC2159" w:rsidP="00EC2159">
      <w:pPr>
        <w:ind w:left="720" w:hanging="720"/>
        <w:jc w:val="both"/>
        <w:rPr>
          <w:rFonts w:ascii="Garamond" w:hAnsi="Garamond"/>
        </w:rPr>
      </w:pPr>
      <w:proofErr w:type="spellStart"/>
      <w:proofErr w:type="gramStart"/>
      <w:r w:rsidRPr="00141834">
        <w:rPr>
          <w:rFonts w:ascii="Garamond" w:hAnsi="Garamond"/>
        </w:rPr>
        <w:t>Faccio</w:t>
      </w:r>
      <w:proofErr w:type="spellEnd"/>
      <w:r w:rsidRPr="00141834">
        <w:rPr>
          <w:rFonts w:ascii="Garamond" w:hAnsi="Garamond"/>
        </w:rPr>
        <w:t xml:space="preserve">, M., </w:t>
      </w:r>
      <w:proofErr w:type="spellStart"/>
      <w:r w:rsidRPr="00141834">
        <w:rPr>
          <w:rFonts w:ascii="Garamond" w:hAnsi="Garamond"/>
        </w:rPr>
        <w:t>Marchica</w:t>
      </w:r>
      <w:proofErr w:type="spellEnd"/>
      <w:r w:rsidRPr="00141834">
        <w:rPr>
          <w:rFonts w:ascii="Garamond" w:hAnsi="Garamond"/>
        </w:rPr>
        <w:t>, M. T., Mura, R. (2016).</w:t>
      </w:r>
      <w:proofErr w:type="gramEnd"/>
      <w:r w:rsidRPr="00141834">
        <w:rPr>
          <w:rFonts w:ascii="Garamond" w:hAnsi="Garamond"/>
        </w:rPr>
        <w:t xml:space="preserve"> </w:t>
      </w:r>
      <w:proofErr w:type="gramStart"/>
      <w:r w:rsidRPr="00141834">
        <w:rPr>
          <w:rFonts w:ascii="Garamond" w:hAnsi="Garamond"/>
        </w:rPr>
        <w:t>CEO gender, corporate risk-taking, and the efficiency of capital allocation.</w:t>
      </w:r>
      <w:proofErr w:type="gramEnd"/>
      <w:r w:rsidRPr="00141834">
        <w:rPr>
          <w:rFonts w:ascii="Garamond" w:hAnsi="Garamond"/>
        </w:rPr>
        <w:t xml:space="preserve"> </w:t>
      </w:r>
      <w:r w:rsidRPr="00141834">
        <w:rPr>
          <w:rFonts w:ascii="Garamond" w:hAnsi="Garamond"/>
          <w:i/>
        </w:rPr>
        <w:t>Journal of Corporate Finance</w:t>
      </w:r>
      <w:r w:rsidRPr="00141834">
        <w:rPr>
          <w:rFonts w:ascii="Garamond" w:hAnsi="Garamond"/>
        </w:rPr>
        <w:t>, 39, 192-209.</w:t>
      </w:r>
    </w:p>
    <w:p w:rsidR="00EC2159" w:rsidRPr="00141834" w:rsidRDefault="00EC2159" w:rsidP="00EC2159">
      <w:pPr>
        <w:ind w:left="720" w:hanging="720"/>
        <w:jc w:val="both"/>
        <w:rPr>
          <w:rFonts w:ascii="Garamond" w:hAnsi="Garamond" w:cs="Segoe UI"/>
          <w:lang w:val="en-US"/>
        </w:rPr>
      </w:pPr>
      <w:r w:rsidRPr="00141834">
        <w:rPr>
          <w:rFonts w:ascii="Garamond" w:hAnsi="Garamond" w:cs="Segoe UI"/>
          <w:lang w:val="en-US"/>
        </w:rPr>
        <w:t xml:space="preserve">Fang, Y., Francis, B., </w:t>
      </w:r>
      <w:proofErr w:type="spellStart"/>
      <w:r w:rsidRPr="00141834">
        <w:rPr>
          <w:rFonts w:ascii="Garamond" w:hAnsi="Garamond" w:cs="Segoe UI"/>
          <w:lang w:val="en-US"/>
        </w:rPr>
        <w:t>Hasan</w:t>
      </w:r>
      <w:proofErr w:type="spellEnd"/>
      <w:r w:rsidRPr="00141834">
        <w:rPr>
          <w:rFonts w:ascii="Garamond" w:hAnsi="Garamond" w:cs="Segoe UI"/>
          <w:lang w:val="en-US"/>
        </w:rPr>
        <w:t xml:space="preserve">, I. (2018). Differences make a difference: Diversity in social learning and value creation. </w:t>
      </w:r>
      <w:r w:rsidRPr="00141834">
        <w:rPr>
          <w:rFonts w:ascii="Garamond" w:hAnsi="Garamond" w:cs="Segoe UI"/>
          <w:i/>
          <w:iCs/>
          <w:lang w:val="en-US"/>
        </w:rPr>
        <w:t>Journal of Corporate Finance</w:t>
      </w:r>
      <w:r w:rsidRPr="00141834">
        <w:rPr>
          <w:rFonts w:ascii="Garamond" w:hAnsi="Garamond" w:cs="Segoe UI"/>
          <w:lang w:val="en-US"/>
        </w:rPr>
        <w:t>, 48, 474-491.</w:t>
      </w:r>
    </w:p>
    <w:p w:rsidR="00EC2159" w:rsidRPr="00141834" w:rsidRDefault="00EC2159" w:rsidP="00EC2159">
      <w:pPr>
        <w:ind w:left="720" w:hanging="720"/>
        <w:jc w:val="both"/>
        <w:rPr>
          <w:rFonts w:ascii="Garamond" w:hAnsi="Garamond"/>
        </w:rPr>
      </w:pPr>
      <w:proofErr w:type="spellStart"/>
      <w:proofErr w:type="gramStart"/>
      <w:r w:rsidRPr="00141834">
        <w:rPr>
          <w:rFonts w:ascii="Garamond" w:hAnsi="Garamond" w:cs="Segoe UI"/>
          <w:lang w:val="en-US"/>
        </w:rPr>
        <w:t>Feng</w:t>
      </w:r>
      <w:proofErr w:type="spellEnd"/>
      <w:r w:rsidRPr="00141834">
        <w:rPr>
          <w:rFonts w:ascii="Garamond" w:hAnsi="Garamond" w:cs="Segoe UI"/>
          <w:lang w:val="en-US"/>
        </w:rPr>
        <w:t xml:space="preserve">, M., </w:t>
      </w:r>
      <w:proofErr w:type="spellStart"/>
      <w:r w:rsidRPr="00141834">
        <w:rPr>
          <w:rFonts w:ascii="Garamond" w:hAnsi="Garamond" w:cs="Segoe UI"/>
          <w:lang w:val="en-US"/>
        </w:rPr>
        <w:t>Ge</w:t>
      </w:r>
      <w:proofErr w:type="spellEnd"/>
      <w:r w:rsidRPr="00141834">
        <w:rPr>
          <w:rFonts w:ascii="Garamond" w:hAnsi="Garamond" w:cs="Segoe UI"/>
          <w:lang w:val="en-US"/>
        </w:rPr>
        <w:t xml:space="preserve">, W., </w:t>
      </w:r>
      <w:proofErr w:type="spellStart"/>
      <w:r w:rsidRPr="00141834">
        <w:rPr>
          <w:rFonts w:ascii="Garamond" w:hAnsi="Garamond" w:cs="Segoe UI"/>
          <w:lang w:val="en-US"/>
        </w:rPr>
        <w:t>Luo</w:t>
      </w:r>
      <w:proofErr w:type="spellEnd"/>
      <w:r w:rsidRPr="00141834">
        <w:rPr>
          <w:rFonts w:ascii="Garamond" w:hAnsi="Garamond" w:cs="Segoe UI"/>
          <w:lang w:val="en-US"/>
        </w:rPr>
        <w:t xml:space="preserve">, S., </w:t>
      </w:r>
      <w:proofErr w:type="spellStart"/>
      <w:r w:rsidRPr="00141834">
        <w:rPr>
          <w:rFonts w:ascii="Garamond" w:hAnsi="Garamond" w:cs="Segoe UI"/>
          <w:lang w:val="en-US"/>
        </w:rPr>
        <w:t>Shevlin</w:t>
      </w:r>
      <w:proofErr w:type="spellEnd"/>
      <w:r w:rsidRPr="00141834">
        <w:rPr>
          <w:rFonts w:ascii="Garamond" w:hAnsi="Garamond" w:cs="Segoe UI"/>
          <w:lang w:val="en-US"/>
        </w:rPr>
        <w:t>, T. (2011).</w:t>
      </w:r>
      <w:proofErr w:type="gramEnd"/>
      <w:r w:rsidRPr="00141834">
        <w:rPr>
          <w:rFonts w:ascii="Garamond" w:hAnsi="Garamond" w:cs="Segoe UI"/>
          <w:lang w:val="en-US"/>
        </w:rPr>
        <w:t xml:space="preserve"> Why do CFOs become involved in material accounting manipulations? </w:t>
      </w:r>
      <w:r w:rsidRPr="00141834">
        <w:rPr>
          <w:rFonts w:ascii="Garamond" w:hAnsi="Garamond" w:cs="Segoe UI"/>
          <w:i/>
          <w:iCs/>
          <w:lang w:val="en-US"/>
        </w:rPr>
        <w:t>Journal of Accounting and Economics</w:t>
      </w:r>
      <w:r w:rsidRPr="00141834">
        <w:rPr>
          <w:rFonts w:ascii="Garamond" w:hAnsi="Garamond" w:cs="Segoe UI"/>
          <w:lang w:val="en-US"/>
        </w:rPr>
        <w:t>, 51, 21-36.</w:t>
      </w:r>
    </w:p>
    <w:p w:rsidR="00EC2159" w:rsidRPr="00141834" w:rsidRDefault="00EC2159" w:rsidP="00EC2159">
      <w:pPr>
        <w:ind w:left="720" w:hanging="720"/>
        <w:jc w:val="both"/>
        <w:rPr>
          <w:rFonts w:ascii="Garamond" w:hAnsi="Garamond"/>
        </w:rPr>
      </w:pPr>
      <w:proofErr w:type="gramStart"/>
      <w:r w:rsidRPr="00141834">
        <w:rPr>
          <w:rFonts w:ascii="Garamond" w:hAnsi="Garamond"/>
        </w:rPr>
        <w:t>Finkelstein, S. (1992).</w:t>
      </w:r>
      <w:proofErr w:type="gramEnd"/>
      <w:r w:rsidRPr="00141834">
        <w:rPr>
          <w:rFonts w:ascii="Garamond" w:hAnsi="Garamond"/>
        </w:rPr>
        <w:t xml:space="preserve"> Power in top management teams: </w:t>
      </w:r>
      <w:r w:rsidR="00D57A4B">
        <w:rPr>
          <w:rFonts w:ascii="Garamond" w:hAnsi="Garamond"/>
        </w:rPr>
        <w:t>D</w:t>
      </w:r>
      <w:r w:rsidR="00D57A4B" w:rsidRPr="00141834">
        <w:rPr>
          <w:rFonts w:ascii="Garamond" w:hAnsi="Garamond"/>
        </w:rPr>
        <w:t>imensions</w:t>
      </w:r>
      <w:r w:rsidRPr="00141834">
        <w:rPr>
          <w:rFonts w:ascii="Garamond" w:hAnsi="Garamond"/>
        </w:rPr>
        <w:t xml:space="preserve">, measurement, and validation. </w:t>
      </w:r>
      <w:r w:rsidRPr="00141834">
        <w:rPr>
          <w:rFonts w:ascii="Garamond" w:hAnsi="Garamond"/>
          <w:i/>
        </w:rPr>
        <w:t>Academy of Management Journal</w:t>
      </w:r>
      <w:r w:rsidRPr="00141834">
        <w:rPr>
          <w:rFonts w:ascii="Garamond" w:hAnsi="Garamond"/>
        </w:rPr>
        <w:t>, 35, 505</w:t>
      </w:r>
      <w:r w:rsidR="00D57A4B" w:rsidRPr="00141834">
        <w:rPr>
          <w:rFonts w:ascii="Garamond" w:hAnsi="Garamond"/>
        </w:rPr>
        <w:t>-</w:t>
      </w:r>
      <w:r w:rsidRPr="00141834">
        <w:rPr>
          <w:rFonts w:ascii="Garamond" w:hAnsi="Garamond"/>
        </w:rPr>
        <w:t>538.</w:t>
      </w:r>
    </w:p>
    <w:p w:rsidR="00EC2159" w:rsidRPr="00141834" w:rsidRDefault="00EC2159" w:rsidP="00EC2159">
      <w:pPr>
        <w:ind w:left="720" w:hanging="720"/>
        <w:jc w:val="both"/>
        <w:rPr>
          <w:rFonts w:ascii="Garamond" w:hAnsi="Garamond"/>
        </w:rPr>
      </w:pPr>
      <w:proofErr w:type="spellStart"/>
      <w:r w:rsidRPr="00141834">
        <w:rPr>
          <w:rFonts w:ascii="Garamond" w:hAnsi="Garamond"/>
        </w:rPr>
        <w:t>Florackis</w:t>
      </w:r>
      <w:proofErr w:type="spellEnd"/>
      <w:r w:rsidRPr="00141834">
        <w:rPr>
          <w:rFonts w:ascii="Garamond" w:hAnsi="Garamond"/>
        </w:rPr>
        <w:t xml:space="preserve">, C., </w:t>
      </w:r>
      <w:proofErr w:type="spellStart"/>
      <w:r w:rsidRPr="00141834">
        <w:rPr>
          <w:rFonts w:ascii="Garamond" w:hAnsi="Garamond"/>
        </w:rPr>
        <w:t>Sainani</w:t>
      </w:r>
      <w:proofErr w:type="spellEnd"/>
      <w:r w:rsidRPr="00141834">
        <w:rPr>
          <w:rFonts w:ascii="Garamond" w:hAnsi="Garamond"/>
        </w:rPr>
        <w:t xml:space="preserve">, S. (2018). How do chief financial officers influence corporate cash policies? </w:t>
      </w:r>
      <w:r w:rsidRPr="00141834">
        <w:rPr>
          <w:rFonts w:ascii="Garamond" w:hAnsi="Garamond"/>
          <w:i/>
        </w:rPr>
        <w:t>Journal of Corporate Finance</w:t>
      </w:r>
      <w:r w:rsidRPr="00141834">
        <w:rPr>
          <w:rFonts w:ascii="Garamond" w:hAnsi="Garamond"/>
        </w:rPr>
        <w:t>, 52, 168-191.</w:t>
      </w:r>
    </w:p>
    <w:p w:rsidR="00EC2159" w:rsidRPr="00141834" w:rsidRDefault="00EC2159" w:rsidP="00EC2159">
      <w:pPr>
        <w:ind w:left="720" w:hanging="720"/>
        <w:jc w:val="both"/>
        <w:rPr>
          <w:rFonts w:ascii="Garamond" w:hAnsi="Garamond"/>
        </w:rPr>
      </w:pPr>
      <w:r w:rsidRPr="00141834">
        <w:rPr>
          <w:rFonts w:ascii="Garamond" w:hAnsi="Garamond"/>
        </w:rPr>
        <w:t xml:space="preserve">Francis, B., </w:t>
      </w:r>
      <w:proofErr w:type="spellStart"/>
      <w:r w:rsidRPr="00141834">
        <w:rPr>
          <w:rFonts w:ascii="Garamond" w:hAnsi="Garamond"/>
        </w:rPr>
        <w:t>Hasan</w:t>
      </w:r>
      <w:proofErr w:type="spellEnd"/>
      <w:r w:rsidRPr="00141834">
        <w:rPr>
          <w:rFonts w:ascii="Garamond" w:hAnsi="Garamond"/>
        </w:rPr>
        <w:t xml:space="preserve">, I., Wu, Q. (2013). </w:t>
      </w:r>
      <w:proofErr w:type="gramStart"/>
      <w:r w:rsidRPr="00141834">
        <w:rPr>
          <w:rFonts w:ascii="Garamond" w:hAnsi="Garamond"/>
        </w:rPr>
        <w:t>The impact of CFO gender on bank loan contracting.</w:t>
      </w:r>
      <w:proofErr w:type="gramEnd"/>
      <w:r w:rsidRPr="00141834">
        <w:rPr>
          <w:rFonts w:ascii="Garamond" w:hAnsi="Garamond"/>
        </w:rPr>
        <w:t xml:space="preserve"> </w:t>
      </w:r>
      <w:proofErr w:type="gramStart"/>
      <w:r w:rsidRPr="00141834">
        <w:rPr>
          <w:rFonts w:ascii="Garamond" w:hAnsi="Garamond"/>
          <w:i/>
        </w:rPr>
        <w:t>Journal of Accounting, Auditing and Finance,</w:t>
      </w:r>
      <w:r w:rsidRPr="00141834">
        <w:rPr>
          <w:rFonts w:ascii="Garamond" w:hAnsi="Garamond"/>
        </w:rPr>
        <w:t xml:space="preserve"> 28, 53</w:t>
      </w:r>
      <w:r w:rsidR="00D57A4B" w:rsidRPr="00141834">
        <w:rPr>
          <w:rFonts w:ascii="Garamond" w:hAnsi="Garamond"/>
        </w:rPr>
        <w:t>-</w:t>
      </w:r>
      <w:r w:rsidRPr="00141834">
        <w:rPr>
          <w:rFonts w:ascii="Garamond" w:hAnsi="Garamond"/>
        </w:rPr>
        <w:t>78.</w:t>
      </w:r>
      <w:proofErr w:type="gramEnd"/>
    </w:p>
    <w:p w:rsidR="00EC2159" w:rsidRPr="00141834" w:rsidRDefault="00EC2159" w:rsidP="00EC2159">
      <w:pPr>
        <w:ind w:left="720" w:hanging="720"/>
        <w:jc w:val="both"/>
        <w:rPr>
          <w:rFonts w:ascii="Garamond" w:hAnsi="Garamond"/>
        </w:rPr>
      </w:pPr>
      <w:r w:rsidRPr="00141834">
        <w:rPr>
          <w:rFonts w:ascii="Garamond" w:hAnsi="Garamond"/>
        </w:rPr>
        <w:t xml:space="preserve">Francis, B., </w:t>
      </w:r>
      <w:proofErr w:type="spellStart"/>
      <w:r w:rsidRPr="00141834">
        <w:rPr>
          <w:rFonts w:ascii="Garamond" w:hAnsi="Garamond"/>
        </w:rPr>
        <w:t>Hasan</w:t>
      </w:r>
      <w:proofErr w:type="spellEnd"/>
      <w:r w:rsidRPr="00141834">
        <w:rPr>
          <w:rFonts w:ascii="Garamond" w:hAnsi="Garamond"/>
        </w:rPr>
        <w:t xml:space="preserve">, I., Park, J. C., Wu, Q. (2015). Gender differences in financial reporting decision making: Evidence from accounting conservatism. </w:t>
      </w:r>
      <w:r w:rsidRPr="00141834">
        <w:rPr>
          <w:rFonts w:ascii="Garamond" w:hAnsi="Garamond"/>
          <w:i/>
        </w:rPr>
        <w:t>Contemporary Accounting Research</w:t>
      </w:r>
      <w:r w:rsidRPr="00141834">
        <w:rPr>
          <w:rFonts w:ascii="Garamond" w:hAnsi="Garamond"/>
        </w:rPr>
        <w:t>, 32, 1285</w:t>
      </w:r>
      <w:r w:rsidR="00D57A4B" w:rsidRPr="00141834">
        <w:rPr>
          <w:rFonts w:ascii="Garamond" w:hAnsi="Garamond"/>
        </w:rPr>
        <w:t>-</w:t>
      </w:r>
      <w:r w:rsidRPr="00141834">
        <w:rPr>
          <w:rFonts w:ascii="Garamond" w:hAnsi="Garamond"/>
        </w:rPr>
        <w:t>1318.</w:t>
      </w:r>
    </w:p>
    <w:p w:rsidR="00EC2159" w:rsidRPr="00141834" w:rsidRDefault="00EC2159" w:rsidP="00EC2159">
      <w:pPr>
        <w:ind w:left="720" w:hanging="720"/>
        <w:jc w:val="both"/>
        <w:rPr>
          <w:rFonts w:ascii="Garamond" w:hAnsi="Garamond"/>
        </w:rPr>
      </w:pPr>
      <w:r w:rsidRPr="00141834">
        <w:rPr>
          <w:rFonts w:ascii="Garamond" w:hAnsi="Garamond"/>
        </w:rPr>
        <w:t>Frank, M. Z.</w:t>
      </w:r>
      <w:r w:rsidR="00987C74">
        <w:rPr>
          <w:rFonts w:ascii="Garamond" w:hAnsi="Garamond"/>
        </w:rPr>
        <w:t>,</w:t>
      </w:r>
      <w:r w:rsidRPr="00141834">
        <w:rPr>
          <w:rFonts w:ascii="Garamond" w:hAnsi="Garamond"/>
        </w:rPr>
        <w:t xml:space="preserve"> </w:t>
      </w:r>
      <w:proofErr w:type="spellStart"/>
      <w:r w:rsidRPr="00141834">
        <w:rPr>
          <w:rFonts w:ascii="Garamond" w:hAnsi="Garamond"/>
        </w:rPr>
        <w:t>Goyal</w:t>
      </w:r>
      <w:proofErr w:type="spellEnd"/>
      <w:r w:rsidRPr="00141834">
        <w:rPr>
          <w:rFonts w:ascii="Garamond" w:hAnsi="Garamond"/>
        </w:rPr>
        <w:t xml:space="preserve">, V. K. (2007). Corporate leverage: How much do managers really matter? </w:t>
      </w:r>
      <w:proofErr w:type="gramStart"/>
      <w:r w:rsidRPr="00141834">
        <w:rPr>
          <w:rFonts w:ascii="Garamond" w:hAnsi="Garamond"/>
          <w:i/>
        </w:rPr>
        <w:t>Working paper</w:t>
      </w:r>
      <w:r w:rsidRPr="00141834">
        <w:rPr>
          <w:rFonts w:ascii="Garamond" w:hAnsi="Garamond"/>
        </w:rPr>
        <w:t>.</w:t>
      </w:r>
      <w:proofErr w:type="gramEnd"/>
    </w:p>
    <w:p w:rsidR="00EC2159" w:rsidRPr="00141834" w:rsidRDefault="00EC2159" w:rsidP="00EC2159">
      <w:pPr>
        <w:ind w:left="720" w:hanging="720"/>
        <w:jc w:val="both"/>
        <w:rPr>
          <w:rFonts w:ascii="Garamond" w:hAnsi="Garamond"/>
        </w:rPr>
      </w:pPr>
      <w:r w:rsidRPr="00141834">
        <w:rPr>
          <w:rFonts w:ascii="Garamond" w:hAnsi="Garamond"/>
        </w:rPr>
        <w:t xml:space="preserve">Friedman, H. L. (2014). Implications of power: When the CEO can pressure the CFO to bias reports. </w:t>
      </w:r>
      <w:r w:rsidRPr="00141834">
        <w:rPr>
          <w:rFonts w:ascii="Garamond" w:hAnsi="Garamond"/>
          <w:i/>
        </w:rPr>
        <w:t>Journal of Accounting and Economics</w:t>
      </w:r>
      <w:r w:rsidRPr="00141834">
        <w:rPr>
          <w:rFonts w:ascii="Garamond" w:hAnsi="Garamond"/>
        </w:rPr>
        <w:t>, 58, 117</w:t>
      </w:r>
      <w:r w:rsidR="00D57A4B" w:rsidRPr="00141834">
        <w:rPr>
          <w:rFonts w:ascii="Garamond" w:hAnsi="Garamond"/>
        </w:rPr>
        <w:t>-</w:t>
      </w:r>
      <w:r w:rsidRPr="00141834">
        <w:rPr>
          <w:rFonts w:ascii="Garamond" w:hAnsi="Garamond"/>
        </w:rPr>
        <w:t>141.</w:t>
      </w:r>
    </w:p>
    <w:p w:rsidR="00EC2159" w:rsidRPr="00141834" w:rsidRDefault="00EC2159" w:rsidP="00EC2159">
      <w:pPr>
        <w:ind w:left="720" w:hanging="720"/>
        <w:jc w:val="both"/>
        <w:rPr>
          <w:rFonts w:ascii="Garamond" w:hAnsi="Garamond"/>
        </w:rPr>
      </w:pPr>
      <w:proofErr w:type="gramStart"/>
      <w:r w:rsidRPr="00141834">
        <w:rPr>
          <w:rFonts w:ascii="Garamond" w:hAnsi="Garamond"/>
        </w:rPr>
        <w:t xml:space="preserve">Garcia Lara, J. M., Garcia </w:t>
      </w:r>
      <w:proofErr w:type="spellStart"/>
      <w:r w:rsidRPr="00141834">
        <w:rPr>
          <w:rFonts w:ascii="Garamond" w:hAnsi="Garamond"/>
        </w:rPr>
        <w:t>Osma</w:t>
      </w:r>
      <w:proofErr w:type="spellEnd"/>
      <w:r w:rsidRPr="00141834">
        <w:rPr>
          <w:rFonts w:ascii="Garamond" w:hAnsi="Garamond"/>
        </w:rPr>
        <w:t>, B., Mora, A.</w:t>
      </w:r>
      <w:r w:rsidR="00987C74">
        <w:rPr>
          <w:rFonts w:ascii="Garamond" w:hAnsi="Garamond"/>
        </w:rPr>
        <w:t>,</w:t>
      </w:r>
      <w:r w:rsidRPr="00141834">
        <w:rPr>
          <w:rFonts w:ascii="Garamond" w:hAnsi="Garamond"/>
        </w:rPr>
        <w:t xml:space="preserve"> </w:t>
      </w:r>
      <w:proofErr w:type="spellStart"/>
      <w:r w:rsidRPr="00141834">
        <w:rPr>
          <w:rFonts w:ascii="Garamond" w:hAnsi="Garamond"/>
        </w:rPr>
        <w:t>Scapin</w:t>
      </w:r>
      <w:proofErr w:type="spellEnd"/>
      <w:r w:rsidRPr="00141834">
        <w:rPr>
          <w:rFonts w:ascii="Garamond" w:hAnsi="Garamond"/>
        </w:rPr>
        <w:t>, M. (2017).</w:t>
      </w:r>
      <w:proofErr w:type="gramEnd"/>
      <w:r w:rsidRPr="00141834">
        <w:rPr>
          <w:rFonts w:ascii="Garamond" w:hAnsi="Garamond"/>
        </w:rPr>
        <w:t xml:space="preserve"> </w:t>
      </w:r>
      <w:proofErr w:type="gramStart"/>
      <w:r w:rsidRPr="00141834">
        <w:rPr>
          <w:rFonts w:ascii="Garamond" w:hAnsi="Garamond"/>
        </w:rPr>
        <w:t>The monitoring role of female directors over accounting quality.</w:t>
      </w:r>
      <w:proofErr w:type="gramEnd"/>
      <w:r w:rsidRPr="00141834">
        <w:rPr>
          <w:rFonts w:ascii="Garamond" w:hAnsi="Garamond"/>
        </w:rPr>
        <w:t xml:space="preserve"> </w:t>
      </w:r>
      <w:r w:rsidRPr="00141834">
        <w:rPr>
          <w:rFonts w:ascii="Garamond" w:hAnsi="Garamond"/>
          <w:i/>
          <w:iCs/>
        </w:rPr>
        <w:t>Journal of Corporate Finance</w:t>
      </w:r>
      <w:r w:rsidRPr="00141834">
        <w:rPr>
          <w:rFonts w:ascii="Garamond" w:hAnsi="Garamond"/>
        </w:rPr>
        <w:t>, 45</w:t>
      </w:r>
      <w:r w:rsidR="00987C74">
        <w:rPr>
          <w:rFonts w:ascii="Garamond" w:hAnsi="Garamond"/>
        </w:rPr>
        <w:t>,</w:t>
      </w:r>
      <w:r w:rsidR="00987C74" w:rsidRPr="00141834">
        <w:rPr>
          <w:rFonts w:ascii="Garamond" w:hAnsi="Garamond"/>
        </w:rPr>
        <w:t xml:space="preserve"> </w:t>
      </w:r>
      <w:r w:rsidRPr="00141834">
        <w:rPr>
          <w:rFonts w:ascii="Garamond" w:hAnsi="Garamond"/>
        </w:rPr>
        <w:t>651-668.</w:t>
      </w:r>
    </w:p>
    <w:p w:rsidR="00EC2159" w:rsidRPr="00141834" w:rsidRDefault="00EC2159" w:rsidP="00EC2159">
      <w:pPr>
        <w:ind w:left="720" w:hanging="720"/>
        <w:jc w:val="both"/>
        <w:rPr>
          <w:rFonts w:ascii="Garamond" w:hAnsi="Garamond"/>
        </w:rPr>
      </w:pPr>
      <w:r w:rsidRPr="00A33204">
        <w:rPr>
          <w:rFonts w:ascii="Garamond" w:hAnsi="Garamond"/>
          <w:lang w:val="de-DE"/>
        </w:rPr>
        <w:t xml:space="preserve">Geiger, </w:t>
      </w:r>
      <w:r w:rsidR="00E12DF8" w:rsidRPr="00A33204">
        <w:rPr>
          <w:rFonts w:ascii="Garamond" w:hAnsi="Garamond"/>
          <w:lang w:val="de-DE"/>
        </w:rPr>
        <w:t xml:space="preserve">M. </w:t>
      </w:r>
      <w:r w:rsidRPr="00A33204">
        <w:rPr>
          <w:rFonts w:ascii="Garamond" w:hAnsi="Garamond"/>
          <w:lang w:val="de-DE"/>
        </w:rPr>
        <w:t xml:space="preserve">A., North, </w:t>
      </w:r>
      <w:r w:rsidR="00E12DF8" w:rsidRPr="00A33204">
        <w:rPr>
          <w:rFonts w:ascii="Garamond" w:hAnsi="Garamond"/>
          <w:lang w:val="de-DE"/>
        </w:rPr>
        <w:t xml:space="preserve">D. </w:t>
      </w:r>
      <w:r w:rsidRPr="00A33204">
        <w:rPr>
          <w:rFonts w:ascii="Garamond" w:hAnsi="Garamond"/>
          <w:lang w:val="de-DE"/>
        </w:rPr>
        <w:t xml:space="preserve">S. (2006). </w:t>
      </w:r>
      <w:r w:rsidRPr="00141834">
        <w:rPr>
          <w:rFonts w:ascii="Garamond" w:hAnsi="Garamond"/>
        </w:rPr>
        <w:t xml:space="preserve">Does hiring a new CFO change things? </w:t>
      </w:r>
      <w:proofErr w:type="gramStart"/>
      <w:r w:rsidRPr="00141834">
        <w:rPr>
          <w:rFonts w:ascii="Garamond" w:hAnsi="Garamond"/>
        </w:rPr>
        <w:t>An investigation of changes in discretionary accruals.</w:t>
      </w:r>
      <w:proofErr w:type="gramEnd"/>
      <w:r w:rsidRPr="00141834">
        <w:rPr>
          <w:rFonts w:ascii="Garamond" w:hAnsi="Garamond"/>
        </w:rPr>
        <w:t xml:space="preserve"> </w:t>
      </w:r>
      <w:proofErr w:type="gramStart"/>
      <w:r w:rsidRPr="00141834">
        <w:rPr>
          <w:rFonts w:ascii="Garamond" w:hAnsi="Garamond"/>
          <w:i/>
        </w:rPr>
        <w:t>Accounting Review</w:t>
      </w:r>
      <w:r w:rsidRPr="00141834">
        <w:rPr>
          <w:rFonts w:ascii="Garamond" w:hAnsi="Garamond"/>
        </w:rPr>
        <w:t>, 81, 781</w:t>
      </w:r>
      <w:r w:rsidR="00AC06C2" w:rsidRPr="00141834">
        <w:rPr>
          <w:rFonts w:ascii="Garamond" w:hAnsi="Garamond"/>
        </w:rPr>
        <w:t>-</w:t>
      </w:r>
      <w:r w:rsidRPr="00141834">
        <w:rPr>
          <w:rFonts w:ascii="Garamond" w:hAnsi="Garamond"/>
        </w:rPr>
        <w:t>809.</w:t>
      </w:r>
      <w:proofErr w:type="gramEnd"/>
    </w:p>
    <w:p w:rsidR="00EC2159" w:rsidRPr="00141834" w:rsidRDefault="00EC2159" w:rsidP="00EC2159">
      <w:pPr>
        <w:ind w:left="720" w:hanging="720"/>
        <w:jc w:val="both"/>
        <w:rPr>
          <w:rFonts w:ascii="Garamond" w:hAnsi="Garamond"/>
        </w:rPr>
      </w:pPr>
      <w:r w:rsidRPr="00141834">
        <w:rPr>
          <w:rFonts w:ascii="Garamond" w:hAnsi="Garamond"/>
        </w:rPr>
        <w:t xml:space="preserve">Gilson, S. C. (1989). </w:t>
      </w:r>
      <w:proofErr w:type="gramStart"/>
      <w:r w:rsidRPr="00141834">
        <w:rPr>
          <w:rFonts w:ascii="Garamond" w:hAnsi="Garamond"/>
        </w:rPr>
        <w:t>Management turnover and financial distress.</w:t>
      </w:r>
      <w:proofErr w:type="gramEnd"/>
      <w:r w:rsidRPr="00141834">
        <w:rPr>
          <w:rFonts w:ascii="Garamond" w:hAnsi="Garamond"/>
        </w:rPr>
        <w:t xml:space="preserve"> </w:t>
      </w:r>
      <w:r w:rsidRPr="00141834">
        <w:rPr>
          <w:rFonts w:ascii="Garamond" w:hAnsi="Garamond"/>
          <w:i/>
        </w:rPr>
        <w:t>Journal of Financial Economics</w:t>
      </w:r>
      <w:r w:rsidRPr="00141834">
        <w:rPr>
          <w:rFonts w:ascii="Garamond" w:hAnsi="Garamond"/>
        </w:rPr>
        <w:t>, 25 (2), 241-262.</w:t>
      </w:r>
    </w:p>
    <w:p w:rsidR="00EC2159" w:rsidRPr="00141834" w:rsidRDefault="00EC2159" w:rsidP="00EC2159">
      <w:pPr>
        <w:ind w:left="720" w:hanging="720"/>
        <w:jc w:val="both"/>
        <w:rPr>
          <w:rFonts w:ascii="Garamond" w:hAnsi="Garamond"/>
        </w:rPr>
      </w:pPr>
      <w:r w:rsidRPr="00141834">
        <w:rPr>
          <w:rFonts w:ascii="Garamond" w:hAnsi="Garamond"/>
        </w:rPr>
        <w:t xml:space="preserve">Gompers, P. A., </w:t>
      </w:r>
      <w:proofErr w:type="spellStart"/>
      <w:r w:rsidRPr="00141834">
        <w:rPr>
          <w:rFonts w:ascii="Garamond" w:hAnsi="Garamond"/>
        </w:rPr>
        <w:t>Mukharlyamov</w:t>
      </w:r>
      <w:proofErr w:type="spellEnd"/>
      <w:r w:rsidRPr="00141834">
        <w:rPr>
          <w:rFonts w:ascii="Garamond" w:hAnsi="Garamond"/>
        </w:rPr>
        <w:t xml:space="preserve">, V., </w:t>
      </w:r>
      <w:proofErr w:type="spellStart"/>
      <w:r w:rsidRPr="00141834">
        <w:rPr>
          <w:rFonts w:ascii="Garamond" w:hAnsi="Garamond"/>
        </w:rPr>
        <w:t>Zuan</w:t>
      </w:r>
      <w:proofErr w:type="spellEnd"/>
      <w:r w:rsidRPr="00141834">
        <w:rPr>
          <w:rFonts w:ascii="Garamond" w:hAnsi="Garamond"/>
        </w:rPr>
        <w:t xml:space="preserve">, Y. (2016). </w:t>
      </w:r>
      <w:proofErr w:type="gramStart"/>
      <w:r w:rsidRPr="00141834">
        <w:rPr>
          <w:rFonts w:ascii="Garamond" w:hAnsi="Garamond"/>
        </w:rPr>
        <w:t>The cost of friendship.</w:t>
      </w:r>
      <w:proofErr w:type="gramEnd"/>
      <w:r w:rsidRPr="00141834">
        <w:rPr>
          <w:rFonts w:ascii="Garamond" w:hAnsi="Garamond"/>
        </w:rPr>
        <w:t xml:space="preserve"> </w:t>
      </w:r>
      <w:r w:rsidRPr="00141834">
        <w:rPr>
          <w:rFonts w:ascii="Garamond" w:hAnsi="Garamond"/>
          <w:i/>
        </w:rPr>
        <w:t>Journal of Financial Economics</w:t>
      </w:r>
      <w:r w:rsidRPr="00141834">
        <w:rPr>
          <w:rFonts w:ascii="Garamond" w:hAnsi="Garamond"/>
        </w:rPr>
        <w:t>, 119 (3), 626-644.</w:t>
      </w:r>
    </w:p>
    <w:p w:rsidR="00EC2159" w:rsidRPr="00141834" w:rsidRDefault="00EC2159" w:rsidP="00EC2159">
      <w:pPr>
        <w:ind w:left="720" w:hanging="720"/>
        <w:jc w:val="both"/>
        <w:rPr>
          <w:rFonts w:ascii="Garamond" w:hAnsi="Garamond"/>
        </w:rPr>
      </w:pPr>
      <w:proofErr w:type="spellStart"/>
      <w:r w:rsidRPr="00141834">
        <w:rPr>
          <w:rFonts w:ascii="Garamond" w:hAnsi="Garamond"/>
        </w:rPr>
        <w:t>Gormley</w:t>
      </w:r>
      <w:proofErr w:type="spellEnd"/>
      <w:r w:rsidRPr="00141834">
        <w:rPr>
          <w:rFonts w:ascii="Garamond" w:hAnsi="Garamond"/>
        </w:rPr>
        <w:t>, T. A.</w:t>
      </w:r>
      <w:r w:rsidR="00987C74">
        <w:rPr>
          <w:rFonts w:ascii="Garamond" w:hAnsi="Garamond"/>
        </w:rPr>
        <w:t>,</w:t>
      </w:r>
      <w:r w:rsidRPr="00141834">
        <w:rPr>
          <w:rFonts w:ascii="Garamond" w:hAnsi="Garamond"/>
        </w:rPr>
        <w:t xml:space="preserve"> </w:t>
      </w:r>
      <w:proofErr w:type="spellStart"/>
      <w:r w:rsidRPr="00141834">
        <w:rPr>
          <w:rFonts w:ascii="Garamond" w:hAnsi="Garamond"/>
        </w:rPr>
        <w:t>Matsa</w:t>
      </w:r>
      <w:proofErr w:type="spellEnd"/>
      <w:r w:rsidRPr="00141834">
        <w:rPr>
          <w:rFonts w:ascii="Garamond" w:hAnsi="Garamond"/>
        </w:rPr>
        <w:t xml:space="preserve">, D. A. (2014). Common errors: how to (and not to) control for unobserved heterogeneity. </w:t>
      </w:r>
      <w:r w:rsidRPr="00141834">
        <w:rPr>
          <w:rFonts w:ascii="Garamond" w:hAnsi="Garamond"/>
          <w:i/>
          <w:iCs/>
        </w:rPr>
        <w:t>Review of Financial Studies</w:t>
      </w:r>
      <w:r w:rsidRPr="00141834">
        <w:rPr>
          <w:rFonts w:ascii="Garamond" w:hAnsi="Garamond"/>
        </w:rPr>
        <w:t>, 27, 617-661.</w:t>
      </w:r>
    </w:p>
    <w:p w:rsidR="00EC2159" w:rsidRPr="00141834" w:rsidRDefault="00EC2159" w:rsidP="00EC2159">
      <w:pPr>
        <w:ind w:left="720" w:hanging="720"/>
        <w:jc w:val="both"/>
        <w:rPr>
          <w:rFonts w:ascii="Garamond" w:hAnsi="Garamond"/>
        </w:rPr>
      </w:pPr>
      <w:proofErr w:type="spellStart"/>
      <w:proofErr w:type="gramStart"/>
      <w:r w:rsidRPr="00141834">
        <w:rPr>
          <w:rFonts w:ascii="Garamond" w:hAnsi="Garamond"/>
        </w:rPr>
        <w:t>Gul</w:t>
      </w:r>
      <w:proofErr w:type="spellEnd"/>
      <w:r w:rsidRPr="00141834">
        <w:rPr>
          <w:rFonts w:ascii="Garamond" w:hAnsi="Garamond"/>
        </w:rPr>
        <w:t xml:space="preserve">, F. A., </w:t>
      </w:r>
      <w:proofErr w:type="spellStart"/>
      <w:r w:rsidRPr="00141834">
        <w:rPr>
          <w:rFonts w:ascii="Garamond" w:hAnsi="Garamond"/>
        </w:rPr>
        <w:t>Srinidhi</w:t>
      </w:r>
      <w:proofErr w:type="spellEnd"/>
      <w:r w:rsidRPr="00141834">
        <w:rPr>
          <w:rFonts w:ascii="Garamond" w:hAnsi="Garamond"/>
        </w:rPr>
        <w:t>, B., Ng, A. C. (2011).</w:t>
      </w:r>
      <w:proofErr w:type="gramEnd"/>
      <w:r w:rsidRPr="00141834">
        <w:rPr>
          <w:rFonts w:ascii="Garamond" w:hAnsi="Garamond"/>
        </w:rPr>
        <w:t xml:space="preserve"> Does board gender diversity improve the </w:t>
      </w:r>
      <w:proofErr w:type="spellStart"/>
      <w:r w:rsidRPr="00141834">
        <w:rPr>
          <w:rFonts w:ascii="Garamond" w:hAnsi="Garamond"/>
        </w:rPr>
        <w:t>informativeness</w:t>
      </w:r>
      <w:proofErr w:type="spellEnd"/>
      <w:r w:rsidRPr="00141834">
        <w:rPr>
          <w:rFonts w:ascii="Garamond" w:hAnsi="Garamond"/>
        </w:rPr>
        <w:t xml:space="preserve"> of stock prices? </w:t>
      </w:r>
      <w:r w:rsidRPr="00141834">
        <w:rPr>
          <w:rFonts w:ascii="Garamond" w:hAnsi="Garamond"/>
          <w:i/>
        </w:rPr>
        <w:t>Journal of Accounting and Economics</w:t>
      </w:r>
      <w:r w:rsidRPr="00141834">
        <w:rPr>
          <w:rFonts w:ascii="Garamond" w:hAnsi="Garamond"/>
        </w:rPr>
        <w:t>, 51 (3), 314-338.</w:t>
      </w:r>
    </w:p>
    <w:p w:rsidR="00EC2159" w:rsidRPr="00141834" w:rsidRDefault="00EC2159" w:rsidP="00EC2159">
      <w:pPr>
        <w:ind w:left="720" w:hanging="720"/>
        <w:jc w:val="both"/>
        <w:rPr>
          <w:rFonts w:ascii="Garamond" w:hAnsi="Garamond"/>
        </w:rPr>
      </w:pPr>
      <w:proofErr w:type="gramStart"/>
      <w:r w:rsidRPr="00141834">
        <w:rPr>
          <w:rFonts w:ascii="Garamond" w:hAnsi="Garamond"/>
        </w:rPr>
        <w:t xml:space="preserve">Gupta, V. K., Mortal, S., </w:t>
      </w:r>
      <w:proofErr w:type="spellStart"/>
      <w:r w:rsidRPr="00141834">
        <w:rPr>
          <w:rFonts w:ascii="Garamond" w:hAnsi="Garamond"/>
        </w:rPr>
        <w:t>Chakrabarty</w:t>
      </w:r>
      <w:proofErr w:type="spellEnd"/>
      <w:r w:rsidRPr="00141834">
        <w:rPr>
          <w:rFonts w:ascii="Garamond" w:hAnsi="Garamond"/>
        </w:rPr>
        <w:t xml:space="preserve">, B., </w:t>
      </w:r>
      <w:proofErr w:type="spellStart"/>
      <w:r w:rsidRPr="00141834">
        <w:rPr>
          <w:rFonts w:ascii="Garamond" w:hAnsi="Garamond"/>
        </w:rPr>
        <w:t>Guo</w:t>
      </w:r>
      <w:proofErr w:type="spellEnd"/>
      <w:r w:rsidRPr="00141834">
        <w:rPr>
          <w:rFonts w:ascii="Garamond" w:hAnsi="Garamond"/>
        </w:rPr>
        <w:t>, X., Turban, D. B. (2020).</w:t>
      </w:r>
      <w:proofErr w:type="gramEnd"/>
      <w:r w:rsidRPr="00141834">
        <w:rPr>
          <w:rFonts w:ascii="Garamond" w:hAnsi="Garamond"/>
        </w:rPr>
        <w:t xml:space="preserve"> </w:t>
      </w:r>
      <w:proofErr w:type="gramStart"/>
      <w:r w:rsidRPr="00141834">
        <w:rPr>
          <w:rFonts w:ascii="Garamond" w:hAnsi="Garamond"/>
        </w:rPr>
        <w:t>CFO gender and financial statement irregularities.</w:t>
      </w:r>
      <w:proofErr w:type="gramEnd"/>
      <w:r w:rsidRPr="00141834">
        <w:rPr>
          <w:rFonts w:ascii="Garamond" w:hAnsi="Garamond"/>
        </w:rPr>
        <w:t xml:space="preserve"> </w:t>
      </w:r>
      <w:r w:rsidRPr="00141834">
        <w:rPr>
          <w:rFonts w:ascii="Garamond" w:hAnsi="Garamond"/>
          <w:i/>
          <w:iCs/>
        </w:rPr>
        <w:t>Academy of Management Journal</w:t>
      </w:r>
      <w:r w:rsidRPr="00141834">
        <w:rPr>
          <w:rFonts w:ascii="Garamond" w:hAnsi="Garamond"/>
        </w:rPr>
        <w:t>, 63 (3), 802-831.</w:t>
      </w:r>
    </w:p>
    <w:p w:rsidR="00EC2159" w:rsidRPr="00141834" w:rsidRDefault="00EC2159" w:rsidP="00EC2159">
      <w:pPr>
        <w:ind w:left="720" w:hanging="720"/>
        <w:jc w:val="both"/>
        <w:rPr>
          <w:rFonts w:ascii="Garamond" w:hAnsi="Garamond"/>
        </w:rPr>
      </w:pPr>
      <w:proofErr w:type="spellStart"/>
      <w:r w:rsidRPr="00141834">
        <w:rPr>
          <w:rFonts w:ascii="Garamond" w:hAnsi="Garamond"/>
        </w:rPr>
        <w:t>Hackbarth</w:t>
      </w:r>
      <w:proofErr w:type="spellEnd"/>
      <w:r w:rsidRPr="00141834">
        <w:rPr>
          <w:rFonts w:ascii="Garamond" w:hAnsi="Garamond"/>
        </w:rPr>
        <w:t xml:space="preserve">, D. (2008). Managerial traits and capital structure decisions. </w:t>
      </w:r>
      <w:r w:rsidRPr="00141834">
        <w:rPr>
          <w:rFonts w:ascii="Garamond" w:hAnsi="Garamond"/>
          <w:i/>
        </w:rPr>
        <w:t>Journal of Financial and Quantitative Analysis</w:t>
      </w:r>
      <w:r w:rsidRPr="00141834">
        <w:rPr>
          <w:rFonts w:ascii="Garamond" w:hAnsi="Garamond"/>
        </w:rPr>
        <w:t>, 43 (4), 843-881.</w:t>
      </w:r>
    </w:p>
    <w:p w:rsidR="00EC2159" w:rsidRPr="00141834" w:rsidRDefault="00EC2159" w:rsidP="00EC2159">
      <w:pPr>
        <w:ind w:left="720" w:hanging="720"/>
        <w:jc w:val="both"/>
        <w:rPr>
          <w:rFonts w:ascii="Garamond" w:hAnsi="Garamond"/>
        </w:rPr>
      </w:pPr>
      <w:r w:rsidRPr="00141834">
        <w:rPr>
          <w:rFonts w:ascii="Garamond" w:hAnsi="Garamond"/>
        </w:rPr>
        <w:t xml:space="preserve">Ham, C., Lang, M., </w:t>
      </w:r>
      <w:proofErr w:type="spellStart"/>
      <w:r w:rsidRPr="00141834">
        <w:rPr>
          <w:rFonts w:ascii="Garamond" w:hAnsi="Garamond"/>
        </w:rPr>
        <w:t>Seybert</w:t>
      </w:r>
      <w:proofErr w:type="spellEnd"/>
      <w:r w:rsidRPr="00141834">
        <w:rPr>
          <w:rFonts w:ascii="Garamond" w:hAnsi="Garamond"/>
        </w:rPr>
        <w:t xml:space="preserve">, N., Wang, S. (2017). </w:t>
      </w:r>
      <w:proofErr w:type="gramStart"/>
      <w:r w:rsidRPr="00141834">
        <w:rPr>
          <w:rFonts w:ascii="Garamond" w:hAnsi="Garamond"/>
        </w:rPr>
        <w:t>CFO narcissism and financial reporting quality.</w:t>
      </w:r>
      <w:proofErr w:type="gramEnd"/>
      <w:r w:rsidRPr="00141834">
        <w:rPr>
          <w:rFonts w:ascii="Garamond" w:hAnsi="Garamond"/>
        </w:rPr>
        <w:t xml:space="preserve"> </w:t>
      </w:r>
      <w:r w:rsidRPr="00141834">
        <w:rPr>
          <w:rFonts w:ascii="Garamond" w:hAnsi="Garamond"/>
          <w:i/>
        </w:rPr>
        <w:t>Journal of Accounting Research</w:t>
      </w:r>
      <w:r w:rsidRPr="00141834">
        <w:rPr>
          <w:rFonts w:ascii="Garamond" w:hAnsi="Garamond"/>
        </w:rPr>
        <w:t>, 55, 1089-1135.</w:t>
      </w:r>
    </w:p>
    <w:p w:rsidR="00EC2159" w:rsidRPr="00141834" w:rsidRDefault="00EC2159" w:rsidP="00EC2159">
      <w:pPr>
        <w:ind w:left="720" w:hanging="720"/>
        <w:jc w:val="both"/>
        <w:rPr>
          <w:rFonts w:ascii="Garamond" w:hAnsi="Garamond"/>
        </w:rPr>
      </w:pPr>
      <w:proofErr w:type="spellStart"/>
      <w:r w:rsidRPr="00141834">
        <w:rPr>
          <w:rFonts w:ascii="Garamond" w:hAnsi="Garamond"/>
        </w:rPr>
        <w:t>Hambrick</w:t>
      </w:r>
      <w:proofErr w:type="spellEnd"/>
      <w:r w:rsidRPr="00141834">
        <w:rPr>
          <w:rFonts w:ascii="Garamond" w:hAnsi="Garamond"/>
        </w:rPr>
        <w:t xml:space="preserve">, D.C. (2007). Upper Echelons Theory: An update. </w:t>
      </w:r>
      <w:r w:rsidRPr="00141834">
        <w:rPr>
          <w:rFonts w:ascii="Garamond" w:hAnsi="Garamond"/>
          <w:i/>
          <w:iCs/>
        </w:rPr>
        <w:t>Academy of Management Review</w:t>
      </w:r>
      <w:r w:rsidRPr="00141834">
        <w:rPr>
          <w:rFonts w:ascii="Garamond" w:hAnsi="Garamond"/>
        </w:rPr>
        <w:t>, 32 (2), 334-343.</w:t>
      </w:r>
    </w:p>
    <w:p w:rsidR="00EC2159" w:rsidRPr="00141834" w:rsidRDefault="00EC2159" w:rsidP="00EC2159">
      <w:pPr>
        <w:ind w:left="720" w:hanging="720"/>
        <w:jc w:val="both"/>
        <w:rPr>
          <w:rFonts w:ascii="Garamond" w:hAnsi="Garamond"/>
        </w:rPr>
      </w:pPr>
      <w:r w:rsidRPr="00141834">
        <w:rPr>
          <w:rFonts w:ascii="Garamond" w:hAnsi="Garamond"/>
        </w:rPr>
        <w:t xml:space="preserve">Haynes, K. T., Hillman, A. (2010). </w:t>
      </w:r>
      <w:proofErr w:type="gramStart"/>
      <w:r w:rsidRPr="00141834">
        <w:rPr>
          <w:rFonts w:ascii="Garamond" w:hAnsi="Garamond"/>
        </w:rPr>
        <w:t>The effect of board capital and CEO power on strategic change.</w:t>
      </w:r>
      <w:proofErr w:type="gramEnd"/>
      <w:r w:rsidRPr="00141834">
        <w:rPr>
          <w:rFonts w:ascii="Garamond" w:hAnsi="Garamond"/>
        </w:rPr>
        <w:t xml:space="preserve"> </w:t>
      </w:r>
      <w:r w:rsidRPr="00141834">
        <w:rPr>
          <w:rFonts w:ascii="Garamond" w:hAnsi="Garamond"/>
          <w:i/>
        </w:rPr>
        <w:t>Strategic Management Journal</w:t>
      </w:r>
      <w:r w:rsidRPr="00141834">
        <w:rPr>
          <w:rFonts w:ascii="Garamond" w:hAnsi="Garamond"/>
        </w:rPr>
        <w:t>, 31, 1145-1163.</w:t>
      </w:r>
    </w:p>
    <w:p w:rsidR="00EC2159" w:rsidRPr="00141834" w:rsidRDefault="00EC2159" w:rsidP="00EC2159">
      <w:pPr>
        <w:ind w:left="720" w:hanging="720"/>
        <w:jc w:val="both"/>
        <w:rPr>
          <w:rFonts w:ascii="Garamond" w:hAnsi="Garamond"/>
        </w:rPr>
      </w:pPr>
      <w:r w:rsidRPr="00141834">
        <w:rPr>
          <w:rFonts w:ascii="Garamond" w:hAnsi="Garamond"/>
        </w:rPr>
        <w:t xml:space="preserve">Heckman, J. J., </w:t>
      </w:r>
      <w:proofErr w:type="spellStart"/>
      <w:r w:rsidRPr="00141834">
        <w:rPr>
          <w:rFonts w:ascii="Garamond" w:hAnsi="Garamond"/>
        </w:rPr>
        <w:t>Ichimura</w:t>
      </w:r>
      <w:proofErr w:type="spellEnd"/>
      <w:r w:rsidRPr="00141834">
        <w:rPr>
          <w:rFonts w:ascii="Garamond" w:hAnsi="Garamond"/>
        </w:rPr>
        <w:t xml:space="preserve">, H., Todd, P. (1998). </w:t>
      </w:r>
      <w:proofErr w:type="gramStart"/>
      <w:r w:rsidRPr="00141834">
        <w:rPr>
          <w:rFonts w:ascii="Garamond" w:hAnsi="Garamond"/>
        </w:rPr>
        <w:t>Matching as an econometric evaluation estimator.</w:t>
      </w:r>
      <w:proofErr w:type="gramEnd"/>
      <w:r w:rsidRPr="00141834">
        <w:rPr>
          <w:rFonts w:ascii="Garamond" w:hAnsi="Garamond"/>
        </w:rPr>
        <w:t xml:space="preserve"> </w:t>
      </w:r>
      <w:r w:rsidRPr="00141834">
        <w:rPr>
          <w:rFonts w:ascii="Garamond" w:hAnsi="Garamond"/>
          <w:i/>
        </w:rPr>
        <w:t>Review of Economics Studies</w:t>
      </w:r>
      <w:r w:rsidRPr="00141834">
        <w:rPr>
          <w:rFonts w:ascii="Garamond" w:hAnsi="Garamond"/>
        </w:rPr>
        <w:t>, 65, 261-294.</w:t>
      </w:r>
    </w:p>
    <w:p w:rsidR="00EC2159" w:rsidRPr="00141834" w:rsidRDefault="00EC2159" w:rsidP="00EC2159">
      <w:pPr>
        <w:ind w:left="720" w:hanging="720"/>
        <w:jc w:val="both"/>
        <w:rPr>
          <w:rFonts w:ascii="Garamond" w:hAnsi="Garamond"/>
        </w:rPr>
      </w:pPr>
      <w:proofErr w:type="spellStart"/>
      <w:proofErr w:type="gramStart"/>
      <w:r w:rsidRPr="00141834">
        <w:rPr>
          <w:rFonts w:ascii="Garamond" w:hAnsi="Garamond"/>
        </w:rPr>
        <w:t>Hermalin</w:t>
      </w:r>
      <w:proofErr w:type="spellEnd"/>
      <w:r w:rsidRPr="00141834">
        <w:rPr>
          <w:rFonts w:ascii="Garamond" w:hAnsi="Garamond"/>
        </w:rPr>
        <w:t xml:space="preserve">, B., </w:t>
      </w:r>
      <w:proofErr w:type="spellStart"/>
      <w:r w:rsidRPr="00141834">
        <w:rPr>
          <w:rFonts w:ascii="Garamond" w:hAnsi="Garamond"/>
        </w:rPr>
        <w:t>Weisbach</w:t>
      </w:r>
      <w:proofErr w:type="spellEnd"/>
      <w:r w:rsidRPr="00141834">
        <w:rPr>
          <w:rFonts w:ascii="Garamond" w:hAnsi="Garamond"/>
        </w:rPr>
        <w:t>, M. (1988).</w:t>
      </w:r>
      <w:proofErr w:type="gramEnd"/>
      <w:r w:rsidRPr="00141834">
        <w:rPr>
          <w:rFonts w:ascii="Garamond" w:hAnsi="Garamond"/>
        </w:rPr>
        <w:t xml:space="preserve"> </w:t>
      </w:r>
      <w:proofErr w:type="gramStart"/>
      <w:r w:rsidRPr="00141834">
        <w:rPr>
          <w:rFonts w:ascii="Garamond" w:hAnsi="Garamond"/>
        </w:rPr>
        <w:t>The determinants of board composition.</w:t>
      </w:r>
      <w:proofErr w:type="gramEnd"/>
      <w:r w:rsidRPr="00141834">
        <w:rPr>
          <w:rFonts w:ascii="Garamond" w:hAnsi="Garamond"/>
        </w:rPr>
        <w:t xml:space="preserve"> </w:t>
      </w:r>
      <w:r w:rsidRPr="00141834">
        <w:rPr>
          <w:rFonts w:ascii="Garamond" w:hAnsi="Garamond"/>
          <w:i/>
        </w:rPr>
        <w:t>RAND Journal of Economics</w:t>
      </w:r>
      <w:r w:rsidRPr="00141834">
        <w:rPr>
          <w:rFonts w:ascii="Garamond" w:hAnsi="Garamond"/>
        </w:rPr>
        <w:t>, 19, 589-606.</w:t>
      </w:r>
    </w:p>
    <w:p w:rsidR="00EC2159" w:rsidRPr="00141834" w:rsidRDefault="00EC2159" w:rsidP="00EC2159">
      <w:pPr>
        <w:ind w:left="720" w:hanging="720"/>
        <w:jc w:val="both"/>
        <w:rPr>
          <w:rFonts w:ascii="Garamond" w:hAnsi="Garamond"/>
        </w:rPr>
      </w:pPr>
      <w:proofErr w:type="spellStart"/>
      <w:r w:rsidRPr="00141834">
        <w:rPr>
          <w:rFonts w:ascii="Garamond" w:hAnsi="Garamond"/>
        </w:rPr>
        <w:lastRenderedPageBreak/>
        <w:t>Hoitash</w:t>
      </w:r>
      <w:proofErr w:type="spellEnd"/>
      <w:r w:rsidRPr="00141834">
        <w:rPr>
          <w:rFonts w:ascii="Garamond" w:hAnsi="Garamond"/>
        </w:rPr>
        <w:t xml:space="preserve">, R., </w:t>
      </w:r>
      <w:proofErr w:type="spellStart"/>
      <w:r w:rsidRPr="00141834">
        <w:rPr>
          <w:rFonts w:ascii="Garamond" w:hAnsi="Garamond"/>
        </w:rPr>
        <w:t>Hoitash</w:t>
      </w:r>
      <w:proofErr w:type="spellEnd"/>
      <w:r w:rsidRPr="00141834">
        <w:rPr>
          <w:rFonts w:ascii="Garamond" w:hAnsi="Garamond"/>
        </w:rPr>
        <w:t>, U., Kurt, A. C. (2016). Do accountants make better chief financial officers</w:t>
      </w:r>
      <w:proofErr w:type="gramStart"/>
      <w:r w:rsidRPr="00141834">
        <w:rPr>
          <w:rFonts w:ascii="Garamond" w:hAnsi="Garamond"/>
        </w:rPr>
        <w:t>?.</w:t>
      </w:r>
      <w:proofErr w:type="gramEnd"/>
      <w:r w:rsidRPr="00141834">
        <w:rPr>
          <w:rFonts w:ascii="Garamond" w:hAnsi="Garamond"/>
        </w:rPr>
        <w:t xml:space="preserve"> </w:t>
      </w:r>
      <w:r w:rsidRPr="00141834">
        <w:rPr>
          <w:rFonts w:ascii="Garamond" w:hAnsi="Garamond"/>
          <w:i/>
          <w:iCs/>
        </w:rPr>
        <w:t>Journal of Accounting and Economics</w:t>
      </w:r>
      <w:r w:rsidRPr="00141834">
        <w:rPr>
          <w:rFonts w:ascii="Garamond" w:hAnsi="Garamond"/>
        </w:rPr>
        <w:t>, 61 (2</w:t>
      </w:r>
      <w:r w:rsidR="00987C74" w:rsidRPr="00141834">
        <w:rPr>
          <w:rFonts w:ascii="Garamond" w:hAnsi="Garamond"/>
        </w:rPr>
        <w:t>)</w:t>
      </w:r>
      <w:r w:rsidR="00987C74">
        <w:rPr>
          <w:rFonts w:ascii="Garamond" w:hAnsi="Garamond"/>
        </w:rPr>
        <w:t>,</w:t>
      </w:r>
      <w:r w:rsidR="00987C74" w:rsidRPr="00141834">
        <w:rPr>
          <w:rFonts w:ascii="Garamond" w:hAnsi="Garamond"/>
        </w:rPr>
        <w:t xml:space="preserve"> </w:t>
      </w:r>
      <w:r w:rsidRPr="00141834">
        <w:rPr>
          <w:rFonts w:ascii="Garamond" w:hAnsi="Garamond"/>
        </w:rPr>
        <w:t>414-432.</w:t>
      </w:r>
    </w:p>
    <w:p w:rsidR="00EC2159" w:rsidRPr="00141834" w:rsidRDefault="00EC2159" w:rsidP="00EC2159">
      <w:pPr>
        <w:ind w:left="720" w:hanging="720"/>
        <w:jc w:val="both"/>
        <w:rPr>
          <w:rFonts w:ascii="Garamond" w:hAnsi="Garamond"/>
        </w:rPr>
      </w:pPr>
      <w:proofErr w:type="spellStart"/>
      <w:proofErr w:type="gramStart"/>
      <w:r w:rsidRPr="00141834">
        <w:rPr>
          <w:rFonts w:ascii="Garamond" w:hAnsi="Garamond"/>
        </w:rPr>
        <w:t>Hoogendoorn</w:t>
      </w:r>
      <w:proofErr w:type="spellEnd"/>
      <w:r w:rsidRPr="00141834">
        <w:rPr>
          <w:rFonts w:ascii="Garamond" w:hAnsi="Garamond"/>
        </w:rPr>
        <w:t xml:space="preserve">, S., </w:t>
      </w:r>
      <w:proofErr w:type="spellStart"/>
      <w:r w:rsidRPr="00141834">
        <w:rPr>
          <w:rFonts w:ascii="Garamond" w:hAnsi="Garamond"/>
        </w:rPr>
        <w:t>Oosterbeek</w:t>
      </w:r>
      <w:proofErr w:type="spellEnd"/>
      <w:r w:rsidRPr="00141834">
        <w:rPr>
          <w:rFonts w:ascii="Garamond" w:hAnsi="Garamond"/>
        </w:rPr>
        <w:t xml:space="preserve">, H., von </w:t>
      </w:r>
      <w:proofErr w:type="spellStart"/>
      <w:r w:rsidRPr="00141834">
        <w:rPr>
          <w:rFonts w:ascii="Garamond" w:hAnsi="Garamond"/>
        </w:rPr>
        <w:t>Praag</w:t>
      </w:r>
      <w:proofErr w:type="spellEnd"/>
      <w:r w:rsidRPr="00141834">
        <w:rPr>
          <w:rFonts w:ascii="Garamond" w:hAnsi="Garamond"/>
        </w:rPr>
        <w:t>, M. (2013).</w:t>
      </w:r>
      <w:proofErr w:type="gramEnd"/>
      <w:r w:rsidRPr="00141834">
        <w:rPr>
          <w:rFonts w:ascii="Garamond" w:hAnsi="Garamond"/>
        </w:rPr>
        <w:t xml:space="preserve"> The impact of gender diversity on the performance of business teams: Evidence from a field experiment. </w:t>
      </w:r>
      <w:r w:rsidRPr="00141834">
        <w:rPr>
          <w:rFonts w:ascii="Garamond" w:hAnsi="Garamond"/>
          <w:i/>
        </w:rPr>
        <w:t>Management Science</w:t>
      </w:r>
      <w:r w:rsidRPr="00141834">
        <w:rPr>
          <w:rFonts w:ascii="Garamond" w:hAnsi="Garamond"/>
        </w:rPr>
        <w:t>, 59 (7), 1514-1528.</w:t>
      </w:r>
    </w:p>
    <w:p w:rsidR="00EC2159" w:rsidRPr="00141834" w:rsidRDefault="00EC2159" w:rsidP="00EC2159">
      <w:pPr>
        <w:ind w:left="720" w:hanging="720"/>
        <w:jc w:val="both"/>
        <w:rPr>
          <w:rFonts w:ascii="Garamond" w:hAnsi="Garamond"/>
        </w:rPr>
      </w:pPr>
      <w:r w:rsidRPr="00141834">
        <w:rPr>
          <w:rFonts w:ascii="Garamond" w:hAnsi="Garamond"/>
        </w:rPr>
        <w:t xml:space="preserve">Huang, J., </w:t>
      </w:r>
      <w:proofErr w:type="spellStart"/>
      <w:r w:rsidRPr="00141834">
        <w:rPr>
          <w:rFonts w:ascii="Garamond" w:hAnsi="Garamond"/>
        </w:rPr>
        <w:t>Kisgen</w:t>
      </w:r>
      <w:proofErr w:type="spellEnd"/>
      <w:r w:rsidRPr="00141834">
        <w:rPr>
          <w:rFonts w:ascii="Garamond" w:hAnsi="Garamond"/>
        </w:rPr>
        <w:t xml:space="preserve">, D. J. (2013). Gender and corporate finance: Are male executives overconfident relative to female executives? </w:t>
      </w:r>
      <w:r w:rsidRPr="00141834">
        <w:rPr>
          <w:rFonts w:ascii="Garamond" w:hAnsi="Garamond"/>
          <w:i/>
        </w:rPr>
        <w:t>Journal of Financial Economics</w:t>
      </w:r>
      <w:r w:rsidRPr="00141834">
        <w:rPr>
          <w:rFonts w:ascii="Garamond" w:hAnsi="Garamond"/>
        </w:rPr>
        <w:t>, 108, 822-839.</w:t>
      </w:r>
    </w:p>
    <w:p w:rsidR="00EC2159" w:rsidRPr="00141834" w:rsidRDefault="00EC2159" w:rsidP="00EC2159">
      <w:pPr>
        <w:ind w:left="720" w:hanging="720"/>
        <w:jc w:val="both"/>
        <w:rPr>
          <w:rFonts w:ascii="Garamond" w:hAnsi="Garamond"/>
        </w:rPr>
      </w:pPr>
      <w:proofErr w:type="spellStart"/>
      <w:r w:rsidRPr="00141834">
        <w:rPr>
          <w:rFonts w:ascii="Garamond" w:hAnsi="Garamond"/>
        </w:rPr>
        <w:t>Imbens</w:t>
      </w:r>
      <w:proofErr w:type="spellEnd"/>
      <w:r w:rsidRPr="00141834">
        <w:rPr>
          <w:rFonts w:ascii="Garamond" w:hAnsi="Garamond"/>
        </w:rPr>
        <w:t xml:space="preserve">, G. W. (2000). The role of the propensity score in estimating dose-response functions. </w:t>
      </w:r>
      <w:proofErr w:type="spellStart"/>
      <w:r w:rsidRPr="00141834">
        <w:rPr>
          <w:rFonts w:ascii="Garamond" w:hAnsi="Garamond"/>
          <w:i/>
        </w:rPr>
        <w:t>Biometrika</w:t>
      </w:r>
      <w:proofErr w:type="spellEnd"/>
      <w:r w:rsidRPr="00141834">
        <w:rPr>
          <w:rFonts w:ascii="Garamond" w:hAnsi="Garamond"/>
        </w:rPr>
        <w:t>, 87, 706-710.</w:t>
      </w:r>
    </w:p>
    <w:p w:rsidR="00EC2159" w:rsidRPr="00141834" w:rsidRDefault="00EC2159" w:rsidP="00EC2159">
      <w:pPr>
        <w:ind w:left="720" w:hanging="720"/>
        <w:jc w:val="both"/>
        <w:rPr>
          <w:rFonts w:ascii="Garamond" w:hAnsi="Garamond"/>
        </w:rPr>
      </w:pPr>
      <w:proofErr w:type="spellStart"/>
      <w:r w:rsidRPr="00141834">
        <w:rPr>
          <w:rFonts w:ascii="Garamond" w:hAnsi="Garamond"/>
        </w:rPr>
        <w:t>Joecks</w:t>
      </w:r>
      <w:proofErr w:type="spellEnd"/>
      <w:r w:rsidRPr="00141834">
        <w:rPr>
          <w:rFonts w:ascii="Garamond" w:hAnsi="Garamond"/>
        </w:rPr>
        <w:t>, J., Pull, K., Vetter, K. (2013). Gender diversity in the boardroom and firm performance: What exactly constitutes a “critical mass?</w:t>
      </w:r>
      <w:proofErr w:type="gramStart"/>
      <w:r w:rsidRPr="00141834">
        <w:rPr>
          <w:rFonts w:ascii="Garamond" w:hAnsi="Garamond"/>
        </w:rPr>
        <w:t>”</w:t>
      </w:r>
      <w:r w:rsidR="00FC37FA">
        <w:rPr>
          <w:rFonts w:ascii="Garamond" w:hAnsi="Garamond"/>
        </w:rPr>
        <w:t>.</w:t>
      </w:r>
      <w:proofErr w:type="gramEnd"/>
      <w:r w:rsidRPr="00141834">
        <w:rPr>
          <w:rFonts w:ascii="Garamond" w:hAnsi="Garamond"/>
        </w:rPr>
        <w:t xml:space="preserve"> </w:t>
      </w:r>
      <w:r w:rsidRPr="00141834">
        <w:rPr>
          <w:rFonts w:ascii="Garamond" w:hAnsi="Garamond"/>
          <w:i/>
          <w:iCs/>
        </w:rPr>
        <w:t>Journal of Business Ethics</w:t>
      </w:r>
      <w:r w:rsidRPr="00141834">
        <w:rPr>
          <w:rFonts w:ascii="Garamond" w:hAnsi="Garamond"/>
        </w:rPr>
        <w:t>, 118, 61-72.</w:t>
      </w:r>
    </w:p>
    <w:p w:rsidR="00EC2159" w:rsidRPr="00141834" w:rsidRDefault="00EC2159" w:rsidP="00EC2159">
      <w:pPr>
        <w:ind w:left="720" w:hanging="720"/>
        <w:jc w:val="both"/>
        <w:rPr>
          <w:rFonts w:ascii="Garamond" w:hAnsi="Garamond"/>
        </w:rPr>
      </w:pPr>
      <w:proofErr w:type="spellStart"/>
      <w:r w:rsidRPr="00141834">
        <w:rPr>
          <w:rFonts w:ascii="Garamond" w:hAnsi="Garamond"/>
        </w:rPr>
        <w:t>Kanter</w:t>
      </w:r>
      <w:proofErr w:type="spellEnd"/>
      <w:r w:rsidRPr="00141834">
        <w:rPr>
          <w:rFonts w:ascii="Garamond" w:hAnsi="Garamond"/>
        </w:rPr>
        <w:t xml:space="preserve">, R. M. (1977). </w:t>
      </w:r>
      <w:proofErr w:type="gramStart"/>
      <w:r w:rsidRPr="00141834">
        <w:rPr>
          <w:rFonts w:ascii="Garamond" w:hAnsi="Garamond"/>
          <w:i/>
        </w:rPr>
        <w:t>Men and Women of the Corporation</w:t>
      </w:r>
      <w:r w:rsidRPr="00141834">
        <w:rPr>
          <w:rFonts w:ascii="Garamond" w:hAnsi="Garamond"/>
        </w:rPr>
        <w:t>.</w:t>
      </w:r>
      <w:proofErr w:type="gramEnd"/>
      <w:r w:rsidRPr="00141834">
        <w:rPr>
          <w:rFonts w:ascii="Garamond" w:hAnsi="Garamond"/>
        </w:rPr>
        <w:t xml:space="preserve"> </w:t>
      </w:r>
      <w:proofErr w:type="gramStart"/>
      <w:r w:rsidRPr="00141834">
        <w:rPr>
          <w:rFonts w:ascii="Garamond" w:hAnsi="Garamond"/>
        </w:rPr>
        <w:t>Basic Books, New York.</w:t>
      </w:r>
      <w:proofErr w:type="gramEnd"/>
    </w:p>
    <w:p w:rsidR="00EC2159" w:rsidRPr="00141834" w:rsidRDefault="00EC2159" w:rsidP="00EC2159">
      <w:pPr>
        <w:ind w:left="720" w:hanging="720"/>
        <w:jc w:val="both"/>
        <w:rPr>
          <w:rFonts w:ascii="Garamond" w:hAnsi="Garamond"/>
        </w:rPr>
      </w:pPr>
      <w:r w:rsidRPr="00141834">
        <w:rPr>
          <w:rFonts w:ascii="Garamond" w:hAnsi="Garamond"/>
        </w:rPr>
        <w:t xml:space="preserve">Keenan, J. (2004). </w:t>
      </w:r>
      <w:proofErr w:type="gramStart"/>
      <w:r w:rsidRPr="00141834">
        <w:rPr>
          <w:rFonts w:ascii="Garamond" w:hAnsi="Garamond"/>
        </w:rPr>
        <w:t>Corporate governance in the UK/USA boardrooms.</w:t>
      </w:r>
      <w:proofErr w:type="gramEnd"/>
      <w:r w:rsidRPr="00141834">
        <w:rPr>
          <w:rFonts w:ascii="Garamond" w:hAnsi="Garamond"/>
        </w:rPr>
        <w:t xml:space="preserve"> </w:t>
      </w:r>
      <w:r w:rsidRPr="00141834">
        <w:rPr>
          <w:rFonts w:ascii="Garamond" w:hAnsi="Garamond"/>
          <w:i/>
        </w:rPr>
        <w:t>Corporate Governance: An International Review</w:t>
      </w:r>
      <w:r w:rsidRPr="00141834">
        <w:rPr>
          <w:rFonts w:ascii="Garamond" w:hAnsi="Garamond"/>
        </w:rPr>
        <w:t>, 12, 172-176.</w:t>
      </w:r>
    </w:p>
    <w:p w:rsidR="00EC2159" w:rsidRPr="00141834" w:rsidRDefault="00EC2159" w:rsidP="00EC2159">
      <w:pPr>
        <w:ind w:left="720" w:hanging="720"/>
        <w:jc w:val="both"/>
        <w:rPr>
          <w:rFonts w:ascii="Garamond" w:hAnsi="Garamond"/>
        </w:rPr>
      </w:pPr>
      <w:proofErr w:type="spellStart"/>
      <w:proofErr w:type="gramStart"/>
      <w:r w:rsidRPr="00141834">
        <w:rPr>
          <w:rFonts w:ascii="Garamond" w:hAnsi="Garamond"/>
        </w:rPr>
        <w:t>Khanna</w:t>
      </w:r>
      <w:proofErr w:type="spellEnd"/>
      <w:r w:rsidRPr="00141834">
        <w:rPr>
          <w:rFonts w:ascii="Garamond" w:hAnsi="Garamond"/>
        </w:rPr>
        <w:t>, V., Kim, E. H., Lu, Y. (2015).</w:t>
      </w:r>
      <w:proofErr w:type="gramEnd"/>
      <w:r w:rsidRPr="00141834">
        <w:rPr>
          <w:rFonts w:ascii="Garamond" w:hAnsi="Garamond"/>
        </w:rPr>
        <w:t xml:space="preserve"> </w:t>
      </w:r>
      <w:proofErr w:type="gramStart"/>
      <w:r w:rsidRPr="00141834">
        <w:rPr>
          <w:rFonts w:ascii="Garamond" w:hAnsi="Garamond"/>
        </w:rPr>
        <w:t xml:space="preserve">CEO </w:t>
      </w:r>
      <w:r w:rsidR="00987C74">
        <w:rPr>
          <w:rFonts w:ascii="Garamond" w:hAnsi="Garamond"/>
        </w:rPr>
        <w:t>c</w:t>
      </w:r>
      <w:r w:rsidR="00987C74" w:rsidRPr="00141834">
        <w:rPr>
          <w:rFonts w:ascii="Garamond" w:hAnsi="Garamond"/>
        </w:rPr>
        <w:t xml:space="preserve">onnectedness </w:t>
      </w:r>
      <w:r w:rsidRPr="00141834">
        <w:rPr>
          <w:rFonts w:ascii="Garamond" w:hAnsi="Garamond"/>
        </w:rPr>
        <w:t xml:space="preserve">and </w:t>
      </w:r>
      <w:r w:rsidR="00987C74">
        <w:rPr>
          <w:rFonts w:ascii="Garamond" w:hAnsi="Garamond"/>
        </w:rPr>
        <w:t>c</w:t>
      </w:r>
      <w:r w:rsidR="00987C74" w:rsidRPr="00141834">
        <w:rPr>
          <w:rFonts w:ascii="Garamond" w:hAnsi="Garamond"/>
        </w:rPr>
        <w:t xml:space="preserve">orporate </w:t>
      </w:r>
      <w:r w:rsidR="00987C74">
        <w:rPr>
          <w:rFonts w:ascii="Garamond" w:hAnsi="Garamond"/>
        </w:rPr>
        <w:t>f</w:t>
      </w:r>
      <w:r w:rsidR="00987C74" w:rsidRPr="00141834">
        <w:rPr>
          <w:rFonts w:ascii="Garamond" w:hAnsi="Garamond"/>
        </w:rPr>
        <w:t>raud</w:t>
      </w:r>
      <w:r w:rsidRPr="00141834">
        <w:rPr>
          <w:rFonts w:ascii="Garamond" w:hAnsi="Garamond"/>
        </w:rPr>
        <w:t>.</w:t>
      </w:r>
      <w:proofErr w:type="gramEnd"/>
      <w:r w:rsidRPr="00141834">
        <w:rPr>
          <w:rFonts w:ascii="Garamond" w:hAnsi="Garamond"/>
        </w:rPr>
        <w:t xml:space="preserve"> </w:t>
      </w:r>
      <w:r w:rsidRPr="00141834">
        <w:rPr>
          <w:rFonts w:ascii="Garamond" w:hAnsi="Garamond"/>
          <w:i/>
          <w:iCs/>
        </w:rPr>
        <w:t>Journal of Finance</w:t>
      </w:r>
      <w:r w:rsidRPr="00141834">
        <w:rPr>
          <w:rFonts w:ascii="Garamond" w:hAnsi="Garamond"/>
        </w:rPr>
        <w:t>, 70, 1203-1252.</w:t>
      </w:r>
    </w:p>
    <w:p w:rsidR="00EC2159" w:rsidRPr="00141834" w:rsidRDefault="00EC2159" w:rsidP="00EC2159">
      <w:pPr>
        <w:ind w:left="720" w:hanging="720"/>
        <w:jc w:val="both"/>
        <w:rPr>
          <w:rFonts w:ascii="Garamond" w:hAnsi="Garamond"/>
        </w:rPr>
      </w:pPr>
      <w:proofErr w:type="gramStart"/>
      <w:r w:rsidRPr="00141834">
        <w:rPr>
          <w:rFonts w:ascii="Garamond" w:hAnsi="Garamond"/>
        </w:rPr>
        <w:t>Kirsch, A. (2018).</w:t>
      </w:r>
      <w:proofErr w:type="gramEnd"/>
      <w:r w:rsidRPr="00141834">
        <w:rPr>
          <w:rFonts w:ascii="Garamond" w:hAnsi="Garamond"/>
        </w:rPr>
        <w:t xml:space="preserve"> The gender composition of corporate boards: A review and research agenda. </w:t>
      </w:r>
      <w:r w:rsidRPr="00141834">
        <w:rPr>
          <w:rFonts w:ascii="Garamond" w:hAnsi="Garamond"/>
          <w:i/>
        </w:rPr>
        <w:t>The Leadership Quarterly</w:t>
      </w:r>
      <w:r w:rsidRPr="00141834">
        <w:rPr>
          <w:rFonts w:ascii="Garamond" w:hAnsi="Garamond"/>
        </w:rPr>
        <w:t>, 29 (2), 346-364.</w:t>
      </w:r>
    </w:p>
    <w:p w:rsidR="00EC2159" w:rsidRPr="00141834" w:rsidRDefault="00EC2159" w:rsidP="00EC2159">
      <w:pPr>
        <w:ind w:left="720" w:hanging="720"/>
        <w:jc w:val="both"/>
        <w:rPr>
          <w:rFonts w:ascii="Garamond" w:hAnsi="Garamond"/>
        </w:rPr>
      </w:pPr>
      <w:proofErr w:type="spellStart"/>
      <w:proofErr w:type="gramStart"/>
      <w:r w:rsidRPr="00141834">
        <w:rPr>
          <w:rFonts w:ascii="Garamond" w:hAnsi="Garamond"/>
        </w:rPr>
        <w:t>Korkeamäki</w:t>
      </w:r>
      <w:proofErr w:type="spellEnd"/>
      <w:r w:rsidRPr="00141834">
        <w:rPr>
          <w:rFonts w:ascii="Garamond" w:hAnsi="Garamond"/>
        </w:rPr>
        <w:t xml:space="preserve">, T., </w:t>
      </w:r>
      <w:proofErr w:type="spellStart"/>
      <w:r w:rsidRPr="00141834">
        <w:rPr>
          <w:rFonts w:ascii="Garamond" w:hAnsi="Garamond"/>
        </w:rPr>
        <w:t>Liljeblom</w:t>
      </w:r>
      <w:proofErr w:type="spellEnd"/>
      <w:r w:rsidRPr="00141834">
        <w:rPr>
          <w:rFonts w:ascii="Garamond" w:hAnsi="Garamond"/>
        </w:rPr>
        <w:t xml:space="preserve">, E., </w:t>
      </w:r>
      <w:proofErr w:type="spellStart"/>
      <w:r w:rsidRPr="00141834">
        <w:rPr>
          <w:rFonts w:ascii="Garamond" w:hAnsi="Garamond"/>
        </w:rPr>
        <w:t>Pasternack</w:t>
      </w:r>
      <w:proofErr w:type="spellEnd"/>
      <w:r w:rsidRPr="00141834">
        <w:rPr>
          <w:rFonts w:ascii="Garamond" w:hAnsi="Garamond"/>
        </w:rPr>
        <w:t>, D. (2017).</w:t>
      </w:r>
      <w:proofErr w:type="gramEnd"/>
      <w:r w:rsidRPr="00141834">
        <w:rPr>
          <w:rFonts w:ascii="Garamond" w:hAnsi="Garamond"/>
        </w:rPr>
        <w:t xml:space="preserve"> </w:t>
      </w:r>
      <w:proofErr w:type="gramStart"/>
      <w:r w:rsidRPr="00141834">
        <w:rPr>
          <w:rFonts w:ascii="Garamond" w:hAnsi="Garamond"/>
        </w:rPr>
        <w:t>CEO power and matching leverage preferences.</w:t>
      </w:r>
      <w:proofErr w:type="gramEnd"/>
      <w:r w:rsidRPr="00141834">
        <w:rPr>
          <w:rFonts w:ascii="Garamond" w:hAnsi="Garamond"/>
        </w:rPr>
        <w:t xml:space="preserve"> </w:t>
      </w:r>
      <w:r w:rsidRPr="00141834">
        <w:rPr>
          <w:rFonts w:ascii="Garamond" w:hAnsi="Garamond"/>
          <w:i/>
        </w:rPr>
        <w:t>Journal of Corporate Finance</w:t>
      </w:r>
      <w:r w:rsidRPr="00141834">
        <w:rPr>
          <w:rFonts w:ascii="Garamond" w:hAnsi="Garamond"/>
        </w:rPr>
        <w:t>, 45, 19-30.</w:t>
      </w:r>
    </w:p>
    <w:p w:rsidR="00EC2159" w:rsidRPr="00141834" w:rsidRDefault="00EC2159" w:rsidP="00EC2159">
      <w:pPr>
        <w:ind w:left="720" w:hanging="720"/>
        <w:jc w:val="both"/>
        <w:rPr>
          <w:rFonts w:ascii="Garamond" w:hAnsi="Garamond"/>
        </w:rPr>
      </w:pPr>
      <w:proofErr w:type="gramStart"/>
      <w:r w:rsidRPr="00141834">
        <w:rPr>
          <w:rFonts w:ascii="Garamond" w:hAnsi="Garamond"/>
        </w:rPr>
        <w:t>Levi, M., Li, K., Zhang, F. (2014).</w:t>
      </w:r>
      <w:proofErr w:type="gramEnd"/>
      <w:r w:rsidRPr="00141834">
        <w:rPr>
          <w:rFonts w:ascii="Garamond" w:hAnsi="Garamond"/>
        </w:rPr>
        <w:t xml:space="preserve"> </w:t>
      </w:r>
      <w:proofErr w:type="gramStart"/>
      <w:r w:rsidRPr="00141834">
        <w:rPr>
          <w:rFonts w:ascii="Garamond" w:hAnsi="Garamond"/>
        </w:rPr>
        <w:t>Director gender and mergers and acquisitions.</w:t>
      </w:r>
      <w:proofErr w:type="gramEnd"/>
      <w:r w:rsidRPr="00141834">
        <w:rPr>
          <w:rFonts w:ascii="Garamond" w:hAnsi="Garamond"/>
        </w:rPr>
        <w:t xml:space="preserve"> </w:t>
      </w:r>
      <w:r w:rsidRPr="00141834">
        <w:rPr>
          <w:rFonts w:ascii="Garamond" w:hAnsi="Garamond"/>
          <w:i/>
        </w:rPr>
        <w:t>Journal of Corporate Finance</w:t>
      </w:r>
      <w:r w:rsidRPr="00141834">
        <w:rPr>
          <w:rFonts w:ascii="Garamond" w:hAnsi="Garamond"/>
        </w:rPr>
        <w:t>, 28, 185-200.</w:t>
      </w:r>
    </w:p>
    <w:p w:rsidR="00EC2159" w:rsidRPr="00141834" w:rsidRDefault="00EC2159" w:rsidP="00EC2159">
      <w:pPr>
        <w:ind w:left="720" w:hanging="720"/>
        <w:jc w:val="both"/>
        <w:rPr>
          <w:rFonts w:ascii="Garamond" w:hAnsi="Garamond"/>
          <w:iCs/>
        </w:rPr>
      </w:pPr>
      <w:r w:rsidRPr="00141834">
        <w:rPr>
          <w:rFonts w:ascii="Garamond" w:hAnsi="Garamond"/>
        </w:rPr>
        <w:t xml:space="preserve">Li, Y., </w:t>
      </w:r>
      <w:proofErr w:type="spellStart"/>
      <w:r w:rsidRPr="00141834">
        <w:rPr>
          <w:rFonts w:ascii="Garamond" w:hAnsi="Garamond"/>
        </w:rPr>
        <w:t>Zeng</w:t>
      </w:r>
      <w:proofErr w:type="spellEnd"/>
      <w:r w:rsidRPr="00141834">
        <w:rPr>
          <w:rFonts w:ascii="Garamond" w:hAnsi="Garamond"/>
        </w:rPr>
        <w:t xml:space="preserve">, Y. (2019). The impact of top executive gender on asset prices: Evidence from stock price crash risk. </w:t>
      </w:r>
      <w:r w:rsidRPr="00141834">
        <w:rPr>
          <w:rFonts w:ascii="Garamond" w:hAnsi="Garamond"/>
          <w:i/>
        </w:rPr>
        <w:t>Journal of Corporate Finance</w:t>
      </w:r>
      <w:r w:rsidRPr="00141834">
        <w:rPr>
          <w:rFonts w:ascii="Garamond" w:hAnsi="Garamond"/>
          <w:iCs/>
        </w:rPr>
        <w:t>, 58, 528-550.</w:t>
      </w:r>
    </w:p>
    <w:p w:rsidR="00EC2159" w:rsidRPr="00141834" w:rsidRDefault="00EC2159" w:rsidP="00EC2159">
      <w:pPr>
        <w:ind w:left="720" w:hanging="720"/>
        <w:jc w:val="both"/>
        <w:rPr>
          <w:rFonts w:ascii="Garamond" w:hAnsi="Garamond"/>
        </w:rPr>
      </w:pPr>
      <w:r w:rsidRPr="00A33204">
        <w:rPr>
          <w:rFonts w:ascii="Garamond" w:hAnsi="Garamond"/>
          <w:lang w:val="de-DE"/>
        </w:rPr>
        <w:t xml:space="preserve">Liu, Y., Wei, Z., Xie, F. (2014). </w:t>
      </w:r>
      <w:r w:rsidRPr="00141834">
        <w:rPr>
          <w:rFonts w:ascii="Garamond" w:hAnsi="Garamond"/>
        </w:rPr>
        <w:t>Do women directors improve firm performance in China</w:t>
      </w:r>
      <w:proofErr w:type="gramStart"/>
      <w:r w:rsidRPr="00141834">
        <w:rPr>
          <w:rFonts w:ascii="Garamond" w:hAnsi="Garamond"/>
        </w:rPr>
        <w:t>?</w:t>
      </w:r>
      <w:r w:rsidR="00F337A6">
        <w:rPr>
          <w:rFonts w:ascii="Garamond" w:hAnsi="Garamond"/>
        </w:rPr>
        <w:t>.</w:t>
      </w:r>
      <w:proofErr w:type="gramEnd"/>
      <w:r w:rsidRPr="00141834">
        <w:rPr>
          <w:rFonts w:ascii="Garamond" w:hAnsi="Garamond"/>
        </w:rPr>
        <w:t xml:space="preserve"> </w:t>
      </w:r>
      <w:r w:rsidRPr="00141834">
        <w:rPr>
          <w:rFonts w:ascii="Garamond" w:hAnsi="Garamond"/>
          <w:i/>
        </w:rPr>
        <w:t>Journal of Corporate Finance</w:t>
      </w:r>
      <w:r w:rsidRPr="00141834">
        <w:rPr>
          <w:rFonts w:ascii="Garamond" w:hAnsi="Garamond"/>
        </w:rPr>
        <w:t>, 28, 169-184.</w:t>
      </w:r>
    </w:p>
    <w:p w:rsidR="00EC2159" w:rsidRPr="00141834" w:rsidRDefault="00EC2159" w:rsidP="00EC2159">
      <w:pPr>
        <w:ind w:left="720" w:hanging="720"/>
        <w:jc w:val="both"/>
        <w:rPr>
          <w:rFonts w:ascii="Garamond" w:hAnsi="Garamond"/>
        </w:rPr>
      </w:pPr>
      <w:proofErr w:type="spellStart"/>
      <w:r w:rsidRPr="00F16C06">
        <w:rPr>
          <w:rFonts w:ascii="Garamond" w:hAnsi="Garamond"/>
        </w:rPr>
        <w:t>Mamun</w:t>
      </w:r>
      <w:proofErr w:type="spellEnd"/>
      <w:r w:rsidRPr="00F16C06">
        <w:rPr>
          <w:rFonts w:ascii="Garamond" w:hAnsi="Garamond"/>
        </w:rPr>
        <w:t xml:space="preserve">, M. A., </w:t>
      </w:r>
      <w:proofErr w:type="spellStart"/>
      <w:r w:rsidRPr="00F16C06">
        <w:rPr>
          <w:rFonts w:ascii="Garamond" w:hAnsi="Garamond"/>
        </w:rPr>
        <w:t>Balachandran</w:t>
      </w:r>
      <w:proofErr w:type="spellEnd"/>
      <w:r w:rsidRPr="00F16C06">
        <w:rPr>
          <w:rFonts w:ascii="Garamond" w:hAnsi="Garamond"/>
        </w:rPr>
        <w:t xml:space="preserve">, B., Duong, H. N. (2020). </w:t>
      </w:r>
      <w:r w:rsidRPr="00141834">
        <w:rPr>
          <w:rFonts w:ascii="Garamond" w:hAnsi="Garamond"/>
        </w:rPr>
        <w:t xml:space="preserve">Powerful CEOs and stock price crash risk. </w:t>
      </w:r>
      <w:proofErr w:type="gramStart"/>
      <w:r w:rsidRPr="00141834">
        <w:rPr>
          <w:rFonts w:ascii="Garamond" w:hAnsi="Garamond"/>
          <w:i/>
          <w:iCs/>
        </w:rPr>
        <w:t>Journal of Corporate Finance</w:t>
      </w:r>
      <w:r w:rsidRPr="00141834">
        <w:rPr>
          <w:rFonts w:ascii="Garamond" w:hAnsi="Garamond"/>
        </w:rPr>
        <w:t>, 62, 101582.</w:t>
      </w:r>
      <w:proofErr w:type="gramEnd"/>
    </w:p>
    <w:p w:rsidR="00EC2159" w:rsidRPr="00141834" w:rsidRDefault="00EC2159" w:rsidP="00EC2159">
      <w:pPr>
        <w:ind w:left="720" w:hanging="720"/>
        <w:jc w:val="both"/>
        <w:rPr>
          <w:rFonts w:ascii="Garamond" w:hAnsi="Garamond"/>
        </w:rPr>
      </w:pPr>
      <w:proofErr w:type="spellStart"/>
      <w:r w:rsidRPr="00141834">
        <w:rPr>
          <w:rFonts w:ascii="Garamond" w:hAnsi="Garamond"/>
        </w:rPr>
        <w:t>Matsa</w:t>
      </w:r>
      <w:proofErr w:type="spellEnd"/>
      <w:r w:rsidRPr="00141834">
        <w:rPr>
          <w:rFonts w:ascii="Garamond" w:hAnsi="Garamond"/>
        </w:rPr>
        <w:t xml:space="preserve">, D. A., Miller, A. R. (2011). </w:t>
      </w:r>
      <w:proofErr w:type="gramStart"/>
      <w:r w:rsidRPr="00141834">
        <w:rPr>
          <w:rFonts w:ascii="Garamond" w:hAnsi="Garamond"/>
        </w:rPr>
        <w:t xml:space="preserve">Chipping away at the glass ceiling: Gender </w:t>
      </w:r>
      <w:proofErr w:type="spellStart"/>
      <w:r w:rsidRPr="00141834">
        <w:rPr>
          <w:rFonts w:ascii="Garamond" w:hAnsi="Garamond"/>
        </w:rPr>
        <w:t>spillovers</w:t>
      </w:r>
      <w:proofErr w:type="spellEnd"/>
      <w:r w:rsidRPr="00141834">
        <w:rPr>
          <w:rFonts w:ascii="Garamond" w:hAnsi="Garamond"/>
        </w:rPr>
        <w:t xml:space="preserve"> in corporate leadership.</w:t>
      </w:r>
      <w:proofErr w:type="gramEnd"/>
      <w:r w:rsidRPr="00141834">
        <w:rPr>
          <w:rFonts w:ascii="Garamond" w:hAnsi="Garamond"/>
        </w:rPr>
        <w:t xml:space="preserve"> </w:t>
      </w:r>
      <w:r w:rsidRPr="00141834">
        <w:rPr>
          <w:rFonts w:ascii="Garamond" w:hAnsi="Garamond"/>
          <w:i/>
        </w:rPr>
        <w:t>American Economic Review</w:t>
      </w:r>
      <w:r w:rsidRPr="00141834">
        <w:rPr>
          <w:rFonts w:ascii="Garamond" w:hAnsi="Garamond"/>
        </w:rPr>
        <w:t>, 101, 635</w:t>
      </w:r>
      <w:r w:rsidR="00AC06C2" w:rsidRPr="00141834">
        <w:rPr>
          <w:rFonts w:ascii="Garamond" w:hAnsi="Garamond"/>
        </w:rPr>
        <w:t>-</w:t>
      </w:r>
      <w:r w:rsidRPr="00141834">
        <w:rPr>
          <w:rFonts w:ascii="Garamond" w:hAnsi="Garamond"/>
        </w:rPr>
        <w:t>639.</w:t>
      </w:r>
    </w:p>
    <w:p w:rsidR="00EC2159" w:rsidRPr="00141834" w:rsidRDefault="00EC2159" w:rsidP="00EC2159">
      <w:pPr>
        <w:ind w:left="720" w:hanging="720"/>
        <w:jc w:val="both"/>
        <w:rPr>
          <w:rFonts w:ascii="Garamond" w:hAnsi="Garamond"/>
        </w:rPr>
      </w:pPr>
      <w:proofErr w:type="spellStart"/>
      <w:r w:rsidRPr="00141834">
        <w:rPr>
          <w:rFonts w:ascii="Garamond" w:hAnsi="Garamond"/>
        </w:rPr>
        <w:t>Matsa</w:t>
      </w:r>
      <w:proofErr w:type="spellEnd"/>
      <w:r w:rsidRPr="00141834">
        <w:rPr>
          <w:rFonts w:ascii="Garamond" w:hAnsi="Garamond"/>
        </w:rPr>
        <w:t xml:space="preserve">, D. A., Miller, A. R. (2013). </w:t>
      </w:r>
      <w:proofErr w:type="gramStart"/>
      <w:r w:rsidRPr="00141834">
        <w:rPr>
          <w:rFonts w:ascii="Garamond" w:hAnsi="Garamond"/>
        </w:rPr>
        <w:t>A female style in corporate leadership?</w:t>
      </w:r>
      <w:proofErr w:type="gramEnd"/>
      <w:r w:rsidRPr="00141834">
        <w:rPr>
          <w:rFonts w:ascii="Garamond" w:hAnsi="Garamond"/>
        </w:rPr>
        <w:t xml:space="preserve"> </w:t>
      </w:r>
      <w:proofErr w:type="gramStart"/>
      <w:r w:rsidRPr="00141834">
        <w:rPr>
          <w:rFonts w:ascii="Garamond" w:hAnsi="Garamond"/>
        </w:rPr>
        <w:t>Evidence from quotas.</w:t>
      </w:r>
      <w:proofErr w:type="gramEnd"/>
      <w:r w:rsidRPr="00141834">
        <w:rPr>
          <w:rFonts w:ascii="Garamond" w:hAnsi="Garamond"/>
        </w:rPr>
        <w:t xml:space="preserve"> </w:t>
      </w:r>
      <w:r w:rsidRPr="00141834">
        <w:rPr>
          <w:rFonts w:ascii="Garamond" w:hAnsi="Garamond"/>
          <w:i/>
        </w:rPr>
        <w:t>American Economic Journal: Applied Economics</w:t>
      </w:r>
      <w:r w:rsidRPr="00141834">
        <w:rPr>
          <w:rFonts w:ascii="Garamond" w:hAnsi="Garamond"/>
        </w:rPr>
        <w:t>, 5, 136</w:t>
      </w:r>
      <w:r w:rsidR="00AC06C2" w:rsidRPr="00141834">
        <w:rPr>
          <w:rFonts w:ascii="Garamond" w:hAnsi="Garamond"/>
        </w:rPr>
        <w:t>-</w:t>
      </w:r>
      <w:r w:rsidRPr="00141834">
        <w:rPr>
          <w:rFonts w:ascii="Garamond" w:hAnsi="Garamond"/>
        </w:rPr>
        <w:t>169.</w:t>
      </w:r>
    </w:p>
    <w:p w:rsidR="00EC2159" w:rsidRPr="00141834" w:rsidRDefault="00EC2159" w:rsidP="00EC2159">
      <w:pPr>
        <w:ind w:left="720" w:hanging="720"/>
        <w:jc w:val="both"/>
        <w:rPr>
          <w:rFonts w:ascii="Garamond" w:hAnsi="Garamond"/>
        </w:rPr>
      </w:pPr>
      <w:r w:rsidRPr="00141834">
        <w:rPr>
          <w:rFonts w:ascii="Garamond" w:hAnsi="Garamond"/>
        </w:rPr>
        <w:t xml:space="preserve">Meyers-Levy, J., </w:t>
      </w:r>
      <w:proofErr w:type="spellStart"/>
      <w:r w:rsidRPr="00141834">
        <w:rPr>
          <w:rFonts w:ascii="Garamond" w:hAnsi="Garamond"/>
        </w:rPr>
        <w:t>Loken</w:t>
      </w:r>
      <w:proofErr w:type="spellEnd"/>
      <w:r w:rsidRPr="00141834">
        <w:rPr>
          <w:rFonts w:ascii="Garamond" w:hAnsi="Garamond"/>
        </w:rPr>
        <w:t xml:space="preserve">, B. (2015). </w:t>
      </w:r>
      <w:proofErr w:type="gramStart"/>
      <w:r w:rsidRPr="00141834">
        <w:rPr>
          <w:rFonts w:ascii="Garamond" w:hAnsi="Garamond"/>
        </w:rPr>
        <w:t>Revisiting gender differences: What we know and what lies ahead.</w:t>
      </w:r>
      <w:proofErr w:type="gramEnd"/>
      <w:r w:rsidRPr="00141834">
        <w:rPr>
          <w:rFonts w:ascii="Garamond" w:hAnsi="Garamond"/>
        </w:rPr>
        <w:t xml:space="preserve"> </w:t>
      </w:r>
      <w:r w:rsidRPr="00141834">
        <w:rPr>
          <w:rFonts w:ascii="Garamond" w:hAnsi="Garamond"/>
          <w:i/>
          <w:iCs/>
        </w:rPr>
        <w:t>Journal of Consumer Psychology</w:t>
      </w:r>
      <w:r w:rsidRPr="00141834">
        <w:rPr>
          <w:rFonts w:ascii="Garamond" w:hAnsi="Garamond"/>
        </w:rPr>
        <w:t>, 25, 129</w:t>
      </w:r>
      <w:r w:rsidR="00AC06C2" w:rsidRPr="00141834">
        <w:rPr>
          <w:rFonts w:ascii="Garamond" w:hAnsi="Garamond"/>
        </w:rPr>
        <w:t>-</w:t>
      </w:r>
      <w:r w:rsidRPr="00141834">
        <w:rPr>
          <w:rFonts w:ascii="Garamond" w:hAnsi="Garamond"/>
        </w:rPr>
        <w:t>149.</w:t>
      </w:r>
    </w:p>
    <w:p w:rsidR="00EC2159" w:rsidRPr="00141834" w:rsidRDefault="00EC2159" w:rsidP="00EC2159">
      <w:pPr>
        <w:ind w:left="720" w:hanging="720"/>
        <w:jc w:val="both"/>
        <w:rPr>
          <w:rFonts w:ascii="Garamond" w:hAnsi="Garamond"/>
        </w:rPr>
      </w:pPr>
      <w:proofErr w:type="spellStart"/>
      <w:proofErr w:type="gramStart"/>
      <w:r w:rsidRPr="00141834">
        <w:rPr>
          <w:rFonts w:ascii="Garamond" w:hAnsi="Garamond"/>
        </w:rPr>
        <w:t>Mian</w:t>
      </w:r>
      <w:proofErr w:type="spellEnd"/>
      <w:r w:rsidRPr="00141834">
        <w:rPr>
          <w:rFonts w:ascii="Garamond" w:hAnsi="Garamond"/>
        </w:rPr>
        <w:t>, S. (2001).</w:t>
      </w:r>
      <w:proofErr w:type="gramEnd"/>
      <w:r w:rsidRPr="00141834">
        <w:rPr>
          <w:rFonts w:ascii="Garamond" w:hAnsi="Garamond"/>
        </w:rPr>
        <w:t xml:space="preserve"> </w:t>
      </w:r>
      <w:proofErr w:type="gramStart"/>
      <w:r w:rsidRPr="00141834">
        <w:rPr>
          <w:rFonts w:ascii="Garamond" w:hAnsi="Garamond"/>
        </w:rPr>
        <w:t>On the choice and replacement of chief financial officers.</w:t>
      </w:r>
      <w:proofErr w:type="gramEnd"/>
      <w:r w:rsidRPr="00141834">
        <w:rPr>
          <w:rFonts w:ascii="Garamond" w:hAnsi="Garamond"/>
        </w:rPr>
        <w:t xml:space="preserve"> </w:t>
      </w:r>
      <w:r w:rsidRPr="00141834">
        <w:rPr>
          <w:rFonts w:ascii="Garamond" w:hAnsi="Garamond"/>
          <w:i/>
          <w:iCs/>
        </w:rPr>
        <w:t>Journal of Financial Economics</w:t>
      </w:r>
      <w:r w:rsidRPr="00141834">
        <w:rPr>
          <w:rFonts w:ascii="Garamond" w:hAnsi="Garamond"/>
        </w:rPr>
        <w:t>, 60 (1</w:t>
      </w:r>
      <w:r w:rsidR="00D8428B" w:rsidRPr="00141834">
        <w:rPr>
          <w:rFonts w:ascii="Garamond" w:hAnsi="Garamond"/>
        </w:rPr>
        <w:t>)</w:t>
      </w:r>
      <w:r w:rsidR="00D8428B">
        <w:rPr>
          <w:rFonts w:ascii="Garamond" w:hAnsi="Garamond"/>
        </w:rPr>
        <w:t>,</w:t>
      </w:r>
      <w:r w:rsidR="00D8428B" w:rsidRPr="00141834">
        <w:rPr>
          <w:rFonts w:ascii="Garamond" w:hAnsi="Garamond"/>
        </w:rPr>
        <w:t xml:space="preserve"> </w:t>
      </w:r>
      <w:r w:rsidRPr="00141834">
        <w:rPr>
          <w:rFonts w:ascii="Garamond" w:hAnsi="Garamond"/>
        </w:rPr>
        <w:t>143-175.</w:t>
      </w:r>
    </w:p>
    <w:p w:rsidR="00EC2159" w:rsidRPr="00141834" w:rsidRDefault="00EC2159" w:rsidP="00EC2159">
      <w:pPr>
        <w:ind w:left="720" w:hanging="720"/>
        <w:jc w:val="both"/>
        <w:rPr>
          <w:rFonts w:ascii="Garamond" w:hAnsi="Garamond"/>
        </w:rPr>
      </w:pPr>
      <w:proofErr w:type="gramStart"/>
      <w:r w:rsidRPr="00F16C06">
        <w:rPr>
          <w:rFonts w:ascii="Garamond" w:hAnsi="Garamond"/>
        </w:rPr>
        <w:t>Modigliani, F., Miller, M. H. (1958).</w:t>
      </w:r>
      <w:proofErr w:type="gramEnd"/>
      <w:r w:rsidRPr="00F16C06">
        <w:rPr>
          <w:rFonts w:ascii="Garamond" w:hAnsi="Garamond"/>
        </w:rPr>
        <w:t xml:space="preserve"> </w:t>
      </w:r>
      <w:proofErr w:type="gramStart"/>
      <w:r w:rsidRPr="00141834">
        <w:rPr>
          <w:rFonts w:ascii="Garamond" w:hAnsi="Garamond"/>
        </w:rPr>
        <w:t>The cost of capital, corporation finance and the theory of investment.</w:t>
      </w:r>
      <w:proofErr w:type="gramEnd"/>
      <w:r w:rsidRPr="00141834">
        <w:rPr>
          <w:rFonts w:ascii="Garamond" w:hAnsi="Garamond"/>
        </w:rPr>
        <w:t xml:space="preserve"> </w:t>
      </w:r>
      <w:r w:rsidRPr="00141834">
        <w:rPr>
          <w:rFonts w:ascii="Garamond" w:hAnsi="Garamond"/>
          <w:i/>
        </w:rPr>
        <w:t>American Economic Review</w:t>
      </w:r>
      <w:r w:rsidRPr="00141834">
        <w:rPr>
          <w:rFonts w:ascii="Garamond" w:hAnsi="Garamond"/>
        </w:rPr>
        <w:t>, 48 (3), 261-297.</w:t>
      </w:r>
    </w:p>
    <w:p w:rsidR="00EC2159" w:rsidRPr="00141834" w:rsidRDefault="00EC2159" w:rsidP="00EC2159">
      <w:pPr>
        <w:ind w:left="720" w:hanging="720"/>
        <w:jc w:val="both"/>
        <w:rPr>
          <w:rFonts w:ascii="Garamond" w:hAnsi="Garamond"/>
        </w:rPr>
      </w:pPr>
      <w:r w:rsidRPr="00141834">
        <w:rPr>
          <w:rFonts w:ascii="Garamond" w:hAnsi="Garamond"/>
        </w:rPr>
        <w:t xml:space="preserve">Molina, C. A. (2005). Are firms underleveraged? </w:t>
      </w:r>
      <w:proofErr w:type="gramStart"/>
      <w:r w:rsidRPr="00141834">
        <w:rPr>
          <w:rFonts w:ascii="Garamond" w:hAnsi="Garamond"/>
        </w:rPr>
        <w:t>An examination of the effect of leverage on default probabilities.</w:t>
      </w:r>
      <w:proofErr w:type="gramEnd"/>
      <w:r w:rsidRPr="00141834">
        <w:rPr>
          <w:rFonts w:ascii="Garamond" w:hAnsi="Garamond"/>
        </w:rPr>
        <w:t xml:space="preserve"> </w:t>
      </w:r>
      <w:r w:rsidRPr="00141834">
        <w:rPr>
          <w:rFonts w:ascii="Garamond" w:hAnsi="Garamond"/>
          <w:i/>
          <w:iCs/>
        </w:rPr>
        <w:t>Journal of Finance</w:t>
      </w:r>
      <w:r w:rsidRPr="00141834">
        <w:rPr>
          <w:rFonts w:ascii="Garamond" w:hAnsi="Garamond"/>
        </w:rPr>
        <w:t>, 60, 1427-1459.</w:t>
      </w:r>
    </w:p>
    <w:p w:rsidR="00EC2159" w:rsidRPr="00141834" w:rsidRDefault="00EC2159" w:rsidP="00EC2159">
      <w:pPr>
        <w:ind w:left="720" w:hanging="720"/>
        <w:jc w:val="both"/>
        <w:rPr>
          <w:rFonts w:ascii="Garamond" w:hAnsi="Garamond"/>
        </w:rPr>
      </w:pPr>
      <w:r w:rsidRPr="00A33204">
        <w:rPr>
          <w:rFonts w:ascii="Garamond" w:hAnsi="Garamond"/>
          <w:lang w:val="de-DE"/>
        </w:rPr>
        <w:t xml:space="preserve">Morse, A., Nanda, V., Seru, A. (2011). </w:t>
      </w:r>
      <w:r w:rsidRPr="00141834">
        <w:rPr>
          <w:rFonts w:ascii="Garamond" w:hAnsi="Garamond"/>
        </w:rPr>
        <w:t>Are incentive contracts rigged by powerful CEOs</w:t>
      </w:r>
      <w:proofErr w:type="gramStart"/>
      <w:r w:rsidRPr="00141834">
        <w:rPr>
          <w:rFonts w:ascii="Garamond" w:hAnsi="Garamond"/>
        </w:rPr>
        <w:t>?</w:t>
      </w:r>
      <w:r w:rsidR="00F337A6">
        <w:rPr>
          <w:rFonts w:ascii="Garamond" w:hAnsi="Garamond"/>
        </w:rPr>
        <w:t>.</w:t>
      </w:r>
      <w:proofErr w:type="gramEnd"/>
      <w:r w:rsidRPr="00141834">
        <w:rPr>
          <w:rFonts w:ascii="Garamond" w:hAnsi="Garamond"/>
        </w:rPr>
        <w:t xml:space="preserve"> </w:t>
      </w:r>
      <w:r w:rsidRPr="00141834">
        <w:rPr>
          <w:rFonts w:ascii="Garamond" w:hAnsi="Garamond"/>
          <w:i/>
        </w:rPr>
        <w:t>Journal of Finance</w:t>
      </w:r>
      <w:r w:rsidRPr="00141834">
        <w:rPr>
          <w:rFonts w:ascii="Garamond" w:hAnsi="Garamond"/>
        </w:rPr>
        <w:t>, 66, 1779-1821.</w:t>
      </w:r>
    </w:p>
    <w:p w:rsidR="00EC2159" w:rsidRPr="00141834" w:rsidRDefault="00EC2159" w:rsidP="00EC2159">
      <w:pPr>
        <w:ind w:left="720" w:hanging="720"/>
        <w:jc w:val="both"/>
        <w:rPr>
          <w:rFonts w:ascii="Garamond" w:hAnsi="Garamond"/>
        </w:rPr>
      </w:pPr>
      <w:proofErr w:type="spellStart"/>
      <w:r w:rsidRPr="00141834">
        <w:rPr>
          <w:rFonts w:ascii="Garamond" w:hAnsi="Garamond"/>
        </w:rPr>
        <w:t>Nini</w:t>
      </w:r>
      <w:proofErr w:type="spellEnd"/>
      <w:r w:rsidRPr="00141834">
        <w:rPr>
          <w:rFonts w:ascii="Garamond" w:hAnsi="Garamond"/>
        </w:rPr>
        <w:t xml:space="preserve">, G., Smith, D. C., Sufi, A. (2012). Creditor control rights, corporate governance, and firm value. </w:t>
      </w:r>
      <w:r w:rsidRPr="00141834">
        <w:rPr>
          <w:rFonts w:ascii="Garamond" w:hAnsi="Garamond"/>
          <w:i/>
        </w:rPr>
        <w:t>Review of Financial Studies</w:t>
      </w:r>
      <w:r w:rsidRPr="00141834">
        <w:rPr>
          <w:rFonts w:ascii="Garamond" w:hAnsi="Garamond"/>
        </w:rPr>
        <w:t>, 25 (6), 1713</w:t>
      </w:r>
      <w:r w:rsidR="00AC06C2" w:rsidRPr="00141834">
        <w:rPr>
          <w:rFonts w:ascii="Garamond" w:hAnsi="Garamond"/>
        </w:rPr>
        <w:t>-</w:t>
      </w:r>
      <w:r w:rsidRPr="00141834">
        <w:rPr>
          <w:rFonts w:ascii="Garamond" w:hAnsi="Garamond"/>
        </w:rPr>
        <w:t>1761.</w:t>
      </w:r>
    </w:p>
    <w:p w:rsidR="00EC2159" w:rsidRPr="00141834" w:rsidRDefault="00EC2159" w:rsidP="00EC2159">
      <w:pPr>
        <w:ind w:left="720" w:hanging="720"/>
        <w:jc w:val="both"/>
        <w:rPr>
          <w:rFonts w:ascii="Garamond" w:hAnsi="Garamond"/>
        </w:rPr>
      </w:pPr>
      <w:r w:rsidRPr="00141834">
        <w:rPr>
          <w:rFonts w:ascii="Garamond" w:hAnsi="Garamond"/>
        </w:rPr>
        <w:t>Olsen, R. A.</w:t>
      </w:r>
      <w:r w:rsidR="00D8428B">
        <w:rPr>
          <w:rFonts w:ascii="Garamond" w:hAnsi="Garamond"/>
        </w:rPr>
        <w:t>,</w:t>
      </w:r>
      <w:r w:rsidRPr="00141834">
        <w:rPr>
          <w:rFonts w:ascii="Garamond" w:hAnsi="Garamond"/>
        </w:rPr>
        <w:t xml:space="preserve"> Cox, C. M. (2001). The </w:t>
      </w:r>
      <w:r w:rsidR="00D8428B">
        <w:rPr>
          <w:rFonts w:ascii="Garamond" w:hAnsi="Garamond"/>
        </w:rPr>
        <w:t>i</w:t>
      </w:r>
      <w:r w:rsidR="00D8428B" w:rsidRPr="00141834">
        <w:rPr>
          <w:rFonts w:ascii="Garamond" w:hAnsi="Garamond"/>
        </w:rPr>
        <w:t xml:space="preserve">nfluence </w:t>
      </w:r>
      <w:r w:rsidRPr="00141834">
        <w:rPr>
          <w:rFonts w:ascii="Garamond" w:hAnsi="Garamond"/>
        </w:rPr>
        <w:t xml:space="preserve">of </w:t>
      </w:r>
      <w:r w:rsidR="00D8428B">
        <w:rPr>
          <w:rFonts w:ascii="Garamond" w:hAnsi="Garamond"/>
        </w:rPr>
        <w:t>g</w:t>
      </w:r>
      <w:r w:rsidR="00D8428B" w:rsidRPr="00141834">
        <w:rPr>
          <w:rFonts w:ascii="Garamond" w:hAnsi="Garamond"/>
        </w:rPr>
        <w:t xml:space="preserve">ender </w:t>
      </w:r>
      <w:r w:rsidRPr="00141834">
        <w:rPr>
          <w:rFonts w:ascii="Garamond" w:hAnsi="Garamond"/>
        </w:rPr>
        <w:t xml:space="preserve">on the </w:t>
      </w:r>
      <w:r w:rsidR="00D8428B">
        <w:rPr>
          <w:rFonts w:ascii="Garamond" w:hAnsi="Garamond"/>
        </w:rPr>
        <w:t>p</w:t>
      </w:r>
      <w:r w:rsidR="00D8428B" w:rsidRPr="00141834">
        <w:rPr>
          <w:rFonts w:ascii="Garamond" w:hAnsi="Garamond"/>
        </w:rPr>
        <w:t xml:space="preserve">erception </w:t>
      </w:r>
      <w:r w:rsidRPr="00141834">
        <w:rPr>
          <w:rFonts w:ascii="Garamond" w:hAnsi="Garamond"/>
        </w:rPr>
        <w:t xml:space="preserve">and </w:t>
      </w:r>
      <w:r w:rsidR="00D8428B">
        <w:rPr>
          <w:rFonts w:ascii="Garamond" w:hAnsi="Garamond"/>
        </w:rPr>
        <w:t>r</w:t>
      </w:r>
      <w:r w:rsidR="00D8428B" w:rsidRPr="00141834">
        <w:rPr>
          <w:rFonts w:ascii="Garamond" w:hAnsi="Garamond"/>
        </w:rPr>
        <w:t xml:space="preserve">esponse </w:t>
      </w:r>
      <w:r w:rsidRPr="00141834">
        <w:rPr>
          <w:rFonts w:ascii="Garamond" w:hAnsi="Garamond"/>
        </w:rPr>
        <w:t xml:space="preserve">to </w:t>
      </w:r>
      <w:r w:rsidR="00D8428B">
        <w:rPr>
          <w:rFonts w:ascii="Garamond" w:hAnsi="Garamond"/>
        </w:rPr>
        <w:t>i</w:t>
      </w:r>
      <w:r w:rsidR="00D8428B" w:rsidRPr="00141834">
        <w:rPr>
          <w:rFonts w:ascii="Garamond" w:hAnsi="Garamond"/>
        </w:rPr>
        <w:t xml:space="preserve">nvestment </w:t>
      </w:r>
      <w:r w:rsidR="00D8428B">
        <w:rPr>
          <w:rFonts w:ascii="Garamond" w:hAnsi="Garamond"/>
        </w:rPr>
        <w:t>r</w:t>
      </w:r>
      <w:r w:rsidR="00D8428B" w:rsidRPr="00141834">
        <w:rPr>
          <w:rFonts w:ascii="Garamond" w:hAnsi="Garamond"/>
        </w:rPr>
        <w:t>isk</w:t>
      </w:r>
      <w:r w:rsidRPr="00141834">
        <w:rPr>
          <w:rFonts w:ascii="Garamond" w:hAnsi="Garamond"/>
        </w:rPr>
        <w:t xml:space="preserve">: The </w:t>
      </w:r>
      <w:r w:rsidR="00D8428B">
        <w:rPr>
          <w:rFonts w:ascii="Garamond" w:hAnsi="Garamond"/>
        </w:rPr>
        <w:t>c</w:t>
      </w:r>
      <w:r w:rsidR="00D8428B" w:rsidRPr="00141834">
        <w:rPr>
          <w:rFonts w:ascii="Garamond" w:hAnsi="Garamond"/>
        </w:rPr>
        <w:t xml:space="preserve">ase </w:t>
      </w:r>
      <w:r w:rsidRPr="00141834">
        <w:rPr>
          <w:rFonts w:ascii="Garamond" w:hAnsi="Garamond"/>
        </w:rPr>
        <w:t xml:space="preserve">of </w:t>
      </w:r>
      <w:r w:rsidR="00D8428B">
        <w:rPr>
          <w:rFonts w:ascii="Garamond" w:hAnsi="Garamond"/>
        </w:rPr>
        <w:t>p</w:t>
      </w:r>
      <w:r w:rsidR="00D8428B" w:rsidRPr="00141834">
        <w:rPr>
          <w:rFonts w:ascii="Garamond" w:hAnsi="Garamond"/>
        </w:rPr>
        <w:t xml:space="preserve">rofessional </w:t>
      </w:r>
      <w:r w:rsidR="00D8428B">
        <w:rPr>
          <w:rFonts w:ascii="Garamond" w:hAnsi="Garamond"/>
        </w:rPr>
        <w:t>i</w:t>
      </w:r>
      <w:r w:rsidR="00D8428B" w:rsidRPr="00141834">
        <w:rPr>
          <w:rFonts w:ascii="Garamond" w:hAnsi="Garamond"/>
        </w:rPr>
        <w:t>nvestors</w:t>
      </w:r>
      <w:r w:rsidRPr="00141834">
        <w:rPr>
          <w:rFonts w:ascii="Garamond" w:hAnsi="Garamond"/>
        </w:rPr>
        <w:t xml:space="preserve">. </w:t>
      </w:r>
      <w:r w:rsidRPr="00141834">
        <w:rPr>
          <w:rFonts w:ascii="Garamond" w:hAnsi="Garamond"/>
          <w:i/>
          <w:iCs/>
        </w:rPr>
        <w:t>Journal of Psychology and Financial Markets</w:t>
      </w:r>
      <w:r w:rsidRPr="00141834">
        <w:rPr>
          <w:rFonts w:ascii="Garamond" w:hAnsi="Garamond"/>
        </w:rPr>
        <w:t>, 2 (1</w:t>
      </w:r>
      <w:r w:rsidR="00D8428B" w:rsidRPr="00141834">
        <w:rPr>
          <w:rFonts w:ascii="Garamond" w:hAnsi="Garamond"/>
        </w:rPr>
        <w:t>)</w:t>
      </w:r>
      <w:r w:rsidR="00D8428B">
        <w:rPr>
          <w:rFonts w:ascii="Garamond" w:hAnsi="Garamond"/>
        </w:rPr>
        <w:t>,</w:t>
      </w:r>
      <w:r w:rsidR="00D8428B" w:rsidRPr="00141834">
        <w:rPr>
          <w:rFonts w:ascii="Garamond" w:hAnsi="Garamond"/>
        </w:rPr>
        <w:t xml:space="preserve"> </w:t>
      </w:r>
      <w:r w:rsidRPr="00141834">
        <w:rPr>
          <w:rFonts w:ascii="Garamond" w:hAnsi="Garamond"/>
        </w:rPr>
        <w:t>29-36.</w:t>
      </w:r>
    </w:p>
    <w:p w:rsidR="00EC2159" w:rsidRPr="00141834" w:rsidRDefault="00EC2159" w:rsidP="00EC2159">
      <w:pPr>
        <w:ind w:left="720" w:hanging="720"/>
        <w:jc w:val="both"/>
        <w:rPr>
          <w:rFonts w:ascii="Garamond" w:hAnsi="Garamond"/>
        </w:rPr>
      </w:pPr>
      <w:r w:rsidRPr="00141834">
        <w:rPr>
          <w:rFonts w:ascii="Garamond" w:hAnsi="Garamond"/>
        </w:rPr>
        <w:t xml:space="preserve">Parsons, C. A., Titman, S. (2008). Empirical capital structure: A review. </w:t>
      </w:r>
      <w:r w:rsidRPr="00141834">
        <w:rPr>
          <w:rFonts w:ascii="Garamond" w:hAnsi="Garamond"/>
          <w:i/>
        </w:rPr>
        <w:t>Foundations and Trends in Finance</w:t>
      </w:r>
      <w:r w:rsidRPr="00141834">
        <w:rPr>
          <w:rFonts w:ascii="Garamond" w:hAnsi="Garamond"/>
        </w:rPr>
        <w:t>, 3 (1), 1</w:t>
      </w:r>
      <w:r w:rsidR="00AC06C2" w:rsidRPr="00141834">
        <w:rPr>
          <w:rFonts w:ascii="Garamond" w:hAnsi="Garamond"/>
        </w:rPr>
        <w:t>-</w:t>
      </w:r>
      <w:r w:rsidRPr="00141834">
        <w:rPr>
          <w:rFonts w:ascii="Garamond" w:hAnsi="Garamond"/>
        </w:rPr>
        <w:t>93.</w:t>
      </w:r>
    </w:p>
    <w:p w:rsidR="00EC2159" w:rsidRPr="00141834" w:rsidRDefault="00EC2159" w:rsidP="00EC2159">
      <w:pPr>
        <w:ind w:left="720" w:hanging="720"/>
        <w:jc w:val="both"/>
        <w:rPr>
          <w:rFonts w:ascii="Garamond" w:hAnsi="Garamond"/>
        </w:rPr>
      </w:pPr>
      <w:r w:rsidRPr="00141834">
        <w:rPr>
          <w:rFonts w:ascii="Garamond" w:hAnsi="Garamond"/>
        </w:rPr>
        <w:lastRenderedPageBreak/>
        <w:t xml:space="preserve">Quigley, T. J., </w:t>
      </w:r>
      <w:proofErr w:type="spellStart"/>
      <w:r w:rsidRPr="00141834">
        <w:rPr>
          <w:rFonts w:ascii="Garamond" w:hAnsi="Garamond"/>
        </w:rPr>
        <w:t>Hambrick</w:t>
      </w:r>
      <w:proofErr w:type="spellEnd"/>
      <w:r w:rsidRPr="00141834">
        <w:rPr>
          <w:rFonts w:ascii="Garamond" w:hAnsi="Garamond"/>
        </w:rPr>
        <w:t xml:space="preserve">, D. C. (2015). Has the “CEO effect” increased in recent decades? </w:t>
      </w:r>
      <w:proofErr w:type="gramStart"/>
      <w:r w:rsidRPr="00141834">
        <w:rPr>
          <w:rFonts w:ascii="Garamond" w:hAnsi="Garamond"/>
        </w:rPr>
        <w:t>A new explanation for the great rise in America’s attention to corporate leaders.</w:t>
      </w:r>
      <w:proofErr w:type="gramEnd"/>
      <w:r w:rsidRPr="00141834">
        <w:rPr>
          <w:rFonts w:ascii="Garamond" w:hAnsi="Garamond"/>
        </w:rPr>
        <w:t xml:space="preserve"> </w:t>
      </w:r>
      <w:r w:rsidRPr="00141834">
        <w:rPr>
          <w:rFonts w:ascii="Garamond" w:hAnsi="Garamond"/>
          <w:i/>
          <w:iCs/>
        </w:rPr>
        <w:t>Strategic Management Journal</w:t>
      </w:r>
      <w:r w:rsidRPr="00141834">
        <w:rPr>
          <w:rFonts w:ascii="Garamond" w:hAnsi="Garamond"/>
        </w:rPr>
        <w:t>, 36, 821</w:t>
      </w:r>
      <w:r w:rsidR="00AC06C2" w:rsidRPr="00141834">
        <w:rPr>
          <w:rFonts w:ascii="Garamond" w:hAnsi="Garamond"/>
        </w:rPr>
        <w:t>-</w:t>
      </w:r>
      <w:r w:rsidRPr="00141834">
        <w:rPr>
          <w:rFonts w:ascii="Garamond" w:hAnsi="Garamond"/>
        </w:rPr>
        <w:t>830.</w:t>
      </w:r>
    </w:p>
    <w:p w:rsidR="00EC2159" w:rsidRPr="00141834" w:rsidRDefault="00EC2159" w:rsidP="00EC2159">
      <w:pPr>
        <w:ind w:left="720" w:hanging="720"/>
        <w:jc w:val="both"/>
        <w:rPr>
          <w:rFonts w:ascii="Garamond" w:hAnsi="Garamond"/>
        </w:rPr>
      </w:pPr>
      <w:proofErr w:type="spellStart"/>
      <w:r w:rsidRPr="00141834">
        <w:rPr>
          <w:rFonts w:ascii="Garamond" w:hAnsi="Garamond"/>
        </w:rPr>
        <w:t>Shoham</w:t>
      </w:r>
      <w:proofErr w:type="spellEnd"/>
      <w:r w:rsidRPr="00141834">
        <w:rPr>
          <w:rFonts w:ascii="Garamond" w:hAnsi="Garamond"/>
        </w:rPr>
        <w:t xml:space="preserve">, A., Lee, S. M., Khan, Z., </w:t>
      </w:r>
      <w:proofErr w:type="spellStart"/>
      <w:r w:rsidRPr="00141834">
        <w:rPr>
          <w:rFonts w:ascii="Garamond" w:hAnsi="Garamond"/>
        </w:rPr>
        <w:t>Tarba</w:t>
      </w:r>
      <w:proofErr w:type="spellEnd"/>
      <w:r w:rsidRPr="00141834">
        <w:rPr>
          <w:rFonts w:ascii="Garamond" w:hAnsi="Garamond"/>
        </w:rPr>
        <w:t>, S. Y.</w:t>
      </w:r>
      <w:r w:rsidR="00D8428B">
        <w:rPr>
          <w:rFonts w:ascii="Garamond" w:hAnsi="Garamond"/>
        </w:rPr>
        <w:t>,</w:t>
      </w:r>
      <w:r w:rsidRPr="00141834">
        <w:rPr>
          <w:rFonts w:ascii="Garamond" w:hAnsi="Garamond"/>
        </w:rPr>
        <w:t xml:space="preserve"> </w:t>
      </w:r>
      <w:proofErr w:type="spellStart"/>
      <w:r w:rsidRPr="00141834">
        <w:rPr>
          <w:rFonts w:ascii="Garamond" w:hAnsi="Garamond"/>
        </w:rPr>
        <w:t>Ahammad</w:t>
      </w:r>
      <w:proofErr w:type="spellEnd"/>
      <w:r w:rsidRPr="00141834">
        <w:rPr>
          <w:rFonts w:ascii="Garamond" w:hAnsi="Garamond"/>
        </w:rPr>
        <w:t xml:space="preserve">, M. F. (2020). </w:t>
      </w:r>
      <w:proofErr w:type="gramStart"/>
      <w:r w:rsidRPr="00141834">
        <w:rPr>
          <w:rFonts w:ascii="Garamond" w:hAnsi="Garamond"/>
        </w:rPr>
        <w:t>The effect of board gender diversity on cross-listing.</w:t>
      </w:r>
      <w:proofErr w:type="gramEnd"/>
      <w:r w:rsidRPr="00141834">
        <w:rPr>
          <w:rFonts w:ascii="Garamond" w:hAnsi="Garamond"/>
        </w:rPr>
        <w:t xml:space="preserve"> </w:t>
      </w:r>
      <w:proofErr w:type="gramStart"/>
      <w:r w:rsidRPr="00141834">
        <w:rPr>
          <w:rFonts w:ascii="Garamond" w:hAnsi="Garamond"/>
          <w:i/>
          <w:iCs/>
        </w:rPr>
        <w:t>Journal of Corporate Finance</w:t>
      </w:r>
      <w:r w:rsidRPr="00141834">
        <w:rPr>
          <w:rFonts w:ascii="Garamond" w:hAnsi="Garamond"/>
        </w:rPr>
        <w:t>, 65</w:t>
      </w:r>
      <w:r w:rsidR="00D8428B">
        <w:rPr>
          <w:rFonts w:ascii="Garamond" w:hAnsi="Garamond"/>
        </w:rPr>
        <w:t>,</w:t>
      </w:r>
      <w:r w:rsidR="00D8428B" w:rsidRPr="00141834">
        <w:rPr>
          <w:rFonts w:ascii="Garamond" w:hAnsi="Garamond"/>
        </w:rPr>
        <w:t xml:space="preserve"> </w:t>
      </w:r>
      <w:r w:rsidRPr="00141834">
        <w:rPr>
          <w:rFonts w:ascii="Garamond" w:hAnsi="Garamond"/>
        </w:rPr>
        <w:t>101767.</w:t>
      </w:r>
      <w:proofErr w:type="gramEnd"/>
      <w:r w:rsidRPr="00141834">
        <w:rPr>
          <w:rFonts w:ascii="Garamond" w:hAnsi="Garamond"/>
        </w:rPr>
        <w:t xml:space="preserve"> </w:t>
      </w:r>
    </w:p>
    <w:p w:rsidR="00EC2159" w:rsidRPr="00141834" w:rsidRDefault="00EC2159" w:rsidP="00EC2159">
      <w:pPr>
        <w:ind w:left="720" w:hanging="720"/>
        <w:jc w:val="both"/>
        <w:rPr>
          <w:rFonts w:ascii="Garamond" w:hAnsi="Garamond"/>
        </w:rPr>
      </w:pPr>
      <w:r w:rsidRPr="00A33204">
        <w:rPr>
          <w:rFonts w:ascii="Garamond" w:hAnsi="Garamond"/>
          <w:lang w:val="de-DE"/>
        </w:rPr>
        <w:t>Sila, V., Gonzalez, A.</w:t>
      </w:r>
      <w:r w:rsidR="00D8428B" w:rsidRPr="00A33204">
        <w:rPr>
          <w:rFonts w:ascii="Garamond" w:hAnsi="Garamond"/>
          <w:lang w:val="de-DE"/>
        </w:rPr>
        <w:t>,</w:t>
      </w:r>
      <w:r w:rsidRPr="00A33204">
        <w:rPr>
          <w:rFonts w:ascii="Garamond" w:hAnsi="Garamond"/>
          <w:lang w:val="de-DE"/>
        </w:rPr>
        <w:t xml:space="preserve"> Hagendorff, J. (2016). </w:t>
      </w:r>
      <w:r w:rsidRPr="00141834">
        <w:rPr>
          <w:rFonts w:ascii="Garamond" w:hAnsi="Garamond"/>
        </w:rPr>
        <w:t>Women on board: Does boardroom gender diversity affect firm risk</w:t>
      </w:r>
      <w:proofErr w:type="gramStart"/>
      <w:r w:rsidRPr="00141834">
        <w:rPr>
          <w:rFonts w:ascii="Garamond" w:hAnsi="Garamond"/>
        </w:rPr>
        <w:t>?.</w:t>
      </w:r>
      <w:proofErr w:type="gramEnd"/>
      <w:r w:rsidRPr="00141834">
        <w:rPr>
          <w:rFonts w:ascii="Garamond" w:hAnsi="Garamond"/>
        </w:rPr>
        <w:t xml:space="preserve"> </w:t>
      </w:r>
      <w:r w:rsidRPr="00141834">
        <w:rPr>
          <w:rFonts w:ascii="Garamond" w:hAnsi="Garamond"/>
          <w:i/>
          <w:iCs/>
        </w:rPr>
        <w:t>Journal of Corporate Finance</w:t>
      </w:r>
      <w:r w:rsidRPr="00141834">
        <w:rPr>
          <w:rFonts w:ascii="Garamond" w:hAnsi="Garamond"/>
        </w:rPr>
        <w:t>, 36</w:t>
      </w:r>
      <w:r w:rsidR="00D8428B">
        <w:rPr>
          <w:rFonts w:ascii="Garamond" w:hAnsi="Garamond"/>
        </w:rPr>
        <w:t>,</w:t>
      </w:r>
      <w:r w:rsidR="00D8428B" w:rsidRPr="00141834">
        <w:rPr>
          <w:rFonts w:ascii="Garamond" w:hAnsi="Garamond"/>
        </w:rPr>
        <w:t xml:space="preserve"> </w:t>
      </w:r>
      <w:r w:rsidRPr="00141834">
        <w:rPr>
          <w:rFonts w:ascii="Garamond" w:hAnsi="Garamond"/>
        </w:rPr>
        <w:t>26-53.</w:t>
      </w:r>
    </w:p>
    <w:p w:rsidR="00EC2159" w:rsidRPr="00141834" w:rsidRDefault="00EC2159" w:rsidP="00EC2159">
      <w:pPr>
        <w:ind w:left="720" w:hanging="720"/>
        <w:jc w:val="both"/>
        <w:rPr>
          <w:rFonts w:ascii="Garamond" w:hAnsi="Garamond"/>
        </w:rPr>
      </w:pPr>
      <w:proofErr w:type="spellStart"/>
      <w:r w:rsidRPr="00141834">
        <w:rPr>
          <w:rFonts w:ascii="Garamond" w:hAnsi="Garamond"/>
        </w:rPr>
        <w:t>Srinidhi</w:t>
      </w:r>
      <w:proofErr w:type="spellEnd"/>
      <w:r w:rsidRPr="00141834">
        <w:rPr>
          <w:rFonts w:ascii="Garamond" w:hAnsi="Garamond"/>
        </w:rPr>
        <w:t xml:space="preserve">, B., </w:t>
      </w:r>
      <w:proofErr w:type="spellStart"/>
      <w:r w:rsidRPr="00141834">
        <w:rPr>
          <w:rFonts w:ascii="Garamond" w:hAnsi="Garamond"/>
        </w:rPr>
        <w:t>Gul</w:t>
      </w:r>
      <w:proofErr w:type="spellEnd"/>
      <w:r w:rsidRPr="00141834">
        <w:rPr>
          <w:rFonts w:ascii="Garamond" w:hAnsi="Garamond"/>
        </w:rPr>
        <w:t xml:space="preserve">, F. A., </w:t>
      </w:r>
      <w:proofErr w:type="spellStart"/>
      <w:r w:rsidRPr="00141834">
        <w:rPr>
          <w:rFonts w:ascii="Garamond" w:hAnsi="Garamond"/>
        </w:rPr>
        <w:t>Tsui</w:t>
      </w:r>
      <w:proofErr w:type="spellEnd"/>
      <w:r w:rsidRPr="00141834">
        <w:rPr>
          <w:rFonts w:ascii="Garamond" w:hAnsi="Garamond"/>
        </w:rPr>
        <w:t xml:space="preserve">, J. (2011). </w:t>
      </w:r>
      <w:proofErr w:type="gramStart"/>
      <w:r w:rsidRPr="00141834">
        <w:rPr>
          <w:rFonts w:ascii="Garamond" w:hAnsi="Garamond"/>
        </w:rPr>
        <w:t>Female directors and earnings quality.</w:t>
      </w:r>
      <w:proofErr w:type="gramEnd"/>
      <w:r w:rsidRPr="00141834">
        <w:rPr>
          <w:rFonts w:ascii="Garamond" w:hAnsi="Garamond"/>
        </w:rPr>
        <w:t xml:space="preserve"> </w:t>
      </w:r>
      <w:r w:rsidRPr="00141834">
        <w:rPr>
          <w:rFonts w:ascii="Garamond" w:hAnsi="Garamond"/>
          <w:i/>
          <w:iCs/>
        </w:rPr>
        <w:t>Contemporary Accounting Research</w:t>
      </w:r>
      <w:r w:rsidRPr="00141834">
        <w:rPr>
          <w:rFonts w:ascii="Garamond" w:hAnsi="Garamond"/>
        </w:rPr>
        <w:t>, 28, 1610-1644.</w:t>
      </w:r>
    </w:p>
    <w:p w:rsidR="00EC2159" w:rsidRPr="00141834" w:rsidRDefault="00EC2159" w:rsidP="00EC2159">
      <w:pPr>
        <w:ind w:left="720" w:hanging="720"/>
        <w:jc w:val="both"/>
        <w:rPr>
          <w:rFonts w:ascii="Garamond" w:hAnsi="Garamond"/>
        </w:rPr>
      </w:pPr>
      <w:proofErr w:type="gramStart"/>
      <w:r w:rsidRPr="00141834">
        <w:rPr>
          <w:rFonts w:ascii="Garamond" w:hAnsi="Garamond"/>
        </w:rPr>
        <w:t>Stiles, P. (2001).</w:t>
      </w:r>
      <w:proofErr w:type="gramEnd"/>
      <w:r w:rsidRPr="00141834">
        <w:rPr>
          <w:rFonts w:ascii="Garamond" w:hAnsi="Garamond"/>
        </w:rPr>
        <w:t xml:space="preserve"> The impact of the board on strategy: An empirical examination. </w:t>
      </w:r>
      <w:r w:rsidRPr="00141834">
        <w:rPr>
          <w:rFonts w:ascii="Garamond" w:hAnsi="Garamond"/>
          <w:i/>
        </w:rPr>
        <w:t>Journal of Management Studies</w:t>
      </w:r>
      <w:r w:rsidRPr="00141834">
        <w:rPr>
          <w:rFonts w:ascii="Garamond" w:hAnsi="Garamond"/>
        </w:rPr>
        <w:t>, 38, 627</w:t>
      </w:r>
      <w:r w:rsidR="00AC06C2" w:rsidRPr="00141834">
        <w:rPr>
          <w:rFonts w:ascii="Garamond" w:hAnsi="Garamond"/>
        </w:rPr>
        <w:t>-</w:t>
      </w:r>
      <w:r w:rsidRPr="00141834">
        <w:rPr>
          <w:rFonts w:ascii="Garamond" w:hAnsi="Garamond"/>
        </w:rPr>
        <w:t>650.</w:t>
      </w:r>
    </w:p>
    <w:p w:rsidR="00EC2159" w:rsidRPr="00141834" w:rsidRDefault="00EC2159" w:rsidP="00EC2159">
      <w:pPr>
        <w:ind w:left="720" w:hanging="720"/>
        <w:jc w:val="both"/>
        <w:rPr>
          <w:rFonts w:ascii="Garamond" w:hAnsi="Garamond"/>
        </w:rPr>
      </w:pPr>
      <w:proofErr w:type="spellStart"/>
      <w:r w:rsidRPr="00141834">
        <w:rPr>
          <w:rFonts w:ascii="Garamond" w:hAnsi="Garamond"/>
        </w:rPr>
        <w:t>Uhde</w:t>
      </w:r>
      <w:proofErr w:type="spellEnd"/>
      <w:r w:rsidRPr="00141834">
        <w:rPr>
          <w:rFonts w:ascii="Garamond" w:hAnsi="Garamond"/>
        </w:rPr>
        <w:t xml:space="preserve">, D. A., </w:t>
      </w:r>
      <w:proofErr w:type="spellStart"/>
      <w:r w:rsidRPr="00141834">
        <w:rPr>
          <w:rFonts w:ascii="Garamond" w:hAnsi="Garamond"/>
        </w:rPr>
        <w:t>Klarner</w:t>
      </w:r>
      <w:proofErr w:type="spellEnd"/>
      <w:r w:rsidRPr="00141834">
        <w:rPr>
          <w:rFonts w:ascii="Garamond" w:hAnsi="Garamond"/>
        </w:rPr>
        <w:t xml:space="preserve">, P., </w:t>
      </w:r>
      <w:proofErr w:type="spellStart"/>
      <w:r w:rsidRPr="00141834">
        <w:rPr>
          <w:rFonts w:ascii="Garamond" w:hAnsi="Garamond"/>
        </w:rPr>
        <w:t>Tuschke</w:t>
      </w:r>
      <w:proofErr w:type="spellEnd"/>
      <w:r w:rsidRPr="00141834">
        <w:rPr>
          <w:rFonts w:ascii="Garamond" w:hAnsi="Garamond"/>
        </w:rPr>
        <w:t xml:space="preserve">, A. (2017). Board monitoring of the chief financial officer: A review and research agenda. </w:t>
      </w:r>
      <w:r w:rsidRPr="00141834">
        <w:rPr>
          <w:rFonts w:ascii="Garamond" w:hAnsi="Garamond"/>
          <w:i/>
          <w:iCs/>
        </w:rPr>
        <w:t>Corporate Governance:</w:t>
      </w:r>
      <w:r w:rsidRPr="00141834">
        <w:rPr>
          <w:rFonts w:ascii="Garamond" w:hAnsi="Garamond"/>
        </w:rPr>
        <w:t xml:space="preserve"> </w:t>
      </w:r>
      <w:r w:rsidRPr="00141834">
        <w:rPr>
          <w:rFonts w:ascii="Garamond" w:hAnsi="Garamond"/>
          <w:i/>
          <w:iCs/>
        </w:rPr>
        <w:t>An International Review</w:t>
      </w:r>
      <w:r w:rsidRPr="00141834">
        <w:rPr>
          <w:rFonts w:ascii="Garamond" w:hAnsi="Garamond"/>
        </w:rPr>
        <w:t>, 25, 116</w:t>
      </w:r>
      <w:r w:rsidR="00AC06C2" w:rsidRPr="00141834">
        <w:rPr>
          <w:rFonts w:ascii="Garamond" w:hAnsi="Garamond"/>
        </w:rPr>
        <w:t>-</w:t>
      </w:r>
      <w:r w:rsidRPr="00141834">
        <w:rPr>
          <w:rFonts w:ascii="Garamond" w:hAnsi="Garamond"/>
        </w:rPr>
        <w:t>133.</w:t>
      </w:r>
    </w:p>
    <w:p w:rsidR="00EC2159" w:rsidRPr="00141834" w:rsidRDefault="00EC2159" w:rsidP="00DB0821">
      <w:pPr>
        <w:ind w:left="720" w:hanging="720"/>
        <w:jc w:val="both"/>
        <w:rPr>
          <w:rFonts w:ascii="Garamond" w:hAnsi="Garamond"/>
        </w:rPr>
      </w:pPr>
      <w:proofErr w:type="spellStart"/>
      <w:r w:rsidRPr="00141834">
        <w:rPr>
          <w:rFonts w:ascii="Garamond" w:hAnsi="Garamond"/>
        </w:rPr>
        <w:t>Wangrow</w:t>
      </w:r>
      <w:proofErr w:type="spellEnd"/>
      <w:r w:rsidRPr="00141834">
        <w:rPr>
          <w:rFonts w:ascii="Garamond" w:hAnsi="Garamond"/>
        </w:rPr>
        <w:t xml:space="preserve">, D. B., </w:t>
      </w:r>
      <w:proofErr w:type="spellStart"/>
      <w:r w:rsidRPr="00141834">
        <w:rPr>
          <w:rFonts w:ascii="Garamond" w:hAnsi="Garamond"/>
        </w:rPr>
        <w:t>Schepker</w:t>
      </w:r>
      <w:proofErr w:type="spellEnd"/>
      <w:r w:rsidRPr="00141834">
        <w:rPr>
          <w:rFonts w:ascii="Garamond" w:hAnsi="Garamond"/>
        </w:rPr>
        <w:t xml:space="preserve">, D. J., Barker, V. L., III. (2015). Managerial discretion: An empirical review and focus on future research directions. </w:t>
      </w:r>
      <w:r w:rsidRPr="00141834">
        <w:rPr>
          <w:rFonts w:ascii="Garamond" w:hAnsi="Garamond"/>
          <w:i/>
          <w:iCs/>
        </w:rPr>
        <w:t>Journal of Management</w:t>
      </w:r>
      <w:r w:rsidRPr="00141834">
        <w:rPr>
          <w:rFonts w:ascii="Garamond" w:hAnsi="Garamond"/>
        </w:rPr>
        <w:t>, 41, 99</w:t>
      </w:r>
      <w:r w:rsidR="00AC06C2" w:rsidRPr="00141834">
        <w:rPr>
          <w:rFonts w:ascii="Garamond" w:hAnsi="Garamond"/>
        </w:rPr>
        <w:t>-</w:t>
      </w:r>
      <w:r w:rsidRPr="00141834">
        <w:rPr>
          <w:rFonts w:ascii="Garamond" w:hAnsi="Garamond"/>
        </w:rPr>
        <w:t>135.</w:t>
      </w:r>
    </w:p>
    <w:p w:rsidR="00DB0821" w:rsidRPr="00141834" w:rsidRDefault="00DB0821" w:rsidP="00DB0821">
      <w:pPr>
        <w:jc w:val="both"/>
        <w:rPr>
          <w:rFonts w:ascii="Garamond" w:hAnsi="Garamond"/>
        </w:rPr>
      </w:pPr>
      <w:r w:rsidRPr="00141834">
        <w:rPr>
          <w:rFonts w:ascii="Garamond" w:hAnsi="Garamond"/>
        </w:rPr>
        <w:t xml:space="preserve">Wood, S. (2013). Best Practices for Developing a CFO Talent Pipeline. Available at; </w:t>
      </w:r>
      <w:r w:rsidRPr="00141834">
        <w:rPr>
          <w:rFonts w:ascii="Garamond" w:hAnsi="Garamond" w:cs="Arial"/>
          <w:color w:val="007398"/>
          <w:u w:val="single"/>
        </w:rPr>
        <w:t>http://www.russellreynolds.com/content/best-practices-developing-cfo-talent-pipeline</w:t>
      </w:r>
    </w:p>
    <w:p w:rsidR="00EC2159" w:rsidRPr="00DB0821" w:rsidRDefault="00EC2159" w:rsidP="00DB0821">
      <w:pPr>
        <w:ind w:left="720" w:hanging="720"/>
        <w:jc w:val="both"/>
        <w:rPr>
          <w:rFonts w:ascii="Garamond" w:hAnsi="Garamond"/>
        </w:rPr>
      </w:pPr>
      <w:proofErr w:type="gramStart"/>
      <w:r w:rsidRPr="00141834">
        <w:rPr>
          <w:rFonts w:ascii="Garamond" w:hAnsi="Garamond"/>
        </w:rPr>
        <w:t>Zorn, D. M. (2004).</w:t>
      </w:r>
      <w:proofErr w:type="gramEnd"/>
      <w:r w:rsidRPr="00141834">
        <w:rPr>
          <w:rFonts w:ascii="Garamond" w:hAnsi="Garamond"/>
        </w:rPr>
        <w:t xml:space="preserve"> Here a chief</w:t>
      </w:r>
      <w:r w:rsidR="00D8428B">
        <w:rPr>
          <w:rFonts w:ascii="Garamond" w:hAnsi="Garamond"/>
        </w:rPr>
        <w:t>,</w:t>
      </w:r>
      <w:r w:rsidR="00D8428B" w:rsidRPr="00141834">
        <w:rPr>
          <w:rFonts w:ascii="Garamond" w:hAnsi="Garamond"/>
        </w:rPr>
        <w:t xml:space="preserve"> </w:t>
      </w:r>
      <w:r w:rsidRPr="00141834">
        <w:rPr>
          <w:rFonts w:ascii="Garamond" w:hAnsi="Garamond"/>
        </w:rPr>
        <w:t xml:space="preserve">There a chief: The rise of the CFO in the American firm. </w:t>
      </w:r>
      <w:r w:rsidRPr="00141834">
        <w:rPr>
          <w:rFonts w:ascii="Garamond" w:hAnsi="Garamond"/>
          <w:i/>
          <w:iCs/>
        </w:rPr>
        <w:t>American Sociological Review</w:t>
      </w:r>
      <w:r w:rsidRPr="00141834">
        <w:rPr>
          <w:rFonts w:ascii="Garamond" w:hAnsi="Garamond"/>
        </w:rPr>
        <w:t>, 69, 345</w:t>
      </w:r>
      <w:r w:rsidR="00AC06C2" w:rsidRPr="00141834">
        <w:rPr>
          <w:rFonts w:ascii="Garamond" w:hAnsi="Garamond"/>
        </w:rPr>
        <w:t>-</w:t>
      </w:r>
      <w:r w:rsidRPr="00141834">
        <w:rPr>
          <w:rFonts w:ascii="Garamond" w:hAnsi="Garamond"/>
        </w:rPr>
        <w:t>364.</w:t>
      </w:r>
    </w:p>
    <w:p w:rsidR="0057098D" w:rsidRPr="003B06C7" w:rsidRDefault="0057098D">
      <w:pPr>
        <w:rPr>
          <w:rFonts w:ascii="Garamond" w:hAnsi="Garamond"/>
          <w:color w:val="000000" w:themeColor="text1"/>
        </w:rPr>
      </w:pPr>
    </w:p>
    <w:p w:rsidR="001C149D" w:rsidRPr="00B71D78" w:rsidRDefault="001C149D" w:rsidP="001C149D">
      <w:pPr>
        <w:rPr>
          <w:rFonts w:ascii="Garamond" w:hAnsi="Garamond"/>
        </w:rPr>
        <w:sectPr w:rsidR="001C149D" w:rsidRPr="00B71D78" w:rsidSect="0068192B">
          <w:footerReference w:type="even" r:id="rId15"/>
          <w:footerReference w:type="default" r:id="rId16"/>
          <w:type w:val="continuous"/>
          <w:pgSz w:w="11900" w:h="16840"/>
          <w:pgMar w:top="1440" w:right="1440" w:bottom="1440" w:left="1440" w:header="708" w:footer="708" w:gutter="0"/>
          <w:cols w:space="708"/>
          <w:docGrid w:linePitch="360"/>
        </w:sectPr>
      </w:pPr>
    </w:p>
    <w:p w:rsidR="00290391" w:rsidRDefault="001D57C5" w:rsidP="001D57C5">
      <w:pPr>
        <w:rPr>
          <w:rFonts w:ascii="Garamond" w:hAnsi="Garamond"/>
          <w:b/>
          <w:bCs/>
        </w:rPr>
      </w:pPr>
      <w:r w:rsidRPr="00AD7252">
        <w:rPr>
          <w:rFonts w:ascii="Garamond" w:hAnsi="Garamond"/>
          <w:b/>
          <w:bCs/>
        </w:rPr>
        <w:lastRenderedPageBreak/>
        <w:t>Figure</w:t>
      </w:r>
      <w:r w:rsidR="00290391">
        <w:rPr>
          <w:rFonts w:ascii="Garamond" w:hAnsi="Garamond"/>
          <w:b/>
          <w:bCs/>
        </w:rPr>
        <w:t>s</w:t>
      </w:r>
    </w:p>
    <w:p w:rsidR="00290391" w:rsidRPr="00290391" w:rsidRDefault="00290391" w:rsidP="001D57C5">
      <w:pPr>
        <w:rPr>
          <w:rFonts w:ascii="Garamond" w:hAnsi="Garamond"/>
          <w:b/>
          <w:bCs/>
          <w:sz w:val="20"/>
          <w:szCs w:val="20"/>
        </w:rPr>
      </w:pPr>
    </w:p>
    <w:p w:rsidR="001D57C5" w:rsidRPr="00290391" w:rsidRDefault="00290391" w:rsidP="001D57C5">
      <w:pPr>
        <w:rPr>
          <w:rFonts w:ascii="Garamond" w:hAnsi="Garamond"/>
          <w:b/>
          <w:bCs/>
          <w:sz w:val="20"/>
          <w:szCs w:val="20"/>
        </w:rPr>
      </w:pPr>
      <w:r w:rsidRPr="00290391">
        <w:rPr>
          <w:rFonts w:ascii="Garamond" w:hAnsi="Garamond"/>
          <w:b/>
          <w:bCs/>
          <w:sz w:val="20"/>
          <w:szCs w:val="20"/>
        </w:rPr>
        <w:t>Figure 1</w:t>
      </w:r>
      <w:r>
        <w:rPr>
          <w:rFonts w:ascii="Garamond" w:hAnsi="Garamond"/>
          <w:b/>
          <w:bCs/>
          <w:sz w:val="20"/>
          <w:szCs w:val="20"/>
        </w:rPr>
        <w:t xml:space="preserve">: </w:t>
      </w:r>
      <w:r w:rsidR="00797813">
        <w:rPr>
          <w:rFonts w:ascii="Garamond" w:hAnsi="Garamond"/>
          <w:b/>
          <w:bCs/>
          <w:sz w:val="20"/>
          <w:szCs w:val="20"/>
        </w:rPr>
        <w:t>Gender representation among CFOs, CEOs and directors over time.</w:t>
      </w:r>
    </w:p>
    <w:p w:rsidR="00290391" w:rsidRPr="00290391" w:rsidRDefault="00290391" w:rsidP="00824024">
      <w:pPr>
        <w:jc w:val="both"/>
        <w:rPr>
          <w:rFonts w:ascii="Garamond" w:hAnsi="Garamond"/>
          <w:b/>
          <w:bCs/>
          <w:sz w:val="20"/>
          <w:szCs w:val="20"/>
        </w:rPr>
      </w:pPr>
      <w:r w:rsidRPr="00290391">
        <w:rPr>
          <w:rFonts w:ascii="Garamond" w:hAnsi="Garamond"/>
          <w:sz w:val="20"/>
          <w:szCs w:val="20"/>
        </w:rPr>
        <w:t xml:space="preserve">This </w:t>
      </w:r>
      <w:r w:rsidR="00797813">
        <w:rPr>
          <w:rFonts w:ascii="Garamond" w:hAnsi="Garamond"/>
          <w:sz w:val="20"/>
          <w:szCs w:val="20"/>
        </w:rPr>
        <w:t xml:space="preserve">figure </w:t>
      </w:r>
      <w:r w:rsidR="00486B3B">
        <w:rPr>
          <w:rFonts w:ascii="Garamond" w:hAnsi="Garamond"/>
          <w:sz w:val="20"/>
          <w:szCs w:val="20"/>
        </w:rPr>
        <w:t xml:space="preserve">presents the percentage of female CFOs and female CEOs across UK publicly listed firms as well as the </w:t>
      </w:r>
      <w:r w:rsidR="00F0761C">
        <w:rPr>
          <w:rFonts w:ascii="Garamond" w:hAnsi="Garamond"/>
          <w:sz w:val="20"/>
          <w:szCs w:val="20"/>
        </w:rPr>
        <w:t>average percentage of female directors among the boards of UK publicly listed firms over the sample period 1999-2017.</w:t>
      </w:r>
    </w:p>
    <w:p w:rsidR="00290391" w:rsidRPr="00AD7252" w:rsidRDefault="00290391" w:rsidP="001D57C5">
      <w:pPr>
        <w:rPr>
          <w:rFonts w:ascii="Garamond" w:hAnsi="Garamond"/>
          <w:b/>
          <w:bCs/>
        </w:rPr>
      </w:pPr>
    </w:p>
    <w:p w:rsidR="001D57C5" w:rsidRDefault="001D57C5" w:rsidP="001D57C5">
      <w:r>
        <w:rPr>
          <w:noProof/>
          <w:lang w:val="en-US"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-4652</wp:posOffset>
            </wp:positionV>
            <wp:extent cx="4572000" cy="2753833"/>
            <wp:effectExtent l="0" t="0" r="0" b="0"/>
            <wp:wrapTopAndBottom/>
            <wp:docPr id="1" name="Chart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A8243CC-FD7F-4B74-905C-A696FDA588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1D57C5" w:rsidRDefault="001D57C5" w:rsidP="001D57C5"/>
    <w:p w:rsidR="00F0761C" w:rsidRDefault="00F0761C" w:rsidP="001D57C5"/>
    <w:p w:rsidR="00F0761C" w:rsidRDefault="00F0761C" w:rsidP="001D57C5"/>
    <w:p w:rsidR="00F0761C" w:rsidRDefault="00F0761C" w:rsidP="001D57C5">
      <w:pPr>
        <w:sectPr w:rsidR="00F0761C">
          <w:pgSz w:w="11906" w:h="16838"/>
          <w:pgMar w:top="1440" w:right="1440" w:bottom="1440" w:left="1440" w:header="708" w:footer="708" w:gutter="0"/>
          <w:cols w:space="708"/>
          <w:docGrid w:linePitch="360"/>
        </w:sectPr>
      </w:pPr>
    </w:p>
    <w:p w:rsidR="00583BD3" w:rsidRPr="00AD7252" w:rsidRDefault="00583BD3" w:rsidP="00583BD3">
      <w:pPr>
        <w:rPr>
          <w:rFonts w:ascii="Garamond" w:hAnsi="Garamond"/>
          <w:b/>
          <w:bCs/>
        </w:rPr>
      </w:pPr>
      <w:r w:rsidRPr="00AD7252">
        <w:rPr>
          <w:rFonts w:ascii="Garamond" w:hAnsi="Garamond"/>
          <w:b/>
          <w:bCs/>
        </w:rPr>
        <w:lastRenderedPageBreak/>
        <w:t>Tables</w:t>
      </w:r>
    </w:p>
    <w:p w:rsidR="00583BD3" w:rsidRDefault="00583BD3" w:rsidP="00583BD3">
      <w:pPr>
        <w:jc w:val="both"/>
        <w:rPr>
          <w:rFonts w:ascii="Garamond" w:hAnsi="Garamond"/>
          <w:b/>
          <w:sz w:val="20"/>
        </w:rPr>
      </w:pPr>
    </w:p>
    <w:p w:rsidR="00583BD3" w:rsidRDefault="00583BD3" w:rsidP="00583BD3">
      <w:pPr>
        <w:jc w:val="both"/>
        <w:rPr>
          <w:rFonts w:ascii="Garamond" w:hAnsi="Garamond"/>
          <w:sz w:val="20"/>
        </w:rPr>
      </w:pPr>
      <w:r w:rsidRPr="0057098D">
        <w:rPr>
          <w:rFonts w:ascii="Garamond" w:hAnsi="Garamond"/>
          <w:b/>
          <w:sz w:val="20"/>
        </w:rPr>
        <w:t>Table 1:</w:t>
      </w:r>
      <w:r w:rsidRPr="0057098D">
        <w:rPr>
          <w:rFonts w:ascii="Garamond" w:hAnsi="Garamond"/>
          <w:sz w:val="20"/>
        </w:rPr>
        <w:t xml:space="preserve"> </w:t>
      </w:r>
      <w:r w:rsidRPr="00D0508D">
        <w:rPr>
          <w:rFonts w:ascii="Garamond" w:hAnsi="Garamond"/>
          <w:b/>
          <w:sz w:val="20"/>
        </w:rPr>
        <w:t>Distribution of Female CFOs.</w:t>
      </w:r>
      <w:r w:rsidRPr="0057098D">
        <w:rPr>
          <w:rFonts w:ascii="Garamond" w:hAnsi="Garamond"/>
          <w:sz w:val="20"/>
        </w:rPr>
        <w:t xml:space="preserve"> </w:t>
      </w:r>
    </w:p>
    <w:p w:rsidR="00583BD3" w:rsidRDefault="00583BD3" w:rsidP="00583BD3">
      <w:pPr>
        <w:jc w:val="both"/>
      </w:pPr>
      <w:r w:rsidRPr="0057098D">
        <w:rPr>
          <w:rFonts w:ascii="Garamond" w:hAnsi="Garamond"/>
          <w:sz w:val="20"/>
        </w:rPr>
        <w:t xml:space="preserve">This table presents the number of female CFOs each year, the </w:t>
      </w:r>
      <w:r>
        <w:rPr>
          <w:rFonts w:ascii="Garamond" w:hAnsi="Garamond"/>
          <w:sz w:val="20"/>
        </w:rPr>
        <w:t>fraction</w:t>
      </w:r>
      <w:r w:rsidRPr="0057098D">
        <w:rPr>
          <w:rFonts w:ascii="Garamond" w:hAnsi="Garamond"/>
          <w:sz w:val="20"/>
        </w:rPr>
        <w:t xml:space="preserve"> of female CFOs,</w:t>
      </w:r>
      <w:r>
        <w:rPr>
          <w:rFonts w:ascii="Garamond" w:hAnsi="Garamond"/>
          <w:sz w:val="20"/>
        </w:rPr>
        <w:t xml:space="preserve"> the number of female CEOs, the fraction of female CEOs, the fraction </w:t>
      </w:r>
      <w:r w:rsidRPr="0057098D">
        <w:rPr>
          <w:rFonts w:ascii="Garamond" w:hAnsi="Garamond"/>
          <w:sz w:val="20"/>
        </w:rPr>
        <w:t xml:space="preserve">of female directors on the board, the </w:t>
      </w:r>
      <w:r>
        <w:rPr>
          <w:rFonts w:ascii="Garamond" w:hAnsi="Garamond"/>
          <w:sz w:val="20"/>
        </w:rPr>
        <w:t xml:space="preserve">average </w:t>
      </w:r>
      <w:r w:rsidRPr="0057098D">
        <w:rPr>
          <w:rFonts w:ascii="Garamond" w:hAnsi="Garamond"/>
          <w:sz w:val="20"/>
        </w:rPr>
        <w:t>board size, the percentage of board independence</w:t>
      </w:r>
      <w:r>
        <w:rPr>
          <w:rFonts w:ascii="Garamond" w:hAnsi="Garamond"/>
          <w:sz w:val="20"/>
        </w:rPr>
        <w:t xml:space="preserve"> and </w:t>
      </w:r>
      <w:r w:rsidRPr="0057098D">
        <w:rPr>
          <w:rFonts w:ascii="Garamond" w:hAnsi="Garamond"/>
          <w:sz w:val="20"/>
        </w:rPr>
        <w:t>the number of firms for each year of our sample period</w:t>
      </w:r>
      <w:r>
        <w:rPr>
          <w:rFonts w:ascii="Garamond" w:hAnsi="Garamond"/>
          <w:sz w:val="20"/>
        </w:rPr>
        <w:t xml:space="preserve">. </w:t>
      </w:r>
    </w:p>
    <w:tbl>
      <w:tblPr>
        <w:tblW w:w="8366" w:type="dxa"/>
        <w:tblLook w:val="04A0"/>
      </w:tblPr>
      <w:tblGrid>
        <w:gridCol w:w="960"/>
        <w:gridCol w:w="960"/>
        <w:gridCol w:w="960"/>
        <w:gridCol w:w="777"/>
        <w:gridCol w:w="868"/>
        <w:gridCol w:w="960"/>
        <w:gridCol w:w="960"/>
        <w:gridCol w:w="1312"/>
        <w:gridCol w:w="960"/>
      </w:tblGrid>
      <w:tr w:rsidR="00583BD3" w:rsidRPr="00501310" w:rsidTr="000727E8">
        <w:trPr>
          <w:trHeight w:val="300"/>
        </w:trPr>
        <w:tc>
          <w:tcPr>
            <w:tcW w:w="960" w:type="dxa"/>
            <w:tcBorders>
              <w:top w:val="single" w:sz="4" w:space="0" w:color="auto"/>
              <w:left w:val="nil"/>
              <w:bottom w:val="single" w:sz="4" w:space="0" w:color="auto"/>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Year</w:t>
            </w:r>
          </w:p>
        </w:tc>
        <w:tc>
          <w:tcPr>
            <w:tcW w:w="960" w:type="dxa"/>
            <w:tcBorders>
              <w:top w:val="single" w:sz="4" w:space="0" w:color="auto"/>
              <w:left w:val="nil"/>
              <w:bottom w:val="single" w:sz="4" w:space="0" w:color="auto"/>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No. Female CFOs</w:t>
            </w:r>
          </w:p>
        </w:tc>
        <w:tc>
          <w:tcPr>
            <w:tcW w:w="960" w:type="dxa"/>
            <w:tcBorders>
              <w:top w:val="single" w:sz="4" w:space="0" w:color="auto"/>
              <w:left w:val="nil"/>
              <w:bottom w:val="single" w:sz="4" w:space="0" w:color="auto"/>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Pr>
                <w:rFonts w:ascii="Garamond" w:hAnsi="Garamond" w:cs="Calibri"/>
                <w:color w:val="000000"/>
                <w:sz w:val="20"/>
                <w:szCs w:val="20"/>
              </w:rPr>
              <w:t>Fraction</w:t>
            </w:r>
            <w:r w:rsidRPr="00501310">
              <w:rPr>
                <w:rFonts w:ascii="Garamond" w:hAnsi="Garamond" w:cs="Calibri"/>
                <w:color w:val="000000"/>
                <w:sz w:val="20"/>
                <w:szCs w:val="20"/>
              </w:rPr>
              <w:t xml:space="preserve"> of Female CFOs</w:t>
            </w:r>
          </w:p>
        </w:tc>
        <w:tc>
          <w:tcPr>
            <w:tcW w:w="740" w:type="dxa"/>
            <w:tcBorders>
              <w:top w:val="single" w:sz="4" w:space="0" w:color="auto"/>
              <w:left w:val="nil"/>
              <w:bottom w:val="single" w:sz="4" w:space="0" w:color="auto"/>
              <w:right w:val="nil"/>
            </w:tcBorders>
            <w:shd w:val="clear" w:color="auto" w:fill="auto"/>
            <w:noWrap/>
            <w:vAlign w:val="bottom"/>
            <w:hideMark/>
          </w:tcPr>
          <w:p w:rsidR="00583BD3" w:rsidRPr="00501310" w:rsidRDefault="00583BD3" w:rsidP="000727E8">
            <w:pPr>
              <w:rPr>
                <w:rFonts w:ascii="Garamond" w:hAnsi="Garamond" w:cs="Calibri"/>
                <w:color w:val="000000"/>
                <w:sz w:val="20"/>
                <w:szCs w:val="20"/>
              </w:rPr>
            </w:pPr>
            <w:r>
              <w:rPr>
                <w:rFonts w:ascii="Garamond" w:hAnsi="Garamond" w:cs="Calibri"/>
                <w:color w:val="000000"/>
                <w:sz w:val="20"/>
                <w:szCs w:val="20"/>
              </w:rPr>
              <w:t xml:space="preserve">No. </w:t>
            </w:r>
            <w:r w:rsidRPr="00501310">
              <w:rPr>
                <w:rFonts w:ascii="Garamond" w:hAnsi="Garamond" w:cs="Calibri"/>
                <w:color w:val="000000"/>
                <w:sz w:val="20"/>
                <w:szCs w:val="20"/>
              </w:rPr>
              <w:t>Female CEO</w:t>
            </w:r>
          </w:p>
        </w:tc>
        <w:tc>
          <w:tcPr>
            <w:tcW w:w="740" w:type="dxa"/>
            <w:tcBorders>
              <w:top w:val="single" w:sz="4" w:space="0" w:color="auto"/>
              <w:left w:val="nil"/>
              <w:bottom w:val="single" w:sz="4" w:space="0" w:color="auto"/>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Pr>
                <w:rFonts w:ascii="Garamond" w:hAnsi="Garamond" w:cs="Calibri"/>
                <w:color w:val="000000"/>
                <w:sz w:val="20"/>
                <w:szCs w:val="20"/>
              </w:rPr>
              <w:t>Fraction</w:t>
            </w:r>
            <w:r w:rsidRPr="00501310">
              <w:rPr>
                <w:rFonts w:ascii="Garamond" w:hAnsi="Garamond" w:cs="Calibri"/>
                <w:color w:val="000000"/>
                <w:sz w:val="20"/>
                <w:szCs w:val="20"/>
              </w:rPr>
              <w:t xml:space="preserve"> of Female CEOs</w:t>
            </w:r>
          </w:p>
        </w:tc>
        <w:tc>
          <w:tcPr>
            <w:tcW w:w="960" w:type="dxa"/>
            <w:tcBorders>
              <w:top w:val="single" w:sz="4" w:space="0" w:color="auto"/>
              <w:left w:val="nil"/>
              <w:bottom w:val="single" w:sz="4" w:space="0" w:color="auto"/>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Pr>
                <w:rFonts w:ascii="Garamond" w:hAnsi="Garamond" w:cs="Calibri"/>
                <w:color w:val="000000"/>
                <w:sz w:val="20"/>
                <w:szCs w:val="20"/>
              </w:rPr>
              <w:t>Fraction of</w:t>
            </w:r>
            <w:r w:rsidRPr="00501310">
              <w:rPr>
                <w:rFonts w:ascii="Garamond" w:hAnsi="Garamond" w:cs="Calibri"/>
                <w:color w:val="000000"/>
                <w:sz w:val="20"/>
                <w:szCs w:val="20"/>
              </w:rPr>
              <w:t xml:space="preserve"> Female Directors</w:t>
            </w:r>
          </w:p>
        </w:tc>
        <w:tc>
          <w:tcPr>
            <w:tcW w:w="960" w:type="dxa"/>
            <w:tcBorders>
              <w:top w:val="single" w:sz="4" w:space="0" w:color="auto"/>
              <w:left w:val="nil"/>
              <w:bottom w:val="single" w:sz="4" w:space="0" w:color="auto"/>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Board Size</w:t>
            </w:r>
          </w:p>
        </w:tc>
        <w:tc>
          <w:tcPr>
            <w:tcW w:w="1126" w:type="dxa"/>
            <w:tcBorders>
              <w:top w:val="single" w:sz="4" w:space="0" w:color="auto"/>
              <w:left w:val="nil"/>
              <w:bottom w:val="single" w:sz="4" w:space="0" w:color="auto"/>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Board Independence</w:t>
            </w:r>
          </w:p>
        </w:tc>
        <w:tc>
          <w:tcPr>
            <w:tcW w:w="960" w:type="dxa"/>
            <w:tcBorders>
              <w:top w:val="single" w:sz="4" w:space="0" w:color="auto"/>
              <w:left w:val="nil"/>
              <w:bottom w:val="single" w:sz="4" w:space="0" w:color="auto"/>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 of firms</w:t>
            </w:r>
          </w:p>
        </w:tc>
      </w:tr>
      <w:tr w:rsidR="00583BD3" w:rsidRPr="00501310" w:rsidTr="000727E8">
        <w:trPr>
          <w:trHeight w:val="300"/>
        </w:trPr>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1999</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6</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0.04</w:t>
            </w:r>
          </w:p>
        </w:tc>
        <w:tc>
          <w:tcPr>
            <w:tcW w:w="740"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w:t>
            </w:r>
          </w:p>
        </w:tc>
        <w:tc>
          <w:tcPr>
            <w:tcW w:w="740"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0.00</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0.04</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8.75</w:t>
            </w:r>
          </w:p>
        </w:tc>
        <w:tc>
          <w:tcPr>
            <w:tcW w:w="1126"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0.37</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171</w:t>
            </w:r>
          </w:p>
        </w:tc>
      </w:tr>
      <w:tr w:rsidR="00583BD3" w:rsidRPr="00501310" w:rsidTr="000727E8">
        <w:trPr>
          <w:trHeight w:val="300"/>
        </w:trPr>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2000</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5</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0.02</w:t>
            </w:r>
          </w:p>
        </w:tc>
        <w:tc>
          <w:tcPr>
            <w:tcW w:w="740"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1</w:t>
            </w:r>
          </w:p>
        </w:tc>
        <w:tc>
          <w:tcPr>
            <w:tcW w:w="740"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0.00</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0.04</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8.24</w:t>
            </w:r>
          </w:p>
        </w:tc>
        <w:tc>
          <w:tcPr>
            <w:tcW w:w="1126"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0.4</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232</w:t>
            </w:r>
          </w:p>
        </w:tc>
      </w:tr>
      <w:tr w:rsidR="00583BD3" w:rsidRPr="00501310" w:rsidTr="000727E8">
        <w:trPr>
          <w:trHeight w:val="300"/>
        </w:trPr>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2001</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6</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0.02</w:t>
            </w:r>
          </w:p>
        </w:tc>
        <w:tc>
          <w:tcPr>
            <w:tcW w:w="740"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1</w:t>
            </w:r>
          </w:p>
        </w:tc>
        <w:tc>
          <w:tcPr>
            <w:tcW w:w="740"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0.00</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0.04</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8.18</w:t>
            </w:r>
          </w:p>
        </w:tc>
        <w:tc>
          <w:tcPr>
            <w:tcW w:w="1126"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0.41</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272</w:t>
            </w:r>
          </w:p>
        </w:tc>
      </w:tr>
      <w:tr w:rsidR="00583BD3" w:rsidRPr="00501310" w:rsidTr="000727E8">
        <w:trPr>
          <w:trHeight w:val="300"/>
        </w:trPr>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2002</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9</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0.03</w:t>
            </w:r>
          </w:p>
        </w:tc>
        <w:tc>
          <w:tcPr>
            <w:tcW w:w="740"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5</w:t>
            </w:r>
          </w:p>
        </w:tc>
        <w:tc>
          <w:tcPr>
            <w:tcW w:w="740"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0.02</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0.04</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8.21</w:t>
            </w:r>
          </w:p>
        </w:tc>
        <w:tc>
          <w:tcPr>
            <w:tcW w:w="1126"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0.42</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309</w:t>
            </w:r>
          </w:p>
        </w:tc>
      </w:tr>
      <w:tr w:rsidR="00583BD3" w:rsidRPr="00501310" w:rsidTr="000727E8">
        <w:trPr>
          <w:trHeight w:val="300"/>
        </w:trPr>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2003</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14</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0.04</w:t>
            </w:r>
          </w:p>
        </w:tc>
        <w:tc>
          <w:tcPr>
            <w:tcW w:w="740"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6</w:t>
            </w:r>
          </w:p>
        </w:tc>
        <w:tc>
          <w:tcPr>
            <w:tcW w:w="740"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0.02</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0.05</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8.05</w:t>
            </w:r>
          </w:p>
        </w:tc>
        <w:tc>
          <w:tcPr>
            <w:tcW w:w="1126"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0.41</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332</w:t>
            </w:r>
          </w:p>
        </w:tc>
      </w:tr>
      <w:tr w:rsidR="00583BD3" w:rsidRPr="00501310" w:rsidTr="000727E8">
        <w:trPr>
          <w:trHeight w:val="300"/>
        </w:trPr>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2004</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13</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0.03</w:t>
            </w:r>
          </w:p>
        </w:tc>
        <w:tc>
          <w:tcPr>
            <w:tcW w:w="740"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6</w:t>
            </w:r>
          </w:p>
        </w:tc>
        <w:tc>
          <w:tcPr>
            <w:tcW w:w="740"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0.02</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0.05</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7.75</w:t>
            </w:r>
          </w:p>
        </w:tc>
        <w:tc>
          <w:tcPr>
            <w:tcW w:w="1126"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0.41</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376</w:t>
            </w:r>
          </w:p>
        </w:tc>
      </w:tr>
      <w:tr w:rsidR="00583BD3" w:rsidRPr="00501310" w:rsidTr="000727E8">
        <w:trPr>
          <w:trHeight w:val="300"/>
        </w:trPr>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2005</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24</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0.05</w:t>
            </w:r>
          </w:p>
        </w:tc>
        <w:tc>
          <w:tcPr>
            <w:tcW w:w="740"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10</w:t>
            </w:r>
          </w:p>
        </w:tc>
        <w:tc>
          <w:tcPr>
            <w:tcW w:w="740"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0.02</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0.05</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7.59</w:t>
            </w:r>
          </w:p>
        </w:tc>
        <w:tc>
          <w:tcPr>
            <w:tcW w:w="1126"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0.4</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455</w:t>
            </w:r>
          </w:p>
        </w:tc>
      </w:tr>
      <w:tr w:rsidR="00583BD3" w:rsidRPr="00501310" w:rsidTr="000727E8">
        <w:trPr>
          <w:trHeight w:val="300"/>
        </w:trPr>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2006</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24</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0.05</w:t>
            </w:r>
          </w:p>
        </w:tc>
        <w:tc>
          <w:tcPr>
            <w:tcW w:w="740"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12</w:t>
            </w:r>
          </w:p>
        </w:tc>
        <w:tc>
          <w:tcPr>
            <w:tcW w:w="740"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0.02</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0.05</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7.36</w:t>
            </w:r>
          </w:p>
        </w:tc>
        <w:tc>
          <w:tcPr>
            <w:tcW w:w="1126"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0.4</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517</w:t>
            </w:r>
          </w:p>
        </w:tc>
      </w:tr>
      <w:tr w:rsidR="00583BD3" w:rsidRPr="00501310" w:rsidTr="000727E8">
        <w:trPr>
          <w:trHeight w:val="300"/>
        </w:trPr>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2007</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29</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0.05</w:t>
            </w:r>
          </w:p>
        </w:tc>
        <w:tc>
          <w:tcPr>
            <w:tcW w:w="740"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16</w:t>
            </w:r>
          </w:p>
        </w:tc>
        <w:tc>
          <w:tcPr>
            <w:tcW w:w="740"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0.03</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0.06</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7.26</w:t>
            </w:r>
          </w:p>
        </w:tc>
        <w:tc>
          <w:tcPr>
            <w:tcW w:w="1126"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0.4</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543</w:t>
            </w:r>
          </w:p>
        </w:tc>
      </w:tr>
      <w:tr w:rsidR="00583BD3" w:rsidRPr="00501310" w:rsidTr="000727E8">
        <w:trPr>
          <w:trHeight w:val="300"/>
        </w:trPr>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2008</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26</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0.05</w:t>
            </w:r>
          </w:p>
        </w:tc>
        <w:tc>
          <w:tcPr>
            <w:tcW w:w="740"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15</w:t>
            </w:r>
          </w:p>
        </w:tc>
        <w:tc>
          <w:tcPr>
            <w:tcW w:w="740"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0.03</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0.06</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7.36</w:t>
            </w:r>
          </w:p>
        </w:tc>
        <w:tc>
          <w:tcPr>
            <w:tcW w:w="1126"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0.42</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509</w:t>
            </w:r>
          </w:p>
        </w:tc>
      </w:tr>
      <w:tr w:rsidR="00583BD3" w:rsidRPr="00501310" w:rsidTr="000727E8">
        <w:trPr>
          <w:trHeight w:val="300"/>
        </w:trPr>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2009</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18</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0.04</w:t>
            </w:r>
          </w:p>
        </w:tc>
        <w:tc>
          <w:tcPr>
            <w:tcW w:w="740"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9</w:t>
            </w:r>
          </w:p>
        </w:tc>
        <w:tc>
          <w:tcPr>
            <w:tcW w:w="740"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0.02</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0.06</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7.2</w:t>
            </w:r>
          </w:p>
        </w:tc>
        <w:tc>
          <w:tcPr>
            <w:tcW w:w="1126"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0.42</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481</w:t>
            </w:r>
          </w:p>
        </w:tc>
      </w:tr>
      <w:tr w:rsidR="00583BD3" w:rsidRPr="00501310" w:rsidTr="000727E8">
        <w:trPr>
          <w:trHeight w:val="300"/>
        </w:trPr>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2010</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23</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0.04</w:t>
            </w:r>
          </w:p>
        </w:tc>
        <w:tc>
          <w:tcPr>
            <w:tcW w:w="740"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14</w:t>
            </w:r>
          </w:p>
        </w:tc>
        <w:tc>
          <w:tcPr>
            <w:tcW w:w="740"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0.03</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0.06</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7.18</w:t>
            </w:r>
          </w:p>
        </w:tc>
        <w:tc>
          <w:tcPr>
            <w:tcW w:w="1126"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0.42</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521</w:t>
            </w:r>
          </w:p>
        </w:tc>
      </w:tr>
      <w:tr w:rsidR="00583BD3" w:rsidRPr="00501310" w:rsidTr="000727E8">
        <w:trPr>
          <w:trHeight w:val="300"/>
        </w:trPr>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2011</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22</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0.04</w:t>
            </w:r>
          </w:p>
        </w:tc>
        <w:tc>
          <w:tcPr>
            <w:tcW w:w="740"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16</w:t>
            </w:r>
          </w:p>
        </w:tc>
        <w:tc>
          <w:tcPr>
            <w:tcW w:w="740"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0.03</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0.07</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7.23</w:t>
            </w:r>
          </w:p>
        </w:tc>
        <w:tc>
          <w:tcPr>
            <w:tcW w:w="1126"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0.42</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519</w:t>
            </w:r>
          </w:p>
        </w:tc>
      </w:tr>
      <w:tr w:rsidR="00583BD3" w:rsidRPr="00501310" w:rsidTr="000727E8">
        <w:trPr>
          <w:trHeight w:val="300"/>
        </w:trPr>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2012</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29</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0.06</w:t>
            </w:r>
          </w:p>
        </w:tc>
        <w:tc>
          <w:tcPr>
            <w:tcW w:w="740"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15</w:t>
            </w:r>
          </w:p>
        </w:tc>
        <w:tc>
          <w:tcPr>
            <w:tcW w:w="740"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0.03</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0.08</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7.25</w:t>
            </w:r>
          </w:p>
        </w:tc>
        <w:tc>
          <w:tcPr>
            <w:tcW w:w="1126"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0.43</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488</w:t>
            </w:r>
          </w:p>
        </w:tc>
      </w:tr>
      <w:tr w:rsidR="00583BD3" w:rsidRPr="00501310" w:rsidTr="000727E8">
        <w:trPr>
          <w:trHeight w:val="300"/>
        </w:trPr>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2013</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32</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0.07</w:t>
            </w:r>
          </w:p>
        </w:tc>
        <w:tc>
          <w:tcPr>
            <w:tcW w:w="740"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12</w:t>
            </w:r>
          </w:p>
        </w:tc>
        <w:tc>
          <w:tcPr>
            <w:tcW w:w="740"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0.03</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0.1</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7.43</w:t>
            </w:r>
          </w:p>
        </w:tc>
        <w:tc>
          <w:tcPr>
            <w:tcW w:w="1126"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0.46</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475</w:t>
            </w:r>
          </w:p>
        </w:tc>
      </w:tr>
      <w:tr w:rsidR="00583BD3" w:rsidRPr="00501310" w:rsidTr="000727E8">
        <w:trPr>
          <w:trHeight w:val="300"/>
        </w:trPr>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2014</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36</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0.08</w:t>
            </w:r>
          </w:p>
        </w:tc>
        <w:tc>
          <w:tcPr>
            <w:tcW w:w="740"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13</w:t>
            </w:r>
          </w:p>
        </w:tc>
        <w:tc>
          <w:tcPr>
            <w:tcW w:w="740"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0.03</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0.11</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7.41</w:t>
            </w:r>
          </w:p>
        </w:tc>
        <w:tc>
          <w:tcPr>
            <w:tcW w:w="1126"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0.48</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466</w:t>
            </w:r>
          </w:p>
        </w:tc>
      </w:tr>
      <w:tr w:rsidR="00583BD3" w:rsidRPr="00501310" w:rsidTr="000727E8">
        <w:trPr>
          <w:trHeight w:val="300"/>
        </w:trPr>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2015</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37</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0.08</w:t>
            </w:r>
          </w:p>
        </w:tc>
        <w:tc>
          <w:tcPr>
            <w:tcW w:w="740"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13</w:t>
            </w:r>
          </w:p>
        </w:tc>
        <w:tc>
          <w:tcPr>
            <w:tcW w:w="740"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0.03</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0.12</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7.38</w:t>
            </w:r>
          </w:p>
        </w:tc>
        <w:tc>
          <w:tcPr>
            <w:tcW w:w="1126"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0.48</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474</w:t>
            </w:r>
          </w:p>
        </w:tc>
      </w:tr>
      <w:tr w:rsidR="00583BD3" w:rsidRPr="00501310" w:rsidTr="000727E8">
        <w:trPr>
          <w:trHeight w:val="300"/>
        </w:trPr>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2016</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42</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0.09</w:t>
            </w:r>
          </w:p>
        </w:tc>
        <w:tc>
          <w:tcPr>
            <w:tcW w:w="740"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16</w:t>
            </w:r>
          </w:p>
        </w:tc>
        <w:tc>
          <w:tcPr>
            <w:tcW w:w="740"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0.03</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0.13</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7.38</w:t>
            </w:r>
          </w:p>
        </w:tc>
        <w:tc>
          <w:tcPr>
            <w:tcW w:w="1126"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0.49</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459</w:t>
            </w:r>
          </w:p>
        </w:tc>
      </w:tr>
      <w:tr w:rsidR="00583BD3" w:rsidRPr="00501310" w:rsidTr="000727E8">
        <w:trPr>
          <w:trHeight w:val="300"/>
        </w:trPr>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2017</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30</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0.1</w:t>
            </w:r>
          </w:p>
        </w:tc>
        <w:tc>
          <w:tcPr>
            <w:tcW w:w="740"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15</w:t>
            </w:r>
          </w:p>
        </w:tc>
        <w:tc>
          <w:tcPr>
            <w:tcW w:w="740"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0.05</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0.13</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7.07</w:t>
            </w:r>
          </w:p>
        </w:tc>
        <w:tc>
          <w:tcPr>
            <w:tcW w:w="1126"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0.61</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300</w:t>
            </w:r>
          </w:p>
        </w:tc>
      </w:tr>
      <w:tr w:rsidR="00583BD3" w:rsidRPr="00501310" w:rsidTr="000727E8">
        <w:trPr>
          <w:trHeight w:val="300"/>
        </w:trPr>
        <w:tc>
          <w:tcPr>
            <w:tcW w:w="960" w:type="dxa"/>
            <w:tcBorders>
              <w:top w:val="single" w:sz="4" w:space="0" w:color="auto"/>
              <w:left w:val="nil"/>
              <w:bottom w:val="single" w:sz="4" w:space="0" w:color="auto"/>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Average</w:t>
            </w:r>
          </w:p>
        </w:tc>
        <w:tc>
          <w:tcPr>
            <w:tcW w:w="960" w:type="dxa"/>
            <w:tcBorders>
              <w:top w:val="single" w:sz="4" w:space="0" w:color="auto"/>
              <w:left w:val="nil"/>
              <w:bottom w:val="single" w:sz="4" w:space="0" w:color="auto"/>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22.37</w:t>
            </w:r>
          </w:p>
        </w:tc>
        <w:tc>
          <w:tcPr>
            <w:tcW w:w="960" w:type="dxa"/>
            <w:tcBorders>
              <w:top w:val="single" w:sz="4" w:space="0" w:color="auto"/>
              <w:left w:val="nil"/>
              <w:bottom w:val="single" w:sz="4" w:space="0" w:color="auto"/>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0.05</w:t>
            </w:r>
          </w:p>
        </w:tc>
        <w:tc>
          <w:tcPr>
            <w:tcW w:w="740" w:type="dxa"/>
            <w:tcBorders>
              <w:top w:val="single" w:sz="4" w:space="0" w:color="auto"/>
              <w:left w:val="nil"/>
              <w:bottom w:val="single" w:sz="4" w:space="0" w:color="auto"/>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10.26</w:t>
            </w:r>
          </w:p>
        </w:tc>
        <w:tc>
          <w:tcPr>
            <w:tcW w:w="740" w:type="dxa"/>
            <w:tcBorders>
              <w:top w:val="single" w:sz="4" w:space="0" w:color="auto"/>
              <w:left w:val="nil"/>
              <w:bottom w:val="single" w:sz="4" w:space="0" w:color="auto"/>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0.02</w:t>
            </w:r>
          </w:p>
        </w:tc>
        <w:tc>
          <w:tcPr>
            <w:tcW w:w="960" w:type="dxa"/>
            <w:tcBorders>
              <w:top w:val="single" w:sz="4" w:space="0" w:color="auto"/>
              <w:left w:val="nil"/>
              <w:bottom w:val="single" w:sz="4" w:space="0" w:color="auto"/>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0.07</w:t>
            </w:r>
          </w:p>
        </w:tc>
        <w:tc>
          <w:tcPr>
            <w:tcW w:w="960" w:type="dxa"/>
            <w:tcBorders>
              <w:top w:val="single" w:sz="4" w:space="0" w:color="auto"/>
              <w:left w:val="nil"/>
              <w:bottom w:val="single" w:sz="4" w:space="0" w:color="auto"/>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7.59</w:t>
            </w:r>
          </w:p>
        </w:tc>
        <w:tc>
          <w:tcPr>
            <w:tcW w:w="1126" w:type="dxa"/>
            <w:tcBorders>
              <w:top w:val="single" w:sz="4" w:space="0" w:color="auto"/>
              <w:left w:val="nil"/>
              <w:bottom w:val="single" w:sz="4" w:space="0" w:color="auto"/>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0.44</w:t>
            </w:r>
          </w:p>
        </w:tc>
        <w:tc>
          <w:tcPr>
            <w:tcW w:w="960" w:type="dxa"/>
            <w:tcBorders>
              <w:top w:val="single" w:sz="4" w:space="0" w:color="auto"/>
              <w:left w:val="nil"/>
              <w:bottom w:val="single" w:sz="4" w:space="0" w:color="auto"/>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415.74</w:t>
            </w:r>
          </w:p>
        </w:tc>
      </w:tr>
    </w:tbl>
    <w:p w:rsidR="00583BD3" w:rsidRDefault="00583BD3" w:rsidP="00583BD3">
      <w:pPr>
        <w:sectPr w:rsidR="00583BD3">
          <w:footerReference w:type="even" r:id="rId18"/>
          <w:footerReference w:type="default" r:id="rId19"/>
          <w:pgSz w:w="11906" w:h="16838"/>
          <w:pgMar w:top="1440" w:right="1440" w:bottom="1440" w:left="1440" w:header="708" w:footer="708" w:gutter="0"/>
          <w:cols w:space="708"/>
          <w:docGrid w:linePitch="360"/>
        </w:sectPr>
      </w:pPr>
    </w:p>
    <w:p w:rsidR="00583BD3" w:rsidRDefault="00583BD3" w:rsidP="00583BD3">
      <w:pPr>
        <w:jc w:val="both"/>
        <w:rPr>
          <w:rFonts w:ascii="Garamond" w:hAnsi="Garamond"/>
          <w:sz w:val="20"/>
        </w:rPr>
      </w:pPr>
      <w:r w:rsidRPr="0057098D">
        <w:rPr>
          <w:rFonts w:ascii="Garamond" w:hAnsi="Garamond"/>
          <w:b/>
          <w:sz w:val="20"/>
        </w:rPr>
        <w:lastRenderedPageBreak/>
        <w:t xml:space="preserve">Table </w:t>
      </w:r>
      <w:r>
        <w:rPr>
          <w:rFonts w:ascii="Garamond" w:hAnsi="Garamond"/>
          <w:b/>
          <w:sz w:val="20"/>
        </w:rPr>
        <w:t>2</w:t>
      </w:r>
      <w:r w:rsidRPr="0057098D">
        <w:rPr>
          <w:rFonts w:ascii="Garamond" w:hAnsi="Garamond"/>
          <w:b/>
          <w:sz w:val="20"/>
        </w:rPr>
        <w:t>:</w:t>
      </w:r>
      <w:r w:rsidRPr="0057098D">
        <w:rPr>
          <w:rFonts w:ascii="Garamond" w:hAnsi="Garamond"/>
          <w:sz w:val="20"/>
        </w:rPr>
        <w:t xml:space="preserve"> </w:t>
      </w:r>
      <w:r w:rsidRPr="00D0508D">
        <w:rPr>
          <w:rFonts w:ascii="Garamond" w:hAnsi="Garamond"/>
          <w:b/>
          <w:sz w:val="20"/>
        </w:rPr>
        <w:t>Female CFOs</w:t>
      </w:r>
      <w:r>
        <w:rPr>
          <w:rFonts w:ascii="Garamond" w:hAnsi="Garamond"/>
          <w:b/>
          <w:sz w:val="20"/>
        </w:rPr>
        <w:t xml:space="preserve"> and Leverage</w:t>
      </w:r>
      <w:r w:rsidRPr="00D0508D">
        <w:rPr>
          <w:rFonts w:ascii="Garamond" w:hAnsi="Garamond"/>
          <w:b/>
          <w:sz w:val="20"/>
        </w:rPr>
        <w:t xml:space="preserve"> by </w:t>
      </w:r>
      <w:r>
        <w:rPr>
          <w:rFonts w:ascii="Garamond" w:hAnsi="Garamond"/>
          <w:b/>
          <w:sz w:val="20"/>
        </w:rPr>
        <w:t>I</w:t>
      </w:r>
      <w:r w:rsidRPr="00D0508D">
        <w:rPr>
          <w:rFonts w:ascii="Garamond" w:hAnsi="Garamond"/>
          <w:b/>
          <w:sz w:val="20"/>
        </w:rPr>
        <w:t>ndustry.</w:t>
      </w:r>
      <w:r>
        <w:rPr>
          <w:rFonts w:ascii="Garamond" w:hAnsi="Garamond"/>
          <w:sz w:val="20"/>
        </w:rPr>
        <w:t xml:space="preserve"> </w:t>
      </w:r>
    </w:p>
    <w:p w:rsidR="00583BD3" w:rsidRPr="0057098D" w:rsidRDefault="00583BD3" w:rsidP="00583BD3">
      <w:pPr>
        <w:jc w:val="both"/>
        <w:rPr>
          <w:rFonts w:ascii="Garamond" w:hAnsi="Garamond"/>
          <w:sz w:val="20"/>
        </w:rPr>
      </w:pPr>
      <w:r>
        <w:rPr>
          <w:rFonts w:ascii="Garamond" w:hAnsi="Garamond"/>
          <w:sz w:val="20"/>
        </w:rPr>
        <w:t>This table presents the number of female CFOs in each industry, the fractions of female CFOs and female directors, the average board size, the percentage of board independence, the average leverage and the number of firms by industry.</w:t>
      </w:r>
    </w:p>
    <w:tbl>
      <w:tblPr>
        <w:tblW w:w="10080" w:type="dxa"/>
        <w:jc w:val="center"/>
        <w:tblLook w:val="04A0"/>
      </w:tblPr>
      <w:tblGrid>
        <w:gridCol w:w="2100"/>
        <w:gridCol w:w="1180"/>
        <w:gridCol w:w="1361"/>
        <w:gridCol w:w="1247"/>
        <w:gridCol w:w="960"/>
        <w:gridCol w:w="1312"/>
        <w:gridCol w:w="960"/>
        <w:gridCol w:w="960"/>
      </w:tblGrid>
      <w:tr w:rsidR="00583BD3" w:rsidRPr="00501310" w:rsidTr="000727E8">
        <w:trPr>
          <w:trHeight w:val="300"/>
          <w:jc w:val="center"/>
        </w:trPr>
        <w:tc>
          <w:tcPr>
            <w:tcW w:w="2100" w:type="dxa"/>
            <w:tcBorders>
              <w:top w:val="single" w:sz="4" w:space="0" w:color="auto"/>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Sector</w:t>
            </w:r>
          </w:p>
        </w:tc>
        <w:tc>
          <w:tcPr>
            <w:tcW w:w="1180" w:type="dxa"/>
            <w:tcBorders>
              <w:top w:val="single" w:sz="4" w:space="0" w:color="auto"/>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No. Female CFOs</w:t>
            </w:r>
          </w:p>
        </w:tc>
        <w:tc>
          <w:tcPr>
            <w:tcW w:w="1361" w:type="dxa"/>
            <w:tcBorders>
              <w:top w:val="single" w:sz="4" w:space="0" w:color="auto"/>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Pr>
                <w:rFonts w:ascii="Garamond" w:hAnsi="Garamond" w:cs="Calibri"/>
                <w:color w:val="000000"/>
                <w:sz w:val="20"/>
                <w:szCs w:val="20"/>
              </w:rPr>
              <w:t>Fraction</w:t>
            </w:r>
            <w:r w:rsidRPr="00501310">
              <w:rPr>
                <w:rFonts w:ascii="Garamond" w:hAnsi="Garamond" w:cs="Calibri"/>
                <w:color w:val="000000"/>
                <w:sz w:val="20"/>
                <w:szCs w:val="20"/>
              </w:rPr>
              <w:t xml:space="preserve"> of Female CFOs</w:t>
            </w:r>
          </w:p>
        </w:tc>
        <w:tc>
          <w:tcPr>
            <w:tcW w:w="1247" w:type="dxa"/>
            <w:tcBorders>
              <w:top w:val="single" w:sz="4" w:space="0" w:color="auto"/>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Pr>
                <w:rFonts w:ascii="Garamond" w:hAnsi="Garamond" w:cs="Calibri"/>
                <w:color w:val="000000"/>
                <w:sz w:val="20"/>
                <w:szCs w:val="20"/>
              </w:rPr>
              <w:t>Fraction of</w:t>
            </w:r>
            <w:r w:rsidRPr="00501310">
              <w:rPr>
                <w:rFonts w:ascii="Garamond" w:hAnsi="Garamond" w:cs="Calibri"/>
                <w:color w:val="000000"/>
                <w:sz w:val="20"/>
                <w:szCs w:val="20"/>
              </w:rPr>
              <w:t xml:space="preserve"> Female Directors</w:t>
            </w:r>
          </w:p>
        </w:tc>
        <w:tc>
          <w:tcPr>
            <w:tcW w:w="960" w:type="dxa"/>
            <w:tcBorders>
              <w:top w:val="single" w:sz="4" w:space="0" w:color="auto"/>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Board Size</w:t>
            </w:r>
          </w:p>
        </w:tc>
        <w:tc>
          <w:tcPr>
            <w:tcW w:w="1312" w:type="dxa"/>
            <w:tcBorders>
              <w:top w:val="single" w:sz="4" w:space="0" w:color="auto"/>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Board Independence</w:t>
            </w:r>
          </w:p>
        </w:tc>
        <w:tc>
          <w:tcPr>
            <w:tcW w:w="960" w:type="dxa"/>
            <w:tcBorders>
              <w:top w:val="single" w:sz="4" w:space="0" w:color="auto"/>
              <w:left w:val="nil"/>
              <w:bottom w:val="nil"/>
              <w:right w:val="nil"/>
            </w:tcBorders>
            <w:vAlign w:val="center"/>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Leverage</w:t>
            </w:r>
          </w:p>
        </w:tc>
        <w:tc>
          <w:tcPr>
            <w:tcW w:w="960" w:type="dxa"/>
            <w:tcBorders>
              <w:top w:val="single" w:sz="4" w:space="0" w:color="auto"/>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 of firms</w:t>
            </w:r>
          </w:p>
        </w:tc>
      </w:tr>
      <w:tr w:rsidR="00583BD3" w:rsidRPr="00501310" w:rsidTr="000727E8">
        <w:trPr>
          <w:trHeight w:val="300"/>
          <w:jc w:val="center"/>
        </w:trPr>
        <w:tc>
          <w:tcPr>
            <w:tcW w:w="2100" w:type="dxa"/>
            <w:tcBorders>
              <w:top w:val="single" w:sz="4" w:space="0" w:color="auto"/>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Basic Materials</w:t>
            </w:r>
          </w:p>
        </w:tc>
        <w:tc>
          <w:tcPr>
            <w:tcW w:w="1180" w:type="dxa"/>
            <w:tcBorders>
              <w:top w:val="single" w:sz="4" w:space="0" w:color="auto"/>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21</w:t>
            </w:r>
          </w:p>
        </w:tc>
        <w:tc>
          <w:tcPr>
            <w:tcW w:w="1361" w:type="dxa"/>
            <w:tcBorders>
              <w:top w:val="single" w:sz="4" w:space="0" w:color="auto"/>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0.04</w:t>
            </w:r>
          </w:p>
        </w:tc>
        <w:tc>
          <w:tcPr>
            <w:tcW w:w="1247" w:type="dxa"/>
            <w:tcBorders>
              <w:top w:val="single" w:sz="4" w:space="0" w:color="auto"/>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0.04</w:t>
            </w:r>
          </w:p>
        </w:tc>
        <w:tc>
          <w:tcPr>
            <w:tcW w:w="960" w:type="dxa"/>
            <w:tcBorders>
              <w:top w:val="single" w:sz="4" w:space="0" w:color="auto"/>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7.78</w:t>
            </w:r>
          </w:p>
        </w:tc>
        <w:tc>
          <w:tcPr>
            <w:tcW w:w="1312" w:type="dxa"/>
            <w:tcBorders>
              <w:top w:val="single" w:sz="4" w:space="0" w:color="auto"/>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0.46</w:t>
            </w:r>
          </w:p>
        </w:tc>
        <w:tc>
          <w:tcPr>
            <w:tcW w:w="960" w:type="dxa"/>
            <w:tcBorders>
              <w:top w:val="single" w:sz="4" w:space="0" w:color="auto"/>
              <w:left w:val="nil"/>
              <w:bottom w:val="nil"/>
              <w:right w:val="nil"/>
            </w:tcBorders>
            <w:vAlign w:val="center"/>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0.21</w:t>
            </w:r>
          </w:p>
        </w:tc>
        <w:tc>
          <w:tcPr>
            <w:tcW w:w="960" w:type="dxa"/>
            <w:tcBorders>
              <w:top w:val="single" w:sz="4" w:space="0" w:color="auto"/>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563</w:t>
            </w:r>
          </w:p>
        </w:tc>
      </w:tr>
      <w:tr w:rsidR="00583BD3" w:rsidRPr="00501310" w:rsidTr="000727E8">
        <w:trPr>
          <w:trHeight w:val="300"/>
          <w:jc w:val="center"/>
        </w:trPr>
        <w:tc>
          <w:tcPr>
            <w:tcW w:w="210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Consumer Goods</w:t>
            </w:r>
          </w:p>
        </w:tc>
        <w:tc>
          <w:tcPr>
            <w:tcW w:w="118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55</w:t>
            </w:r>
          </w:p>
        </w:tc>
        <w:tc>
          <w:tcPr>
            <w:tcW w:w="1361"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0.07</w:t>
            </w:r>
          </w:p>
        </w:tc>
        <w:tc>
          <w:tcPr>
            <w:tcW w:w="1247"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0.1</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7.92</w:t>
            </w:r>
          </w:p>
        </w:tc>
        <w:tc>
          <w:tcPr>
            <w:tcW w:w="1312"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0.46</w:t>
            </w:r>
          </w:p>
        </w:tc>
        <w:tc>
          <w:tcPr>
            <w:tcW w:w="960" w:type="dxa"/>
            <w:tcBorders>
              <w:top w:val="nil"/>
              <w:left w:val="nil"/>
              <w:bottom w:val="nil"/>
              <w:right w:val="nil"/>
            </w:tcBorders>
            <w:vAlign w:val="center"/>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0.28</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839</w:t>
            </w:r>
          </w:p>
        </w:tc>
      </w:tr>
      <w:tr w:rsidR="00583BD3" w:rsidRPr="00501310" w:rsidTr="000727E8">
        <w:trPr>
          <w:trHeight w:val="300"/>
          <w:jc w:val="center"/>
        </w:trPr>
        <w:tc>
          <w:tcPr>
            <w:tcW w:w="210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Consumer Services</w:t>
            </w:r>
          </w:p>
        </w:tc>
        <w:tc>
          <w:tcPr>
            <w:tcW w:w="118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92</w:t>
            </w:r>
          </w:p>
        </w:tc>
        <w:tc>
          <w:tcPr>
            <w:tcW w:w="1361"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0.06</w:t>
            </w:r>
          </w:p>
        </w:tc>
        <w:tc>
          <w:tcPr>
            <w:tcW w:w="1247"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0.1</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8.04</w:t>
            </w:r>
          </w:p>
        </w:tc>
        <w:tc>
          <w:tcPr>
            <w:tcW w:w="1312"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0.45</w:t>
            </w:r>
          </w:p>
        </w:tc>
        <w:tc>
          <w:tcPr>
            <w:tcW w:w="960" w:type="dxa"/>
            <w:tcBorders>
              <w:top w:val="nil"/>
              <w:left w:val="nil"/>
              <w:bottom w:val="nil"/>
              <w:right w:val="nil"/>
            </w:tcBorders>
            <w:vAlign w:val="center"/>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0.36</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1,641</w:t>
            </w:r>
          </w:p>
        </w:tc>
      </w:tr>
      <w:tr w:rsidR="00583BD3" w:rsidRPr="00501310" w:rsidTr="000727E8">
        <w:trPr>
          <w:trHeight w:val="300"/>
          <w:jc w:val="center"/>
        </w:trPr>
        <w:tc>
          <w:tcPr>
            <w:tcW w:w="210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Health Care</w:t>
            </w:r>
          </w:p>
        </w:tc>
        <w:tc>
          <w:tcPr>
            <w:tcW w:w="118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18</w:t>
            </w:r>
          </w:p>
        </w:tc>
        <w:tc>
          <w:tcPr>
            <w:tcW w:w="1361"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0.03</w:t>
            </w:r>
          </w:p>
        </w:tc>
        <w:tc>
          <w:tcPr>
            <w:tcW w:w="1247"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0.08</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7.28</w:t>
            </w:r>
          </w:p>
        </w:tc>
        <w:tc>
          <w:tcPr>
            <w:tcW w:w="1312"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0.41</w:t>
            </w:r>
          </w:p>
        </w:tc>
        <w:tc>
          <w:tcPr>
            <w:tcW w:w="960" w:type="dxa"/>
            <w:tcBorders>
              <w:top w:val="nil"/>
              <w:left w:val="nil"/>
              <w:bottom w:val="nil"/>
              <w:right w:val="nil"/>
            </w:tcBorders>
            <w:vAlign w:val="center"/>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0.20</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559</w:t>
            </w:r>
          </w:p>
        </w:tc>
      </w:tr>
      <w:tr w:rsidR="00583BD3" w:rsidRPr="00501310" w:rsidTr="000727E8">
        <w:trPr>
          <w:trHeight w:val="300"/>
          <w:jc w:val="center"/>
        </w:trPr>
        <w:tc>
          <w:tcPr>
            <w:tcW w:w="210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Industrials</w:t>
            </w:r>
          </w:p>
        </w:tc>
        <w:tc>
          <w:tcPr>
            <w:tcW w:w="118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144</w:t>
            </w:r>
          </w:p>
        </w:tc>
        <w:tc>
          <w:tcPr>
            <w:tcW w:w="1361"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0.05</w:t>
            </w:r>
          </w:p>
        </w:tc>
        <w:tc>
          <w:tcPr>
            <w:tcW w:w="1247"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0.06</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7.2</w:t>
            </w:r>
          </w:p>
        </w:tc>
        <w:tc>
          <w:tcPr>
            <w:tcW w:w="1312"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0.44</w:t>
            </w:r>
          </w:p>
        </w:tc>
        <w:tc>
          <w:tcPr>
            <w:tcW w:w="960" w:type="dxa"/>
            <w:tcBorders>
              <w:top w:val="nil"/>
              <w:left w:val="nil"/>
              <w:bottom w:val="nil"/>
              <w:right w:val="nil"/>
            </w:tcBorders>
            <w:vAlign w:val="center"/>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0.31</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2,671</w:t>
            </w:r>
          </w:p>
        </w:tc>
      </w:tr>
      <w:tr w:rsidR="00583BD3" w:rsidRPr="00501310" w:rsidTr="000727E8">
        <w:trPr>
          <w:trHeight w:val="300"/>
          <w:jc w:val="center"/>
        </w:trPr>
        <w:tc>
          <w:tcPr>
            <w:tcW w:w="210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Oil and Gas</w:t>
            </w:r>
          </w:p>
        </w:tc>
        <w:tc>
          <w:tcPr>
            <w:tcW w:w="118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22</w:t>
            </w:r>
          </w:p>
        </w:tc>
        <w:tc>
          <w:tcPr>
            <w:tcW w:w="1361"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0.04</w:t>
            </w:r>
          </w:p>
        </w:tc>
        <w:tc>
          <w:tcPr>
            <w:tcW w:w="1247"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0.05</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7.83</w:t>
            </w:r>
          </w:p>
        </w:tc>
        <w:tc>
          <w:tcPr>
            <w:tcW w:w="1312"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0.41</w:t>
            </w:r>
          </w:p>
        </w:tc>
        <w:tc>
          <w:tcPr>
            <w:tcW w:w="960" w:type="dxa"/>
            <w:tcBorders>
              <w:top w:val="nil"/>
              <w:left w:val="nil"/>
              <w:bottom w:val="nil"/>
              <w:right w:val="nil"/>
            </w:tcBorders>
            <w:vAlign w:val="center"/>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0.18</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539</w:t>
            </w:r>
          </w:p>
        </w:tc>
      </w:tr>
      <w:tr w:rsidR="00583BD3" w:rsidRPr="00501310" w:rsidTr="000727E8">
        <w:trPr>
          <w:trHeight w:val="300"/>
          <w:jc w:val="center"/>
        </w:trPr>
        <w:tc>
          <w:tcPr>
            <w:tcW w:w="210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Technology</w:t>
            </w:r>
          </w:p>
        </w:tc>
        <w:tc>
          <w:tcPr>
            <w:tcW w:w="118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69</w:t>
            </w:r>
          </w:p>
        </w:tc>
        <w:tc>
          <w:tcPr>
            <w:tcW w:w="1361"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0.07</w:t>
            </w:r>
          </w:p>
        </w:tc>
        <w:tc>
          <w:tcPr>
            <w:tcW w:w="1247"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0.05</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6.52</w:t>
            </w:r>
          </w:p>
        </w:tc>
        <w:tc>
          <w:tcPr>
            <w:tcW w:w="1312"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0.4</w:t>
            </w:r>
          </w:p>
        </w:tc>
        <w:tc>
          <w:tcPr>
            <w:tcW w:w="960" w:type="dxa"/>
            <w:tcBorders>
              <w:top w:val="nil"/>
              <w:left w:val="nil"/>
              <w:bottom w:val="nil"/>
              <w:right w:val="nil"/>
            </w:tcBorders>
            <w:vAlign w:val="center"/>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0.13</w:t>
            </w:r>
          </w:p>
        </w:tc>
        <w:tc>
          <w:tcPr>
            <w:tcW w:w="960" w:type="dxa"/>
            <w:tcBorders>
              <w:top w:val="nil"/>
              <w:left w:val="nil"/>
              <w:bottom w:val="nil"/>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941</w:t>
            </w:r>
          </w:p>
        </w:tc>
      </w:tr>
      <w:tr w:rsidR="00583BD3" w:rsidRPr="00501310" w:rsidTr="000727E8">
        <w:trPr>
          <w:trHeight w:val="300"/>
          <w:jc w:val="center"/>
        </w:trPr>
        <w:tc>
          <w:tcPr>
            <w:tcW w:w="2100" w:type="dxa"/>
            <w:tcBorders>
              <w:top w:val="nil"/>
              <w:left w:val="nil"/>
              <w:bottom w:val="single" w:sz="4" w:space="0" w:color="auto"/>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Telecommunications</w:t>
            </w:r>
          </w:p>
        </w:tc>
        <w:tc>
          <w:tcPr>
            <w:tcW w:w="1180" w:type="dxa"/>
            <w:tcBorders>
              <w:top w:val="nil"/>
              <w:left w:val="nil"/>
              <w:bottom w:val="single" w:sz="4" w:space="0" w:color="auto"/>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4</w:t>
            </w:r>
          </w:p>
        </w:tc>
        <w:tc>
          <w:tcPr>
            <w:tcW w:w="1361" w:type="dxa"/>
            <w:tcBorders>
              <w:top w:val="nil"/>
              <w:left w:val="nil"/>
              <w:bottom w:val="single" w:sz="4" w:space="0" w:color="auto"/>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0.03</w:t>
            </w:r>
          </w:p>
        </w:tc>
        <w:tc>
          <w:tcPr>
            <w:tcW w:w="1247" w:type="dxa"/>
            <w:tcBorders>
              <w:top w:val="nil"/>
              <w:left w:val="nil"/>
              <w:bottom w:val="single" w:sz="4" w:space="0" w:color="auto"/>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0.09</w:t>
            </w:r>
          </w:p>
        </w:tc>
        <w:tc>
          <w:tcPr>
            <w:tcW w:w="960" w:type="dxa"/>
            <w:tcBorders>
              <w:top w:val="nil"/>
              <w:left w:val="nil"/>
              <w:bottom w:val="single" w:sz="4" w:space="0" w:color="auto"/>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8.99</w:t>
            </w:r>
          </w:p>
        </w:tc>
        <w:tc>
          <w:tcPr>
            <w:tcW w:w="1312" w:type="dxa"/>
            <w:tcBorders>
              <w:top w:val="nil"/>
              <w:left w:val="nil"/>
              <w:bottom w:val="single" w:sz="4" w:space="0" w:color="auto"/>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0.49</w:t>
            </w:r>
          </w:p>
        </w:tc>
        <w:tc>
          <w:tcPr>
            <w:tcW w:w="960" w:type="dxa"/>
            <w:tcBorders>
              <w:top w:val="nil"/>
              <w:left w:val="nil"/>
              <w:bottom w:val="single" w:sz="4" w:space="0" w:color="auto"/>
              <w:right w:val="nil"/>
            </w:tcBorders>
            <w:vAlign w:val="center"/>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0.36</w:t>
            </w:r>
          </w:p>
        </w:tc>
        <w:tc>
          <w:tcPr>
            <w:tcW w:w="960" w:type="dxa"/>
            <w:tcBorders>
              <w:top w:val="nil"/>
              <w:left w:val="nil"/>
              <w:bottom w:val="single" w:sz="4" w:space="0" w:color="auto"/>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146</w:t>
            </w:r>
          </w:p>
        </w:tc>
      </w:tr>
      <w:tr w:rsidR="00583BD3" w:rsidRPr="00501310" w:rsidTr="000727E8">
        <w:trPr>
          <w:trHeight w:val="300"/>
          <w:jc w:val="center"/>
        </w:trPr>
        <w:tc>
          <w:tcPr>
            <w:tcW w:w="2100" w:type="dxa"/>
            <w:tcBorders>
              <w:top w:val="nil"/>
              <w:left w:val="nil"/>
              <w:bottom w:val="single" w:sz="4" w:space="0" w:color="auto"/>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Average</w:t>
            </w:r>
          </w:p>
        </w:tc>
        <w:tc>
          <w:tcPr>
            <w:tcW w:w="1180" w:type="dxa"/>
            <w:tcBorders>
              <w:top w:val="nil"/>
              <w:left w:val="nil"/>
              <w:bottom w:val="single" w:sz="4" w:space="0" w:color="auto"/>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53.13</w:t>
            </w:r>
          </w:p>
        </w:tc>
        <w:tc>
          <w:tcPr>
            <w:tcW w:w="1361" w:type="dxa"/>
            <w:tcBorders>
              <w:top w:val="nil"/>
              <w:left w:val="nil"/>
              <w:bottom w:val="single" w:sz="4" w:space="0" w:color="auto"/>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0.05</w:t>
            </w:r>
          </w:p>
        </w:tc>
        <w:tc>
          <w:tcPr>
            <w:tcW w:w="1247" w:type="dxa"/>
            <w:tcBorders>
              <w:top w:val="nil"/>
              <w:left w:val="nil"/>
              <w:bottom w:val="single" w:sz="4" w:space="0" w:color="auto"/>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0.07</w:t>
            </w:r>
          </w:p>
        </w:tc>
        <w:tc>
          <w:tcPr>
            <w:tcW w:w="960" w:type="dxa"/>
            <w:tcBorders>
              <w:top w:val="nil"/>
              <w:left w:val="nil"/>
              <w:bottom w:val="single" w:sz="4" w:space="0" w:color="auto"/>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7.7</w:t>
            </w:r>
          </w:p>
        </w:tc>
        <w:tc>
          <w:tcPr>
            <w:tcW w:w="1312" w:type="dxa"/>
            <w:tcBorders>
              <w:top w:val="nil"/>
              <w:left w:val="nil"/>
              <w:bottom w:val="single" w:sz="4" w:space="0" w:color="auto"/>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0.44</w:t>
            </w:r>
          </w:p>
        </w:tc>
        <w:tc>
          <w:tcPr>
            <w:tcW w:w="960" w:type="dxa"/>
            <w:tcBorders>
              <w:top w:val="nil"/>
              <w:left w:val="nil"/>
              <w:bottom w:val="single" w:sz="4" w:space="0" w:color="auto"/>
              <w:right w:val="nil"/>
            </w:tcBorders>
            <w:vAlign w:val="center"/>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0.27</w:t>
            </w:r>
          </w:p>
        </w:tc>
        <w:tc>
          <w:tcPr>
            <w:tcW w:w="960" w:type="dxa"/>
            <w:tcBorders>
              <w:top w:val="nil"/>
              <w:left w:val="nil"/>
              <w:bottom w:val="single" w:sz="4" w:space="0" w:color="auto"/>
              <w:right w:val="nil"/>
            </w:tcBorders>
            <w:shd w:val="clear" w:color="auto" w:fill="auto"/>
            <w:noWrap/>
            <w:vAlign w:val="center"/>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987.38</w:t>
            </w:r>
          </w:p>
        </w:tc>
      </w:tr>
    </w:tbl>
    <w:p w:rsidR="00583BD3" w:rsidRDefault="00583BD3" w:rsidP="00583BD3">
      <w:pPr>
        <w:sectPr w:rsidR="00583BD3">
          <w:pgSz w:w="11906" w:h="16838"/>
          <w:pgMar w:top="1440" w:right="1440" w:bottom="1440" w:left="1440" w:header="708" w:footer="708" w:gutter="0"/>
          <w:cols w:space="708"/>
          <w:docGrid w:linePitch="360"/>
        </w:sectPr>
      </w:pPr>
    </w:p>
    <w:p w:rsidR="00583BD3" w:rsidRDefault="00583BD3" w:rsidP="00583BD3">
      <w:pPr>
        <w:jc w:val="both"/>
        <w:rPr>
          <w:rFonts w:ascii="Garamond" w:hAnsi="Garamond"/>
          <w:sz w:val="20"/>
          <w:szCs w:val="20"/>
        </w:rPr>
      </w:pPr>
      <w:r w:rsidRPr="00220E9A">
        <w:rPr>
          <w:rFonts w:ascii="Garamond" w:hAnsi="Garamond"/>
          <w:b/>
          <w:sz w:val="20"/>
          <w:szCs w:val="20"/>
        </w:rPr>
        <w:lastRenderedPageBreak/>
        <w:t>Table 3</w:t>
      </w:r>
      <w:r w:rsidRPr="00D0508D">
        <w:rPr>
          <w:rFonts w:ascii="Garamond" w:hAnsi="Garamond"/>
          <w:b/>
          <w:sz w:val="20"/>
          <w:szCs w:val="20"/>
        </w:rPr>
        <w:t xml:space="preserve">: </w:t>
      </w:r>
      <w:r>
        <w:rPr>
          <w:rFonts w:ascii="Garamond" w:hAnsi="Garamond"/>
          <w:b/>
          <w:sz w:val="20"/>
          <w:szCs w:val="20"/>
        </w:rPr>
        <w:t>Summary Statistics</w:t>
      </w:r>
      <w:r w:rsidRPr="00D0508D">
        <w:rPr>
          <w:rFonts w:ascii="Garamond" w:hAnsi="Garamond"/>
          <w:b/>
          <w:sz w:val="20"/>
          <w:szCs w:val="20"/>
        </w:rPr>
        <w:t>.</w:t>
      </w:r>
      <w:r w:rsidRPr="00220E9A">
        <w:rPr>
          <w:rFonts w:ascii="Garamond" w:hAnsi="Garamond"/>
          <w:sz w:val="20"/>
          <w:szCs w:val="20"/>
        </w:rPr>
        <w:t xml:space="preserve"> </w:t>
      </w:r>
    </w:p>
    <w:p w:rsidR="00583BD3" w:rsidRDefault="00583BD3" w:rsidP="00583BD3">
      <w:pPr>
        <w:jc w:val="both"/>
        <w:rPr>
          <w:rFonts w:ascii="Garamond" w:hAnsi="Garamond"/>
          <w:sz w:val="20"/>
          <w:szCs w:val="20"/>
        </w:rPr>
      </w:pPr>
      <w:r w:rsidRPr="00220E9A">
        <w:rPr>
          <w:rFonts w:ascii="Garamond" w:hAnsi="Garamond"/>
          <w:sz w:val="20"/>
          <w:szCs w:val="20"/>
        </w:rPr>
        <w:t xml:space="preserve">This table reports the </w:t>
      </w:r>
      <w:r>
        <w:rPr>
          <w:rFonts w:ascii="Garamond" w:hAnsi="Garamond"/>
          <w:sz w:val="20"/>
          <w:szCs w:val="20"/>
        </w:rPr>
        <w:t>summary statistics of the</w:t>
      </w:r>
      <w:r w:rsidRPr="00220E9A">
        <w:rPr>
          <w:rFonts w:ascii="Garamond" w:hAnsi="Garamond"/>
          <w:sz w:val="20"/>
          <w:szCs w:val="20"/>
        </w:rPr>
        <w:t xml:space="preserve"> variables employed in this study.</w:t>
      </w:r>
    </w:p>
    <w:tbl>
      <w:tblPr>
        <w:tblW w:w="10637" w:type="dxa"/>
        <w:jc w:val="center"/>
        <w:tblLook w:val="04A0"/>
      </w:tblPr>
      <w:tblGrid>
        <w:gridCol w:w="3515"/>
        <w:gridCol w:w="774"/>
        <w:gridCol w:w="993"/>
        <w:gridCol w:w="1104"/>
        <w:gridCol w:w="1417"/>
        <w:gridCol w:w="1417"/>
        <w:gridCol w:w="1417"/>
      </w:tblGrid>
      <w:tr w:rsidR="00583BD3" w:rsidRPr="00501310" w:rsidTr="000727E8">
        <w:trPr>
          <w:trHeight w:val="315"/>
          <w:jc w:val="center"/>
        </w:trPr>
        <w:tc>
          <w:tcPr>
            <w:tcW w:w="3515" w:type="dxa"/>
            <w:tcBorders>
              <w:top w:val="single" w:sz="4" w:space="0" w:color="auto"/>
              <w:left w:val="nil"/>
              <w:bottom w:val="single" w:sz="4" w:space="0" w:color="auto"/>
              <w:right w:val="nil"/>
            </w:tcBorders>
            <w:shd w:val="clear" w:color="auto" w:fill="auto"/>
            <w:noWrap/>
            <w:vAlign w:val="bottom"/>
            <w:hideMark/>
          </w:tcPr>
          <w:p w:rsidR="00583BD3" w:rsidRPr="00501310" w:rsidRDefault="00583BD3" w:rsidP="000727E8">
            <w:pPr>
              <w:jc w:val="center"/>
              <w:rPr>
                <w:rFonts w:ascii="Garamond" w:hAnsi="Garamond" w:cs="Calibri"/>
                <w:color w:val="000000"/>
                <w:sz w:val="20"/>
                <w:szCs w:val="20"/>
              </w:rPr>
            </w:pPr>
            <w:r w:rsidRPr="00501310">
              <w:rPr>
                <w:rFonts w:ascii="Garamond" w:hAnsi="Garamond" w:cs="Calibri"/>
                <w:color w:val="000000"/>
                <w:sz w:val="20"/>
                <w:szCs w:val="20"/>
              </w:rPr>
              <w:t>Variable</w:t>
            </w:r>
          </w:p>
        </w:tc>
        <w:tc>
          <w:tcPr>
            <w:tcW w:w="774" w:type="dxa"/>
            <w:tcBorders>
              <w:top w:val="single" w:sz="4" w:space="0" w:color="auto"/>
              <w:left w:val="nil"/>
              <w:bottom w:val="single" w:sz="4" w:space="0" w:color="auto"/>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proofErr w:type="spellStart"/>
            <w:r w:rsidRPr="00501310">
              <w:rPr>
                <w:rFonts w:ascii="Garamond" w:hAnsi="Garamond" w:cs="Calibri"/>
                <w:color w:val="000000"/>
                <w:sz w:val="20"/>
                <w:szCs w:val="20"/>
              </w:rPr>
              <w:t>Obs</w:t>
            </w:r>
            <w:proofErr w:type="spellEnd"/>
          </w:p>
        </w:tc>
        <w:tc>
          <w:tcPr>
            <w:tcW w:w="993" w:type="dxa"/>
            <w:tcBorders>
              <w:top w:val="single" w:sz="4" w:space="0" w:color="auto"/>
              <w:left w:val="nil"/>
              <w:bottom w:val="single" w:sz="4" w:space="0" w:color="auto"/>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Mean</w:t>
            </w:r>
          </w:p>
        </w:tc>
        <w:tc>
          <w:tcPr>
            <w:tcW w:w="1104" w:type="dxa"/>
            <w:tcBorders>
              <w:top w:val="single" w:sz="4" w:space="0" w:color="auto"/>
              <w:left w:val="nil"/>
              <w:bottom w:val="single" w:sz="4" w:space="0" w:color="auto"/>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Std. Dev</w:t>
            </w:r>
          </w:p>
        </w:tc>
        <w:tc>
          <w:tcPr>
            <w:tcW w:w="1417" w:type="dxa"/>
            <w:tcBorders>
              <w:top w:val="single" w:sz="4" w:space="0" w:color="auto"/>
              <w:left w:val="nil"/>
              <w:bottom w:val="single" w:sz="4" w:space="0" w:color="auto"/>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25</w:t>
            </w:r>
            <w:r w:rsidRPr="00DF661B">
              <w:rPr>
                <w:rFonts w:ascii="Garamond" w:hAnsi="Garamond" w:cs="Calibri"/>
                <w:color w:val="000000"/>
                <w:sz w:val="20"/>
                <w:szCs w:val="20"/>
                <w:vertAlign w:val="superscript"/>
              </w:rPr>
              <w:t>th</w:t>
            </w:r>
            <w:r w:rsidRPr="00501310">
              <w:rPr>
                <w:rFonts w:ascii="Garamond" w:hAnsi="Garamond" w:cs="Calibri"/>
                <w:color w:val="000000"/>
                <w:sz w:val="20"/>
                <w:szCs w:val="20"/>
              </w:rPr>
              <w:t xml:space="preserve"> Percentile</w:t>
            </w:r>
          </w:p>
        </w:tc>
        <w:tc>
          <w:tcPr>
            <w:tcW w:w="1417" w:type="dxa"/>
            <w:tcBorders>
              <w:top w:val="single" w:sz="4" w:space="0" w:color="auto"/>
              <w:left w:val="nil"/>
              <w:bottom w:val="single" w:sz="4" w:space="0" w:color="auto"/>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50</w:t>
            </w:r>
            <w:r w:rsidRPr="00DF661B">
              <w:rPr>
                <w:rFonts w:ascii="Garamond" w:hAnsi="Garamond" w:cs="Calibri"/>
                <w:color w:val="000000"/>
                <w:sz w:val="20"/>
                <w:szCs w:val="20"/>
                <w:vertAlign w:val="superscript"/>
              </w:rPr>
              <w:t>th</w:t>
            </w:r>
            <w:r w:rsidRPr="00501310">
              <w:rPr>
                <w:rFonts w:ascii="Garamond" w:hAnsi="Garamond" w:cs="Calibri"/>
                <w:color w:val="000000"/>
                <w:sz w:val="20"/>
                <w:szCs w:val="20"/>
              </w:rPr>
              <w:t xml:space="preserve"> Percentile</w:t>
            </w:r>
          </w:p>
        </w:tc>
        <w:tc>
          <w:tcPr>
            <w:tcW w:w="1417" w:type="dxa"/>
            <w:tcBorders>
              <w:top w:val="single" w:sz="4" w:space="0" w:color="auto"/>
              <w:left w:val="nil"/>
              <w:bottom w:val="single" w:sz="4" w:space="0" w:color="auto"/>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75</w:t>
            </w:r>
            <w:r w:rsidRPr="00DF661B">
              <w:rPr>
                <w:rFonts w:ascii="Garamond" w:hAnsi="Garamond" w:cs="Calibri"/>
                <w:color w:val="000000"/>
                <w:sz w:val="20"/>
                <w:szCs w:val="20"/>
                <w:vertAlign w:val="superscript"/>
              </w:rPr>
              <w:t>th</w:t>
            </w:r>
            <w:r w:rsidRPr="00501310">
              <w:rPr>
                <w:rFonts w:ascii="Garamond" w:hAnsi="Garamond" w:cs="Calibri"/>
                <w:color w:val="000000"/>
                <w:sz w:val="20"/>
                <w:szCs w:val="20"/>
              </w:rPr>
              <w:t xml:space="preserve"> Percentile</w:t>
            </w:r>
          </w:p>
        </w:tc>
      </w:tr>
      <w:tr w:rsidR="00583BD3" w:rsidRPr="00501310" w:rsidTr="000727E8">
        <w:trPr>
          <w:trHeight w:val="315"/>
          <w:jc w:val="center"/>
        </w:trPr>
        <w:tc>
          <w:tcPr>
            <w:tcW w:w="3515" w:type="dxa"/>
            <w:tcBorders>
              <w:top w:val="nil"/>
              <w:left w:val="nil"/>
              <w:bottom w:val="nil"/>
              <w:right w:val="nil"/>
            </w:tcBorders>
            <w:shd w:val="clear" w:color="auto" w:fill="auto"/>
            <w:noWrap/>
            <w:vAlign w:val="bottom"/>
            <w:hideMark/>
          </w:tcPr>
          <w:p w:rsidR="00583BD3" w:rsidRPr="00501310" w:rsidRDefault="00583BD3" w:rsidP="000727E8">
            <w:pPr>
              <w:rPr>
                <w:rFonts w:ascii="Garamond" w:hAnsi="Garamond" w:cs="Calibri"/>
                <w:i/>
                <w:iCs/>
                <w:color w:val="000000"/>
                <w:sz w:val="20"/>
                <w:szCs w:val="20"/>
              </w:rPr>
            </w:pPr>
            <w:r w:rsidRPr="00501310">
              <w:rPr>
                <w:rFonts w:ascii="Garamond" w:hAnsi="Garamond" w:cs="Calibri"/>
                <w:i/>
                <w:iCs/>
                <w:color w:val="000000"/>
                <w:sz w:val="20"/>
                <w:szCs w:val="20"/>
              </w:rPr>
              <w:t>Board characteristics</w:t>
            </w:r>
          </w:p>
        </w:tc>
        <w:tc>
          <w:tcPr>
            <w:tcW w:w="774" w:type="dxa"/>
            <w:tcBorders>
              <w:top w:val="nil"/>
              <w:left w:val="nil"/>
              <w:bottom w:val="nil"/>
              <w:right w:val="nil"/>
            </w:tcBorders>
            <w:shd w:val="clear" w:color="auto" w:fill="auto"/>
            <w:noWrap/>
            <w:vAlign w:val="bottom"/>
            <w:hideMark/>
          </w:tcPr>
          <w:p w:rsidR="00583BD3" w:rsidRPr="00501310" w:rsidRDefault="00583BD3" w:rsidP="000727E8">
            <w:pPr>
              <w:rPr>
                <w:rFonts w:ascii="Garamond" w:hAnsi="Garamond" w:cs="Calibri"/>
                <w:i/>
                <w:iCs/>
                <w:color w:val="000000"/>
                <w:sz w:val="20"/>
                <w:szCs w:val="20"/>
              </w:rPr>
            </w:pPr>
          </w:p>
        </w:tc>
        <w:tc>
          <w:tcPr>
            <w:tcW w:w="993" w:type="dxa"/>
            <w:tcBorders>
              <w:top w:val="nil"/>
              <w:left w:val="nil"/>
              <w:bottom w:val="nil"/>
              <w:right w:val="nil"/>
            </w:tcBorders>
            <w:shd w:val="clear" w:color="auto" w:fill="auto"/>
            <w:noWrap/>
            <w:vAlign w:val="bottom"/>
            <w:hideMark/>
          </w:tcPr>
          <w:p w:rsidR="00583BD3" w:rsidRPr="00501310" w:rsidRDefault="00583BD3" w:rsidP="000727E8">
            <w:pPr>
              <w:rPr>
                <w:sz w:val="20"/>
                <w:szCs w:val="20"/>
              </w:rPr>
            </w:pPr>
          </w:p>
        </w:tc>
        <w:tc>
          <w:tcPr>
            <w:tcW w:w="1104" w:type="dxa"/>
            <w:tcBorders>
              <w:top w:val="nil"/>
              <w:left w:val="nil"/>
              <w:bottom w:val="nil"/>
              <w:right w:val="nil"/>
            </w:tcBorders>
            <w:shd w:val="clear" w:color="auto" w:fill="auto"/>
            <w:noWrap/>
            <w:vAlign w:val="bottom"/>
            <w:hideMark/>
          </w:tcPr>
          <w:p w:rsidR="00583BD3" w:rsidRPr="00501310" w:rsidRDefault="00583BD3" w:rsidP="000727E8">
            <w:pPr>
              <w:rPr>
                <w:sz w:val="20"/>
                <w:szCs w:val="20"/>
              </w:rPr>
            </w:pPr>
          </w:p>
        </w:tc>
        <w:tc>
          <w:tcPr>
            <w:tcW w:w="1417" w:type="dxa"/>
            <w:tcBorders>
              <w:top w:val="nil"/>
              <w:left w:val="nil"/>
              <w:bottom w:val="nil"/>
              <w:right w:val="nil"/>
            </w:tcBorders>
            <w:shd w:val="clear" w:color="auto" w:fill="auto"/>
            <w:noWrap/>
            <w:vAlign w:val="bottom"/>
            <w:hideMark/>
          </w:tcPr>
          <w:p w:rsidR="00583BD3" w:rsidRPr="00501310" w:rsidRDefault="00583BD3" w:rsidP="000727E8">
            <w:pPr>
              <w:rPr>
                <w:sz w:val="20"/>
                <w:szCs w:val="20"/>
              </w:rPr>
            </w:pPr>
          </w:p>
        </w:tc>
        <w:tc>
          <w:tcPr>
            <w:tcW w:w="1417" w:type="dxa"/>
            <w:tcBorders>
              <w:top w:val="nil"/>
              <w:left w:val="nil"/>
              <w:bottom w:val="nil"/>
              <w:right w:val="nil"/>
            </w:tcBorders>
            <w:shd w:val="clear" w:color="auto" w:fill="auto"/>
            <w:noWrap/>
            <w:vAlign w:val="bottom"/>
            <w:hideMark/>
          </w:tcPr>
          <w:p w:rsidR="00583BD3" w:rsidRPr="00501310" w:rsidRDefault="00583BD3" w:rsidP="000727E8">
            <w:pPr>
              <w:rPr>
                <w:sz w:val="20"/>
                <w:szCs w:val="20"/>
              </w:rPr>
            </w:pPr>
          </w:p>
        </w:tc>
        <w:tc>
          <w:tcPr>
            <w:tcW w:w="1417" w:type="dxa"/>
            <w:tcBorders>
              <w:top w:val="nil"/>
              <w:left w:val="nil"/>
              <w:bottom w:val="nil"/>
              <w:right w:val="nil"/>
            </w:tcBorders>
            <w:shd w:val="clear" w:color="auto" w:fill="auto"/>
            <w:noWrap/>
            <w:vAlign w:val="bottom"/>
            <w:hideMark/>
          </w:tcPr>
          <w:p w:rsidR="00583BD3" w:rsidRPr="00501310" w:rsidRDefault="00583BD3" w:rsidP="000727E8">
            <w:pPr>
              <w:rPr>
                <w:sz w:val="20"/>
                <w:szCs w:val="20"/>
              </w:rPr>
            </w:pPr>
          </w:p>
        </w:tc>
      </w:tr>
      <w:tr w:rsidR="00583BD3" w:rsidRPr="00501310" w:rsidTr="000727E8">
        <w:trPr>
          <w:trHeight w:val="315"/>
          <w:jc w:val="center"/>
        </w:trPr>
        <w:tc>
          <w:tcPr>
            <w:tcW w:w="3515" w:type="dxa"/>
            <w:tcBorders>
              <w:top w:val="nil"/>
              <w:left w:val="nil"/>
              <w:bottom w:val="nil"/>
              <w:right w:val="nil"/>
            </w:tcBorders>
            <w:shd w:val="clear" w:color="auto" w:fill="auto"/>
            <w:noWrap/>
            <w:vAlign w:val="bottom"/>
            <w:hideMark/>
          </w:tcPr>
          <w:p w:rsidR="00583BD3" w:rsidRPr="00501310" w:rsidRDefault="00583BD3" w:rsidP="000727E8">
            <w:pPr>
              <w:ind w:firstLineChars="200" w:firstLine="400"/>
              <w:rPr>
                <w:rFonts w:ascii="Garamond" w:hAnsi="Garamond" w:cs="Calibri"/>
                <w:color w:val="000000"/>
                <w:sz w:val="20"/>
                <w:szCs w:val="20"/>
              </w:rPr>
            </w:pPr>
            <w:r w:rsidRPr="00501310">
              <w:rPr>
                <w:rFonts w:ascii="Garamond" w:hAnsi="Garamond" w:cs="Calibri"/>
                <w:color w:val="000000"/>
                <w:sz w:val="20"/>
                <w:szCs w:val="20"/>
              </w:rPr>
              <w:t xml:space="preserve">% female directors </w:t>
            </w:r>
          </w:p>
        </w:tc>
        <w:tc>
          <w:tcPr>
            <w:tcW w:w="774"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7,899</w:t>
            </w:r>
          </w:p>
        </w:tc>
        <w:tc>
          <w:tcPr>
            <w:tcW w:w="993"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0.0783</w:t>
            </w:r>
          </w:p>
        </w:tc>
        <w:tc>
          <w:tcPr>
            <w:tcW w:w="1104"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0.1031</w:t>
            </w:r>
          </w:p>
        </w:tc>
        <w:tc>
          <w:tcPr>
            <w:tcW w:w="1417"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0.0000</w:t>
            </w:r>
          </w:p>
        </w:tc>
        <w:tc>
          <w:tcPr>
            <w:tcW w:w="1417"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0.0000</w:t>
            </w:r>
          </w:p>
        </w:tc>
        <w:tc>
          <w:tcPr>
            <w:tcW w:w="1417"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0.1429</w:t>
            </w:r>
          </w:p>
        </w:tc>
      </w:tr>
      <w:tr w:rsidR="00583BD3" w:rsidRPr="00501310" w:rsidTr="000727E8">
        <w:trPr>
          <w:trHeight w:val="315"/>
          <w:jc w:val="center"/>
        </w:trPr>
        <w:tc>
          <w:tcPr>
            <w:tcW w:w="3515" w:type="dxa"/>
            <w:tcBorders>
              <w:top w:val="nil"/>
              <w:left w:val="nil"/>
              <w:bottom w:val="nil"/>
              <w:right w:val="nil"/>
            </w:tcBorders>
            <w:shd w:val="clear" w:color="auto" w:fill="auto"/>
            <w:noWrap/>
            <w:vAlign w:val="bottom"/>
            <w:hideMark/>
          </w:tcPr>
          <w:p w:rsidR="00583BD3" w:rsidRPr="00501310" w:rsidRDefault="00583BD3" w:rsidP="000727E8">
            <w:pPr>
              <w:ind w:firstLineChars="200" w:firstLine="400"/>
              <w:rPr>
                <w:rFonts w:ascii="Garamond" w:hAnsi="Garamond" w:cs="Calibri"/>
                <w:color w:val="000000"/>
                <w:sz w:val="20"/>
                <w:szCs w:val="20"/>
              </w:rPr>
            </w:pPr>
            <w:r w:rsidRPr="00501310">
              <w:rPr>
                <w:rFonts w:ascii="Garamond" w:hAnsi="Garamond" w:cs="Calibri"/>
                <w:color w:val="000000"/>
                <w:sz w:val="20"/>
                <w:szCs w:val="20"/>
              </w:rPr>
              <w:t xml:space="preserve">% non-British directors </w:t>
            </w:r>
          </w:p>
        </w:tc>
        <w:tc>
          <w:tcPr>
            <w:tcW w:w="774"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7,899</w:t>
            </w:r>
          </w:p>
        </w:tc>
        <w:tc>
          <w:tcPr>
            <w:tcW w:w="993"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0.1585</w:t>
            </w:r>
          </w:p>
        </w:tc>
        <w:tc>
          <w:tcPr>
            <w:tcW w:w="1104"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0.2055</w:t>
            </w:r>
          </w:p>
        </w:tc>
        <w:tc>
          <w:tcPr>
            <w:tcW w:w="1417"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0.0000</w:t>
            </w:r>
          </w:p>
        </w:tc>
        <w:tc>
          <w:tcPr>
            <w:tcW w:w="1417"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0.1000</w:t>
            </w:r>
          </w:p>
        </w:tc>
        <w:tc>
          <w:tcPr>
            <w:tcW w:w="1417"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0.2500</w:t>
            </w:r>
          </w:p>
        </w:tc>
      </w:tr>
      <w:tr w:rsidR="00583BD3" w:rsidRPr="00501310" w:rsidTr="000727E8">
        <w:trPr>
          <w:trHeight w:val="315"/>
          <w:jc w:val="center"/>
        </w:trPr>
        <w:tc>
          <w:tcPr>
            <w:tcW w:w="3515" w:type="dxa"/>
            <w:tcBorders>
              <w:top w:val="nil"/>
              <w:left w:val="nil"/>
              <w:bottom w:val="nil"/>
              <w:right w:val="nil"/>
            </w:tcBorders>
            <w:shd w:val="clear" w:color="auto" w:fill="auto"/>
            <w:noWrap/>
            <w:vAlign w:val="bottom"/>
            <w:hideMark/>
          </w:tcPr>
          <w:p w:rsidR="00583BD3" w:rsidRPr="00501310" w:rsidRDefault="00583BD3" w:rsidP="000727E8">
            <w:pPr>
              <w:ind w:firstLineChars="200" w:firstLine="400"/>
              <w:rPr>
                <w:rFonts w:ascii="Garamond" w:hAnsi="Garamond" w:cs="Calibri"/>
                <w:color w:val="000000"/>
                <w:sz w:val="20"/>
                <w:szCs w:val="20"/>
              </w:rPr>
            </w:pPr>
            <w:proofErr w:type="spellStart"/>
            <w:r w:rsidRPr="00501310">
              <w:rPr>
                <w:rFonts w:ascii="Garamond" w:hAnsi="Garamond" w:cs="Calibri"/>
                <w:color w:val="000000"/>
                <w:sz w:val="20"/>
                <w:szCs w:val="20"/>
              </w:rPr>
              <w:t>Ln</w:t>
            </w:r>
            <w:proofErr w:type="spellEnd"/>
            <w:r w:rsidRPr="00501310">
              <w:rPr>
                <w:rFonts w:ascii="Garamond" w:hAnsi="Garamond" w:cs="Calibri"/>
                <w:color w:val="000000"/>
                <w:sz w:val="20"/>
                <w:szCs w:val="20"/>
              </w:rPr>
              <w:t>(SD of board age)</w:t>
            </w:r>
          </w:p>
        </w:tc>
        <w:tc>
          <w:tcPr>
            <w:tcW w:w="774"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7,899</w:t>
            </w:r>
          </w:p>
        </w:tc>
        <w:tc>
          <w:tcPr>
            <w:tcW w:w="993"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2.0583</w:t>
            </w:r>
          </w:p>
        </w:tc>
        <w:tc>
          <w:tcPr>
            <w:tcW w:w="1104"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0.3127</w:t>
            </w:r>
          </w:p>
        </w:tc>
        <w:tc>
          <w:tcPr>
            <w:tcW w:w="1417"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1.8770</w:t>
            </w:r>
          </w:p>
        </w:tc>
        <w:tc>
          <w:tcPr>
            <w:tcW w:w="1417"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2.0721</w:t>
            </w:r>
          </w:p>
        </w:tc>
        <w:tc>
          <w:tcPr>
            <w:tcW w:w="1417"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2.2699</w:t>
            </w:r>
          </w:p>
        </w:tc>
      </w:tr>
      <w:tr w:rsidR="00583BD3" w:rsidRPr="00501310" w:rsidTr="000727E8">
        <w:trPr>
          <w:trHeight w:val="315"/>
          <w:jc w:val="center"/>
        </w:trPr>
        <w:tc>
          <w:tcPr>
            <w:tcW w:w="3515" w:type="dxa"/>
            <w:tcBorders>
              <w:top w:val="nil"/>
              <w:left w:val="nil"/>
              <w:bottom w:val="nil"/>
              <w:right w:val="nil"/>
            </w:tcBorders>
            <w:shd w:val="clear" w:color="auto" w:fill="auto"/>
            <w:noWrap/>
            <w:vAlign w:val="bottom"/>
          </w:tcPr>
          <w:p w:rsidR="00583BD3" w:rsidRPr="00501310" w:rsidRDefault="00583BD3" w:rsidP="000727E8">
            <w:pPr>
              <w:ind w:firstLineChars="200" w:firstLine="400"/>
              <w:rPr>
                <w:rFonts w:ascii="Garamond" w:hAnsi="Garamond" w:cs="Calibri"/>
                <w:color w:val="000000"/>
                <w:sz w:val="20"/>
                <w:szCs w:val="20"/>
              </w:rPr>
            </w:pPr>
            <w:r w:rsidRPr="00501310">
              <w:rPr>
                <w:rFonts w:ascii="Garamond" w:hAnsi="Garamond" w:cs="Calibri"/>
                <w:color w:val="000000"/>
                <w:sz w:val="20"/>
                <w:szCs w:val="20"/>
              </w:rPr>
              <w:t>Board Gender Diversity</w:t>
            </w:r>
          </w:p>
        </w:tc>
        <w:tc>
          <w:tcPr>
            <w:tcW w:w="774" w:type="dxa"/>
            <w:tcBorders>
              <w:top w:val="nil"/>
              <w:left w:val="nil"/>
              <w:bottom w:val="nil"/>
              <w:right w:val="nil"/>
            </w:tcBorders>
            <w:shd w:val="clear" w:color="auto" w:fill="auto"/>
            <w:noWrap/>
            <w:vAlign w:val="bottom"/>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7,899</w:t>
            </w:r>
          </w:p>
        </w:tc>
        <w:tc>
          <w:tcPr>
            <w:tcW w:w="993" w:type="dxa"/>
            <w:tcBorders>
              <w:top w:val="nil"/>
              <w:left w:val="nil"/>
              <w:bottom w:val="nil"/>
              <w:right w:val="nil"/>
            </w:tcBorders>
            <w:shd w:val="clear" w:color="auto" w:fill="auto"/>
            <w:noWrap/>
            <w:vAlign w:val="bottom"/>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0.0000</w:t>
            </w:r>
          </w:p>
        </w:tc>
        <w:tc>
          <w:tcPr>
            <w:tcW w:w="1104" w:type="dxa"/>
            <w:tcBorders>
              <w:top w:val="nil"/>
              <w:left w:val="nil"/>
              <w:bottom w:val="nil"/>
              <w:right w:val="nil"/>
            </w:tcBorders>
            <w:shd w:val="clear" w:color="auto" w:fill="auto"/>
            <w:noWrap/>
            <w:vAlign w:val="bottom"/>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0.0542</w:t>
            </w:r>
          </w:p>
        </w:tc>
        <w:tc>
          <w:tcPr>
            <w:tcW w:w="1417" w:type="dxa"/>
            <w:tcBorders>
              <w:top w:val="nil"/>
              <w:left w:val="nil"/>
              <w:bottom w:val="nil"/>
              <w:right w:val="nil"/>
            </w:tcBorders>
            <w:shd w:val="clear" w:color="auto" w:fill="auto"/>
            <w:noWrap/>
            <w:vAlign w:val="bottom"/>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-0.0314</w:t>
            </w:r>
          </w:p>
        </w:tc>
        <w:tc>
          <w:tcPr>
            <w:tcW w:w="1417" w:type="dxa"/>
            <w:tcBorders>
              <w:top w:val="nil"/>
              <w:left w:val="nil"/>
              <w:bottom w:val="nil"/>
              <w:right w:val="nil"/>
            </w:tcBorders>
            <w:shd w:val="clear" w:color="auto" w:fill="auto"/>
            <w:noWrap/>
            <w:vAlign w:val="bottom"/>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-0.0033</w:t>
            </w:r>
          </w:p>
        </w:tc>
        <w:tc>
          <w:tcPr>
            <w:tcW w:w="1417" w:type="dxa"/>
            <w:tcBorders>
              <w:top w:val="nil"/>
              <w:left w:val="nil"/>
              <w:bottom w:val="nil"/>
              <w:right w:val="nil"/>
            </w:tcBorders>
            <w:shd w:val="clear" w:color="auto" w:fill="auto"/>
            <w:noWrap/>
            <w:vAlign w:val="bottom"/>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0.0277</w:t>
            </w:r>
          </w:p>
        </w:tc>
      </w:tr>
      <w:tr w:rsidR="00583BD3" w:rsidRPr="00501310" w:rsidTr="000727E8">
        <w:trPr>
          <w:trHeight w:val="315"/>
          <w:jc w:val="center"/>
        </w:trPr>
        <w:tc>
          <w:tcPr>
            <w:tcW w:w="3515" w:type="dxa"/>
            <w:tcBorders>
              <w:top w:val="nil"/>
              <w:left w:val="nil"/>
              <w:bottom w:val="nil"/>
              <w:right w:val="nil"/>
            </w:tcBorders>
            <w:shd w:val="clear" w:color="auto" w:fill="auto"/>
            <w:noWrap/>
            <w:vAlign w:val="bottom"/>
          </w:tcPr>
          <w:p w:rsidR="00583BD3" w:rsidRPr="00501310" w:rsidRDefault="00583BD3" w:rsidP="000727E8">
            <w:pPr>
              <w:ind w:firstLineChars="200" w:firstLine="400"/>
              <w:rPr>
                <w:rFonts w:ascii="Garamond" w:hAnsi="Garamond" w:cs="Calibri"/>
                <w:color w:val="000000"/>
                <w:sz w:val="20"/>
                <w:szCs w:val="20"/>
              </w:rPr>
            </w:pPr>
            <w:r w:rsidRPr="00501310">
              <w:rPr>
                <w:rFonts w:ascii="Garamond" w:hAnsi="Garamond" w:cs="Calibri"/>
                <w:color w:val="000000"/>
                <w:sz w:val="20"/>
                <w:szCs w:val="20"/>
              </w:rPr>
              <w:t>Board Nationality Diversity</w:t>
            </w:r>
          </w:p>
        </w:tc>
        <w:tc>
          <w:tcPr>
            <w:tcW w:w="774" w:type="dxa"/>
            <w:tcBorders>
              <w:top w:val="nil"/>
              <w:left w:val="nil"/>
              <w:bottom w:val="nil"/>
              <w:right w:val="nil"/>
            </w:tcBorders>
            <w:shd w:val="clear" w:color="auto" w:fill="auto"/>
            <w:noWrap/>
            <w:vAlign w:val="bottom"/>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7,899</w:t>
            </w:r>
          </w:p>
        </w:tc>
        <w:tc>
          <w:tcPr>
            <w:tcW w:w="993" w:type="dxa"/>
            <w:tcBorders>
              <w:top w:val="nil"/>
              <w:left w:val="nil"/>
              <w:bottom w:val="nil"/>
              <w:right w:val="nil"/>
            </w:tcBorders>
            <w:shd w:val="clear" w:color="auto" w:fill="auto"/>
            <w:noWrap/>
            <w:vAlign w:val="bottom"/>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0.0000</w:t>
            </w:r>
          </w:p>
        </w:tc>
        <w:tc>
          <w:tcPr>
            <w:tcW w:w="1104" w:type="dxa"/>
            <w:tcBorders>
              <w:top w:val="nil"/>
              <w:left w:val="nil"/>
              <w:bottom w:val="nil"/>
              <w:right w:val="nil"/>
            </w:tcBorders>
            <w:shd w:val="clear" w:color="auto" w:fill="auto"/>
            <w:noWrap/>
            <w:vAlign w:val="bottom"/>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0.0750</w:t>
            </w:r>
          </w:p>
        </w:tc>
        <w:tc>
          <w:tcPr>
            <w:tcW w:w="1417" w:type="dxa"/>
            <w:tcBorders>
              <w:top w:val="nil"/>
              <w:left w:val="nil"/>
              <w:bottom w:val="nil"/>
              <w:right w:val="nil"/>
            </w:tcBorders>
            <w:shd w:val="clear" w:color="auto" w:fill="auto"/>
            <w:noWrap/>
            <w:vAlign w:val="bottom"/>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-0.0329</w:t>
            </w:r>
          </w:p>
        </w:tc>
        <w:tc>
          <w:tcPr>
            <w:tcW w:w="1417" w:type="dxa"/>
            <w:tcBorders>
              <w:top w:val="nil"/>
              <w:left w:val="nil"/>
              <w:bottom w:val="nil"/>
              <w:right w:val="nil"/>
            </w:tcBorders>
            <w:shd w:val="clear" w:color="auto" w:fill="auto"/>
            <w:noWrap/>
            <w:vAlign w:val="bottom"/>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-0.0044</w:t>
            </w:r>
          </w:p>
        </w:tc>
        <w:tc>
          <w:tcPr>
            <w:tcW w:w="1417" w:type="dxa"/>
            <w:tcBorders>
              <w:top w:val="nil"/>
              <w:left w:val="nil"/>
              <w:bottom w:val="nil"/>
              <w:right w:val="nil"/>
            </w:tcBorders>
            <w:shd w:val="clear" w:color="auto" w:fill="auto"/>
            <w:noWrap/>
            <w:vAlign w:val="bottom"/>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0.0301</w:t>
            </w:r>
          </w:p>
        </w:tc>
      </w:tr>
      <w:tr w:rsidR="00583BD3" w:rsidRPr="00501310" w:rsidTr="000727E8">
        <w:trPr>
          <w:trHeight w:val="315"/>
          <w:jc w:val="center"/>
        </w:trPr>
        <w:tc>
          <w:tcPr>
            <w:tcW w:w="3515" w:type="dxa"/>
            <w:tcBorders>
              <w:top w:val="nil"/>
              <w:left w:val="nil"/>
              <w:bottom w:val="nil"/>
              <w:right w:val="nil"/>
            </w:tcBorders>
            <w:shd w:val="clear" w:color="auto" w:fill="auto"/>
            <w:noWrap/>
            <w:vAlign w:val="bottom"/>
          </w:tcPr>
          <w:p w:rsidR="00583BD3" w:rsidRPr="00501310" w:rsidRDefault="00583BD3" w:rsidP="000727E8">
            <w:pPr>
              <w:ind w:firstLineChars="200" w:firstLine="400"/>
              <w:rPr>
                <w:rFonts w:ascii="Garamond" w:hAnsi="Garamond" w:cs="Calibri"/>
                <w:color w:val="000000"/>
                <w:sz w:val="20"/>
                <w:szCs w:val="20"/>
              </w:rPr>
            </w:pPr>
            <w:r w:rsidRPr="00501310">
              <w:rPr>
                <w:rFonts w:ascii="Garamond" w:hAnsi="Garamond" w:cs="Calibri"/>
                <w:color w:val="000000"/>
                <w:sz w:val="20"/>
                <w:szCs w:val="20"/>
              </w:rPr>
              <w:t>Board Age Diversity</w:t>
            </w:r>
          </w:p>
        </w:tc>
        <w:tc>
          <w:tcPr>
            <w:tcW w:w="774" w:type="dxa"/>
            <w:tcBorders>
              <w:top w:val="nil"/>
              <w:left w:val="nil"/>
              <w:bottom w:val="nil"/>
              <w:right w:val="nil"/>
            </w:tcBorders>
            <w:shd w:val="clear" w:color="auto" w:fill="auto"/>
            <w:noWrap/>
            <w:vAlign w:val="bottom"/>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7,899</w:t>
            </w:r>
          </w:p>
        </w:tc>
        <w:tc>
          <w:tcPr>
            <w:tcW w:w="993" w:type="dxa"/>
            <w:tcBorders>
              <w:top w:val="nil"/>
              <w:left w:val="nil"/>
              <w:bottom w:val="nil"/>
              <w:right w:val="nil"/>
            </w:tcBorders>
            <w:shd w:val="clear" w:color="auto" w:fill="auto"/>
            <w:noWrap/>
            <w:vAlign w:val="bottom"/>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0.0000</w:t>
            </w:r>
          </w:p>
        </w:tc>
        <w:tc>
          <w:tcPr>
            <w:tcW w:w="1104" w:type="dxa"/>
            <w:tcBorders>
              <w:top w:val="nil"/>
              <w:left w:val="nil"/>
              <w:bottom w:val="nil"/>
              <w:right w:val="nil"/>
            </w:tcBorders>
            <w:shd w:val="clear" w:color="auto" w:fill="auto"/>
            <w:noWrap/>
            <w:vAlign w:val="bottom"/>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0.1813</w:t>
            </w:r>
          </w:p>
        </w:tc>
        <w:tc>
          <w:tcPr>
            <w:tcW w:w="1417" w:type="dxa"/>
            <w:tcBorders>
              <w:top w:val="nil"/>
              <w:left w:val="nil"/>
              <w:bottom w:val="nil"/>
              <w:right w:val="nil"/>
            </w:tcBorders>
            <w:shd w:val="clear" w:color="auto" w:fill="auto"/>
            <w:noWrap/>
            <w:vAlign w:val="bottom"/>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-0.0897</w:t>
            </w:r>
          </w:p>
        </w:tc>
        <w:tc>
          <w:tcPr>
            <w:tcW w:w="1417" w:type="dxa"/>
            <w:tcBorders>
              <w:top w:val="nil"/>
              <w:left w:val="nil"/>
              <w:bottom w:val="nil"/>
              <w:right w:val="nil"/>
            </w:tcBorders>
            <w:shd w:val="clear" w:color="auto" w:fill="auto"/>
            <w:noWrap/>
            <w:vAlign w:val="bottom"/>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0.0118</w:t>
            </w:r>
          </w:p>
        </w:tc>
        <w:tc>
          <w:tcPr>
            <w:tcW w:w="1417" w:type="dxa"/>
            <w:tcBorders>
              <w:top w:val="nil"/>
              <w:left w:val="nil"/>
              <w:bottom w:val="nil"/>
              <w:right w:val="nil"/>
            </w:tcBorders>
            <w:shd w:val="clear" w:color="auto" w:fill="auto"/>
            <w:noWrap/>
            <w:vAlign w:val="bottom"/>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0.1060</w:t>
            </w:r>
          </w:p>
        </w:tc>
      </w:tr>
      <w:tr w:rsidR="00583BD3" w:rsidRPr="00501310" w:rsidTr="000727E8">
        <w:trPr>
          <w:trHeight w:val="315"/>
          <w:jc w:val="center"/>
        </w:trPr>
        <w:tc>
          <w:tcPr>
            <w:tcW w:w="3515" w:type="dxa"/>
            <w:tcBorders>
              <w:top w:val="nil"/>
              <w:left w:val="nil"/>
              <w:bottom w:val="nil"/>
              <w:right w:val="nil"/>
            </w:tcBorders>
            <w:shd w:val="clear" w:color="auto" w:fill="auto"/>
            <w:noWrap/>
            <w:vAlign w:val="bottom"/>
          </w:tcPr>
          <w:p w:rsidR="00583BD3" w:rsidRPr="00501310" w:rsidRDefault="00583BD3" w:rsidP="000727E8">
            <w:pPr>
              <w:ind w:firstLineChars="200" w:firstLine="400"/>
              <w:rPr>
                <w:rFonts w:ascii="Garamond" w:hAnsi="Garamond" w:cs="Calibri"/>
                <w:color w:val="000000"/>
                <w:sz w:val="20"/>
                <w:szCs w:val="20"/>
              </w:rPr>
            </w:pPr>
            <w:r w:rsidRPr="00501310">
              <w:rPr>
                <w:rFonts w:ascii="Garamond" w:hAnsi="Garamond" w:cs="Calibri"/>
                <w:color w:val="000000"/>
                <w:sz w:val="20"/>
                <w:szCs w:val="20"/>
              </w:rPr>
              <w:t>Board Aggregate Diversity</w:t>
            </w:r>
          </w:p>
        </w:tc>
        <w:tc>
          <w:tcPr>
            <w:tcW w:w="774" w:type="dxa"/>
            <w:tcBorders>
              <w:top w:val="nil"/>
              <w:left w:val="nil"/>
              <w:bottom w:val="nil"/>
              <w:right w:val="nil"/>
            </w:tcBorders>
            <w:shd w:val="clear" w:color="auto" w:fill="auto"/>
            <w:noWrap/>
            <w:vAlign w:val="bottom"/>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7,899</w:t>
            </w:r>
          </w:p>
        </w:tc>
        <w:tc>
          <w:tcPr>
            <w:tcW w:w="993" w:type="dxa"/>
            <w:tcBorders>
              <w:top w:val="nil"/>
              <w:left w:val="nil"/>
              <w:bottom w:val="nil"/>
              <w:right w:val="nil"/>
            </w:tcBorders>
            <w:shd w:val="clear" w:color="auto" w:fill="auto"/>
            <w:noWrap/>
            <w:vAlign w:val="bottom"/>
          </w:tcPr>
          <w:p w:rsidR="00583BD3" w:rsidRPr="00CE4263" w:rsidRDefault="00583BD3" w:rsidP="000727E8">
            <w:pPr>
              <w:jc w:val="right"/>
              <w:rPr>
                <w:rFonts w:ascii="Garamond" w:hAnsi="Garamond" w:cs="Calibri"/>
                <w:color w:val="000000"/>
                <w:sz w:val="20"/>
                <w:szCs w:val="20"/>
              </w:rPr>
            </w:pPr>
            <w:r>
              <w:rPr>
                <w:rFonts w:ascii="Garamond" w:hAnsi="Garamond" w:cs="Calibri"/>
                <w:color w:val="000000"/>
                <w:sz w:val="20"/>
                <w:szCs w:val="20"/>
              </w:rPr>
              <w:t>0.0000</w:t>
            </w:r>
          </w:p>
        </w:tc>
        <w:tc>
          <w:tcPr>
            <w:tcW w:w="1104" w:type="dxa"/>
            <w:tcBorders>
              <w:top w:val="nil"/>
              <w:left w:val="nil"/>
              <w:bottom w:val="nil"/>
              <w:right w:val="nil"/>
            </w:tcBorders>
            <w:shd w:val="clear" w:color="auto" w:fill="auto"/>
            <w:noWrap/>
            <w:vAlign w:val="bottom"/>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1.</w:t>
            </w:r>
            <w:r>
              <w:rPr>
                <w:rFonts w:ascii="Garamond" w:hAnsi="Garamond" w:cs="Calibri"/>
                <w:color w:val="000000"/>
                <w:sz w:val="20"/>
                <w:szCs w:val="20"/>
              </w:rPr>
              <w:t>6869</w:t>
            </w:r>
          </w:p>
        </w:tc>
        <w:tc>
          <w:tcPr>
            <w:tcW w:w="1417" w:type="dxa"/>
            <w:tcBorders>
              <w:top w:val="nil"/>
              <w:left w:val="nil"/>
              <w:bottom w:val="nil"/>
              <w:right w:val="nil"/>
            </w:tcBorders>
            <w:shd w:val="clear" w:color="auto" w:fill="auto"/>
            <w:noWrap/>
            <w:vAlign w:val="bottom"/>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-1.</w:t>
            </w:r>
            <w:r>
              <w:rPr>
                <w:rFonts w:ascii="Garamond" w:hAnsi="Garamond" w:cs="Calibri"/>
                <w:color w:val="000000"/>
                <w:sz w:val="20"/>
                <w:szCs w:val="20"/>
              </w:rPr>
              <w:t>1190</w:t>
            </w:r>
          </w:p>
        </w:tc>
        <w:tc>
          <w:tcPr>
            <w:tcW w:w="1417" w:type="dxa"/>
            <w:tcBorders>
              <w:top w:val="nil"/>
              <w:left w:val="nil"/>
              <w:bottom w:val="nil"/>
              <w:right w:val="nil"/>
            </w:tcBorders>
            <w:shd w:val="clear" w:color="auto" w:fill="auto"/>
            <w:noWrap/>
            <w:vAlign w:val="bottom"/>
          </w:tcPr>
          <w:p w:rsidR="00583BD3" w:rsidRPr="00501310" w:rsidRDefault="00583BD3" w:rsidP="000727E8">
            <w:pPr>
              <w:jc w:val="right"/>
              <w:rPr>
                <w:rFonts w:ascii="Garamond" w:hAnsi="Garamond" w:cs="Calibri"/>
                <w:color w:val="000000"/>
                <w:sz w:val="20"/>
                <w:szCs w:val="20"/>
              </w:rPr>
            </w:pPr>
            <w:r>
              <w:rPr>
                <w:rFonts w:ascii="Garamond" w:hAnsi="Garamond" w:cs="Calibri"/>
                <w:color w:val="000000"/>
                <w:sz w:val="20"/>
                <w:szCs w:val="20"/>
              </w:rPr>
              <w:t>-0.1380</w:t>
            </w:r>
          </w:p>
        </w:tc>
        <w:tc>
          <w:tcPr>
            <w:tcW w:w="1417" w:type="dxa"/>
            <w:tcBorders>
              <w:top w:val="nil"/>
              <w:left w:val="nil"/>
              <w:bottom w:val="nil"/>
              <w:right w:val="nil"/>
            </w:tcBorders>
            <w:shd w:val="clear" w:color="auto" w:fill="auto"/>
            <w:noWrap/>
            <w:vAlign w:val="bottom"/>
          </w:tcPr>
          <w:p w:rsidR="00583BD3" w:rsidRPr="00501310" w:rsidRDefault="00583BD3" w:rsidP="000727E8">
            <w:pPr>
              <w:jc w:val="right"/>
              <w:rPr>
                <w:rFonts w:ascii="Garamond" w:hAnsi="Garamond" w:cs="Calibri"/>
                <w:color w:val="000000"/>
                <w:sz w:val="20"/>
                <w:szCs w:val="20"/>
              </w:rPr>
            </w:pPr>
            <w:r>
              <w:rPr>
                <w:rFonts w:ascii="Garamond" w:hAnsi="Garamond" w:cs="Calibri"/>
                <w:color w:val="000000"/>
                <w:sz w:val="20"/>
                <w:szCs w:val="20"/>
              </w:rPr>
              <w:t>1.0626</w:t>
            </w:r>
          </w:p>
        </w:tc>
      </w:tr>
      <w:tr w:rsidR="00583BD3" w:rsidRPr="00501310" w:rsidTr="000727E8">
        <w:trPr>
          <w:trHeight w:val="315"/>
          <w:jc w:val="center"/>
        </w:trPr>
        <w:tc>
          <w:tcPr>
            <w:tcW w:w="3515" w:type="dxa"/>
            <w:tcBorders>
              <w:top w:val="nil"/>
              <w:left w:val="nil"/>
              <w:bottom w:val="nil"/>
              <w:right w:val="nil"/>
            </w:tcBorders>
            <w:shd w:val="clear" w:color="auto" w:fill="auto"/>
            <w:noWrap/>
            <w:vAlign w:val="bottom"/>
            <w:hideMark/>
          </w:tcPr>
          <w:p w:rsidR="00583BD3" w:rsidRPr="00501310" w:rsidRDefault="00583BD3" w:rsidP="000727E8">
            <w:pPr>
              <w:ind w:firstLineChars="200" w:firstLine="400"/>
              <w:rPr>
                <w:rFonts w:ascii="Garamond" w:hAnsi="Garamond" w:cs="Calibri"/>
                <w:color w:val="000000"/>
                <w:sz w:val="20"/>
                <w:szCs w:val="20"/>
              </w:rPr>
            </w:pPr>
            <w:proofErr w:type="spellStart"/>
            <w:r w:rsidRPr="00501310">
              <w:rPr>
                <w:rFonts w:ascii="Garamond" w:hAnsi="Garamond" w:cs="Calibri"/>
                <w:color w:val="000000"/>
                <w:sz w:val="20"/>
                <w:szCs w:val="20"/>
              </w:rPr>
              <w:t>Ln</w:t>
            </w:r>
            <w:proofErr w:type="spellEnd"/>
            <w:r w:rsidRPr="00501310">
              <w:rPr>
                <w:rFonts w:ascii="Garamond" w:hAnsi="Garamond" w:cs="Calibri"/>
                <w:color w:val="000000"/>
                <w:sz w:val="20"/>
                <w:szCs w:val="20"/>
              </w:rPr>
              <w:t>(number of directors)</w:t>
            </w:r>
          </w:p>
        </w:tc>
        <w:tc>
          <w:tcPr>
            <w:tcW w:w="774"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7,899</w:t>
            </w:r>
          </w:p>
        </w:tc>
        <w:tc>
          <w:tcPr>
            <w:tcW w:w="993"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1.9679</w:t>
            </w:r>
          </w:p>
        </w:tc>
        <w:tc>
          <w:tcPr>
            <w:tcW w:w="1104"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0.3017</w:t>
            </w:r>
          </w:p>
        </w:tc>
        <w:tc>
          <w:tcPr>
            <w:tcW w:w="1417"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1.7918</w:t>
            </w:r>
          </w:p>
        </w:tc>
        <w:tc>
          <w:tcPr>
            <w:tcW w:w="1417"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1.9459</w:t>
            </w:r>
          </w:p>
        </w:tc>
        <w:tc>
          <w:tcPr>
            <w:tcW w:w="1417"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2.1972</w:t>
            </w:r>
          </w:p>
        </w:tc>
      </w:tr>
      <w:tr w:rsidR="00583BD3" w:rsidRPr="00501310" w:rsidTr="000727E8">
        <w:trPr>
          <w:trHeight w:val="315"/>
          <w:jc w:val="center"/>
        </w:trPr>
        <w:tc>
          <w:tcPr>
            <w:tcW w:w="3515" w:type="dxa"/>
            <w:tcBorders>
              <w:top w:val="nil"/>
              <w:left w:val="nil"/>
              <w:bottom w:val="nil"/>
              <w:right w:val="nil"/>
            </w:tcBorders>
            <w:shd w:val="clear" w:color="auto" w:fill="auto"/>
            <w:noWrap/>
            <w:vAlign w:val="bottom"/>
            <w:hideMark/>
          </w:tcPr>
          <w:p w:rsidR="00583BD3" w:rsidRPr="00501310" w:rsidRDefault="00583BD3" w:rsidP="000727E8">
            <w:pPr>
              <w:ind w:firstLineChars="200" w:firstLine="400"/>
              <w:rPr>
                <w:rFonts w:ascii="Garamond" w:hAnsi="Garamond" w:cs="Calibri"/>
                <w:color w:val="000000"/>
                <w:sz w:val="20"/>
                <w:szCs w:val="20"/>
              </w:rPr>
            </w:pPr>
            <w:r w:rsidRPr="00501310">
              <w:rPr>
                <w:rFonts w:ascii="Garamond" w:hAnsi="Garamond" w:cs="Calibri"/>
                <w:color w:val="000000"/>
                <w:sz w:val="20"/>
                <w:szCs w:val="20"/>
              </w:rPr>
              <w:t>Board independence</w:t>
            </w:r>
          </w:p>
        </w:tc>
        <w:tc>
          <w:tcPr>
            <w:tcW w:w="774" w:type="dxa"/>
            <w:tcBorders>
              <w:top w:val="nil"/>
              <w:left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7,899</w:t>
            </w:r>
          </w:p>
        </w:tc>
        <w:tc>
          <w:tcPr>
            <w:tcW w:w="993" w:type="dxa"/>
            <w:tcBorders>
              <w:top w:val="nil"/>
              <w:left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0.4341</w:t>
            </w:r>
          </w:p>
        </w:tc>
        <w:tc>
          <w:tcPr>
            <w:tcW w:w="1104" w:type="dxa"/>
            <w:tcBorders>
              <w:top w:val="nil"/>
              <w:left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0.2080</w:t>
            </w:r>
          </w:p>
        </w:tc>
        <w:tc>
          <w:tcPr>
            <w:tcW w:w="1417" w:type="dxa"/>
            <w:tcBorders>
              <w:top w:val="nil"/>
              <w:left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0.3333</w:t>
            </w:r>
          </w:p>
        </w:tc>
        <w:tc>
          <w:tcPr>
            <w:tcW w:w="1417" w:type="dxa"/>
            <w:tcBorders>
              <w:top w:val="nil"/>
              <w:left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0.5000</w:t>
            </w:r>
          </w:p>
        </w:tc>
        <w:tc>
          <w:tcPr>
            <w:tcW w:w="1417" w:type="dxa"/>
            <w:tcBorders>
              <w:top w:val="nil"/>
              <w:left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0.5833</w:t>
            </w:r>
          </w:p>
        </w:tc>
      </w:tr>
      <w:tr w:rsidR="00583BD3" w:rsidRPr="00501310" w:rsidTr="000727E8">
        <w:trPr>
          <w:trHeight w:val="315"/>
          <w:jc w:val="center"/>
        </w:trPr>
        <w:tc>
          <w:tcPr>
            <w:tcW w:w="3515" w:type="dxa"/>
            <w:tcBorders>
              <w:top w:val="nil"/>
              <w:left w:val="nil"/>
              <w:bottom w:val="nil"/>
              <w:right w:val="nil"/>
            </w:tcBorders>
            <w:shd w:val="clear" w:color="auto" w:fill="auto"/>
            <w:noWrap/>
            <w:vAlign w:val="bottom"/>
            <w:hideMark/>
          </w:tcPr>
          <w:p w:rsidR="00583BD3" w:rsidRPr="00501310" w:rsidRDefault="00583BD3" w:rsidP="000727E8">
            <w:pPr>
              <w:ind w:firstLineChars="200" w:firstLine="400"/>
              <w:rPr>
                <w:rFonts w:ascii="Garamond" w:hAnsi="Garamond" w:cs="Calibri"/>
                <w:color w:val="000000"/>
                <w:sz w:val="20"/>
                <w:szCs w:val="20"/>
              </w:rPr>
            </w:pPr>
            <w:r w:rsidRPr="00501310">
              <w:rPr>
                <w:rFonts w:ascii="Garamond" w:hAnsi="Garamond" w:cs="Calibri"/>
                <w:color w:val="000000"/>
                <w:sz w:val="20"/>
                <w:szCs w:val="20"/>
              </w:rPr>
              <w:t>CEO is Chairman dummy</w:t>
            </w:r>
          </w:p>
        </w:tc>
        <w:tc>
          <w:tcPr>
            <w:tcW w:w="774" w:type="dxa"/>
            <w:tcBorders>
              <w:top w:val="nil"/>
              <w:left w:val="nil"/>
              <w:bottom w:val="single" w:sz="4" w:space="0" w:color="auto"/>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7,899</w:t>
            </w:r>
          </w:p>
        </w:tc>
        <w:tc>
          <w:tcPr>
            <w:tcW w:w="993" w:type="dxa"/>
            <w:tcBorders>
              <w:top w:val="nil"/>
              <w:left w:val="nil"/>
              <w:bottom w:val="single" w:sz="4" w:space="0" w:color="auto"/>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0.2115</w:t>
            </w:r>
          </w:p>
        </w:tc>
        <w:tc>
          <w:tcPr>
            <w:tcW w:w="1104" w:type="dxa"/>
            <w:tcBorders>
              <w:top w:val="nil"/>
              <w:left w:val="nil"/>
              <w:bottom w:val="single" w:sz="4" w:space="0" w:color="auto"/>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0.4084</w:t>
            </w:r>
          </w:p>
        </w:tc>
        <w:tc>
          <w:tcPr>
            <w:tcW w:w="1417" w:type="dxa"/>
            <w:tcBorders>
              <w:top w:val="nil"/>
              <w:left w:val="nil"/>
              <w:bottom w:val="single" w:sz="4" w:space="0" w:color="auto"/>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0.0000</w:t>
            </w:r>
          </w:p>
        </w:tc>
        <w:tc>
          <w:tcPr>
            <w:tcW w:w="1417" w:type="dxa"/>
            <w:tcBorders>
              <w:top w:val="nil"/>
              <w:left w:val="nil"/>
              <w:bottom w:val="single" w:sz="4" w:space="0" w:color="auto"/>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0.0000</w:t>
            </w:r>
          </w:p>
        </w:tc>
        <w:tc>
          <w:tcPr>
            <w:tcW w:w="1417" w:type="dxa"/>
            <w:tcBorders>
              <w:top w:val="nil"/>
              <w:left w:val="nil"/>
              <w:bottom w:val="single" w:sz="4" w:space="0" w:color="auto"/>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0.0000</w:t>
            </w:r>
          </w:p>
        </w:tc>
      </w:tr>
      <w:tr w:rsidR="00583BD3" w:rsidRPr="00501310" w:rsidTr="000727E8">
        <w:trPr>
          <w:trHeight w:val="315"/>
          <w:jc w:val="center"/>
        </w:trPr>
        <w:tc>
          <w:tcPr>
            <w:tcW w:w="3515" w:type="dxa"/>
            <w:tcBorders>
              <w:top w:val="single" w:sz="4" w:space="0" w:color="auto"/>
              <w:left w:val="nil"/>
              <w:bottom w:val="nil"/>
              <w:right w:val="nil"/>
            </w:tcBorders>
            <w:shd w:val="clear" w:color="auto" w:fill="auto"/>
            <w:noWrap/>
            <w:vAlign w:val="bottom"/>
            <w:hideMark/>
          </w:tcPr>
          <w:p w:rsidR="00583BD3" w:rsidRPr="00501310" w:rsidRDefault="00583BD3" w:rsidP="000727E8">
            <w:pPr>
              <w:rPr>
                <w:rFonts w:ascii="Garamond" w:hAnsi="Garamond" w:cs="Calibri"/>
                <w:i/>
                <w:iCs/>
                <w:color w:val="000000"/>
                <w:sz w:val="20"/>
                <w:szCs w:val="20"/>
              </w:rPr>
            </w:pPr>
            <w:r w:rsidRPr="00501310">
              <w:rPr>
                <w:rFonts w:ascii="Garamond" w:hAnsi="Garamond" w:cs="Calibri"/>
                <w:i/>
                <w:iCs/>
                <w:color w:val="000000"/>
                <w:sz w:val="20"/>
                <w:szCs w:val="20"/>
              </w:rPr>
              <w:t>Firm characteristics</w:t>
            </w:r>
          </w:p>
        </w:tc>
        <w:tc>
          <w:tcPr>
            <w:tcW w:w="774" w:type="dxa"/>
            <w:tcBorders>
              <w:top w:val="single" w:sz="4" w:space="0" w:color="auto"/>
              <w:left w:val="nil"/>
              <w:bottom w:val="nil"/>
              <w:right w:val="nil"/>
            </w:tcBorders>
            <w:shd w:val="clear" w:color="auto" w:fill="auto"/>
            <w:noWrap/>
            <w:vAlign w:val="bottom"/>
            <w:hideMark/>
          </w:tcPr>
          <w:p w:rsidR="00583BD3" w:rsidRPr="00501310" w:rsidRDefault="00583BD3" w:rsidP="000727E8">
            <w:pPr>
              <w:rPr>
                <w:rFonts w:ascii="Garamond" w:hAnsi="Garamond" w:cs="Calibri"/>
                <w:i/>
                <w:iCs/>
                <w:color w:val="000000"/>
                <w:sz w:val="20"/>
                <w:szCs w:val="20"/>
              </w:rPr>
            </w:pPr>
          </w:p>
        </w:tc>
        <w:tc>
          <w:tcPr>
            <w:tcW w:w="993" w:type="dxa"/>
            <w:tcBorders>
              <w:top w:val="single" w:sz="4" w:space="0" w:color="auto"/>
              <w:left w:val="nil"/>
              <w:bottom w:val="nil"/>
              <w:right w:val="nil"/>
            </w:tcBorders>
            <w:shd w:val="clear" w:color="auto" w:fill="auto"/>
            <w:noWrap/>
            <w:vAlign w:val="bottom"/>
            <w:hideMark/>
          </w:tcPr>
          <w:p w:rsidR="00583BD3" w:rsidRPr="00501310" w:rsidRDefault="00583BD3" w:rsidP="000727E8">
            <w:pPr>
              <w:rPr>
                <w:sz w:val="20"/>
                <w:szCs w:val="20"/>
              </w:rPr>
            </w:pPr>
          </w:p>
        </w:tc>
        <w:tc>
          <w:tcPr>
            <w:tcW w:w="1104" w:type="dxa"/>
            <w:tcBorders>
              <w:top w:val="single" w:sz="4" w:space="0" w:color="auto"/>
              <w:left w:val="nil"/>
              <w:bottom w:val="nil"/>
              <w:right w:val="nil"/>
            </w:tcBorders>
            <w:shd w:val="clear" w:color="auto" w:fill="auto"/>
            <w:noWrap/>
            <w:vAlign w:val="bottom"/>
            <w:hideMark/>
          </w:tcPr>
          <w:p w:rsidR="00583BD3" w:rsidRPr="00501310" w:rsidRDefault="00583BD3" w:rsidP="000727E8">
            <w:pPr>
              <w:rPr>
                <w:sz w:val="20"/>
                <w:szCs w:val="20"/>
              </w:rPr>
            </w:pPr>
          </w:p>
        </w:tc>
        <w:tc>
          <w:tcPr>
            <w:tcW w:w="1417" w:type="dxa"/>
            <w:tcBorders>
              <w:top w:val="single" w:sz="4" w:space="0" w:color="auto"/>
              <w:left w:val="nil"/>
              <w:bottom w:val="nil"/>
              <w:right w:val="nil"/>
            </w:tcBorders>
            <w:shd w:val="clear" w:color="auto" w:fill="auto"/>
            <w:noWrap/>
            <w:vAlign w:val="bottom"/>
            <w:hideMark/>
          </w:tcPr>
          <w:p w:rsidR="00583BD3" w:rsidRPr="00501310" w:rsidRDefault="00583BD3" w:rsidP="000727E8">
            <w:pPr>
              <w:rPr>
                <w:sz w:val="20"/>
                <w:szCs w:val="20"/>
              </w:rPr>
            </w:pPr>
          </w:p>
        </w:tc>
        <w:tc>
          <w:tcPr>
            <w:tcW w:w="1417" w:type="dxa"/>
            <w:tcBorders>
              <w:top w:val="single" w:sz="4" w:space="0" w:color="auto"/>
              <w:left w:val="nil"/>
              <w:bottom w:val="nil"/>
              <w:right w:val="nil"/>
            </w:tcBorders>
            <w:shd w:val="clear" w:color="auto" w:fill="auto"/>
            <w:noWrap/>
            <w:vAlign w:val="bottom"/>
            <w:hideMark/>
          </w:tcPr>
          <w:p w:rsidR="00583BD3" w:rsidRPr="00501310" w:rsidRDefault="00583BD3" w:rsidP="000727E8">
            <w:pPr>
              <w:rPr>
                <w:sz w:val="20"/>
                <w:szCs w:val="20"/>
              </w:rPr>
            </w:pPr>
          </w:p>
        </w:tc>
        <w:tc>
          <w:tcPr>
            <w:tcW w:w="1417" w:type="dxa"/>
            <w:tcBorders>
              <w:top w:val="single" w:sz="4" w:space="0" w:color="auto"/>
              <w:left w:val="nil"/>
              <w:bottom w:val="nil"/>
              <w:right w:val="nil"/>
            </w:tcBorders>
            <w:shd w:val="clear" w:color="auto" w:fill="auto"/>
            <w:noWrap/>
            <w:vAlign w:val="bottom"/>
            <w:hideMark/>
          </w:tcPr>
          <w:p w:rsidR="00583BD3" w:rsidRPr="00501310" w:rsidRDefault="00583BD3" w:rsidP="000727E8">
            <w:pPr>
              <w:rPr>
                <w:sz w:val="20"/>
                <w:szCs w:val="20"/>
              </w:rPr>
            </w:pPr>
          </w:p>
        </w:tc>
      </w:tr>
      <w:tr w:rsidR="00583BD3" w:rsidRPr="00501310" w:rsidTr="000727E8">
        <w:trPr>
          <w:trHeight w:val="315"/>
          <w:jc w:val="center"/>
        </w:trPr>
        <w:tc>
          <w:tcPr>
            <w:tcW w:w="3515" w:type="dxa"/>
            <w:tcBorders>
              <w:top w:val="nil"/>
              <w:left w:val="nil"/>
              <w:bottom w:val="nil"/>
              <w:right w:val="nil"/>
            </w:tcBorders>
            <w:shd w:val="clear" w:color="auto" w:fill="auto"/>
            <w:noWrap/>
            <w:vAlign w:val="bottom"/>
          </w:tcPr>
          <w:p w:rsidR="00583BD3" w:rsidRPr="00501310" w:rsidRDefault="00583BD3" w:rsidP="000727E8">
            <w:pPr>
              <w:ind w:firstLineChars="200" w:firstLine="400"/>
              <w:rPr>
                <w:rFonts w:ascii="Garamond" w:hAnsi="Garamond" w:cs="Calibri"/>
                <w:color w:val="000000"/>
                <w:sz w:val="20"/>
                <w:szCs w:val="20"/>
              </w:rPr>
            </w:pPr>
            <w:r w:rsidRPr="00501310">
              <w:rPr>
                <w:rFonts w:ascii="Garamond" w:hAnsi="Garamond" w:cs="Calibri"/>
                <w:color w:val="000000"/>
                <w:sz w:val="20"/>
                <w:szCs w:val="20"/>
              </w:rPr>
              <w:t>Leverage</w:t>
            </w:r>
          </w:p>
        </w:tc>
        <w:tc>
          <w:tcPr>
            <w:tcW w:w="774" w:type="dxa"/>
            <w:tcBorders>
              <w:top w:val="nil"/>
              <w:left w:val="nil"/>
              <w:bottom w:val="nil"/>
              <w:right w:val="nil"/>
            </w:tcBorders>
            <w:shd w:val="clear" w:color="auto" w:fill="auto"/>
            <w:noWrap/>
            <w:vAlign w:val="bottom"/>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7,899</w:t>
            </w:r>
          </w:p>
        </w:tc>
        <w:tc>
          <w:tcPr>
            <w:tcW w:w="993" w:type="dxa"/>
            <w:tcBorders>
              <w:top w:val="nil"/>
              <w:left w:val="nil"/>
              <w:bottom w:val="nil"/>
              <w:right w:val="nil"/>
            </w:tcBorders>
            <w:shd w:val="clear" w:color="auto" w:fill="auto"/>
            <w:noWrap/>
            <w:vAlign w:val="bottom"/>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0.2677</w:t>
            </w:r>
          </w:p>
        </w:tc>
        <w:tc>
          <w:tcPr>
            <w:tcW w:w="1104" w:type="dxa"/>
            <w:tcBorders>
              <w:top w:val="nil"/>
              <w:left w:val="nil"/>
              <w:bottom w:val="nil"/>
              <w:right w:val="nil"/>
            </w:tcBorders>
            <w:shd w:val="clear" w:color="auto" w:fill="auto"/>
            <w:noWrap/>
            <w:vAlign w:val="bottom"/>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0.2322</w:t>
            </w:r>
          </w:p>
        </w:tc>
        <w:tc>
          <w:tcPr>
            <w:tcW w:w="1417" w:type="dxa"/>
            <w:tcBorders>
              <w:top w:val="nil"/>
              <w:left w:val="nil"/>
              <w:bottom w:val="nil"/>
              <w:right w:val="nil"/>
            </w:tcBorders>
            <w:shd w:val="clear" w:color="auto" w:fill="auto"/>
            <w:noWrap/>
            <w:vAlign w:val="bottom"/>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0.0386</w:t>
            </w:r>
          </w:p>
        </w:tc>
        <w:tc>
          <w:tcPr>
            <w:tcW w:w="1417" w:type="dxa"/>
            <w:tcBorders>
              <w:top w:val="nil"/>
              <w:left w:val="nil"/>
              <w:bottom w:val="nil"/>
              <w:right w:val="nil"/>
            </w:tcBorders>
            <w:shd w:val="clear" w:color="auto" w:fill="auto"/>
            <w:noWrap/>
            <w:vAlign w:val="bottom"/>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0.2421</w:t>
            </w:r>
          </w:p>
        </w:tc>
        <w:tc>
          <w:tcPr>
            <w:tcW w:w="1417" w:type="dxa"/>
            <w:tcBorders>
              <w:top w:val="nil"/>
              <w:left w:val="nil"/>
              <w:bottom w:val="nil"/>
              <w:right w:val="nil"/>
            </w:tcBorders>
            <w:shd w:val="clear" w:color="auto" w:fill="auto"/>
            <w:noWrap/>
            <w:vAlign w:val="bottom"/>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0.4262</w:t>
            </w:r>
          </w:p>
        </w:tc>
      </w:tr>
      <w:tr w:rsidR="00583BD3" w:rsidRPr="00501310" w:rsidTr="000727E8">
        <w:trPr>
          <w:trHeight w:val="315"/>
          <w:jc w:val="center"/>
        </w:trPr>
        <w:tc>
          <w:tcPr>
            <w:tcW w:w="3515" w:type="dxa"/>
            <w:tcBorders>
              <w:top w:val="nil"/>
              <w:left w:val="nil"/>
              <w:bottom w:val="nil"/>
              <w:right w:val="nil"/>
            </w:tcBorders>
            <w:shd w:val="clear" w:color="auto" w:fill="auto"/>
            <w:noWrap/>
            <w:vAlign w:val="bottom"/>
          </w:tcPr>
          <w:p w:rsidR="00583BD3" w:rsidRPr="00501310" w:rsidRDefault="00583BD3" w:rsidP="000727E8">
            <w:pPr>
              <w:ind w:firstLineChars="200" w:firstLine="400"/>
              <w:rPr>
                <w:rFonts w:ascii="Garamond" w:hAnsi="Garamond" w:cs="Calibri"/>
                <w:color w:val="000000"/>
                <w:sz w:val="20"/>
                <w:szCs w:val="20"/>
              </w:rPr>
            </w:pPr>
            <w:proofErr w:type="spellStart"/>
            <w:r w:rsidRPr="00501310">
              <w:rPr>
                <w:rFonts w:ascii="Garamond" w:hAnsi="Garamond" w:cs="Calibri"/>
                <w:color w:val="000000"/>
                <w:sz w:val="20"/>
                <w:szCs w:val="20"/>
              </w:rPr>
              <w:t>Ln</w:t>
            </w:r>
            <w:proofErr w:type="spellEnd"/>
            <w:r w:rsidRPr="00501310">
              <w:rPr>
                <w:rFonts w:ascii="Garamond" w:hAnsi="Garamond" w:cs="Calibri"/>
                <w:color w:val="000000"/>
                <w:sz w:val="20"/>
                <w:szCs w:val="20"/>
              </w:rPr>
              <w:t>(market-to-book)</w:t>
            </w:r>
          </w:p>
        </w:tc>
        <w:tc>
          <w:tcPr>
            <w:tcW w:w="774" w:type="dxa"/>
            <w:tcBorders>
              <w:top w:val="nil"/>
              <w:left w:val="nil"/>
              <w:bottom w:val="nil"/>
              <w:right w:val="nil"/>
            </w:tcBorders>
            <w:shd w:val="clear" w:color="auto" w:fill="auto"/>
            <w:noWrap/>
            <w:vAlign w:val="bottom"/>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7,899</w:t>
            </w:r>
          </w:p>
        </w:tc>
        <w:tc>
          <w:tcPr>
            <w:tcW w:w="993" w:type="dxa"/>
            <w:tcBorders>
              <w:top w:val="nil"/>
              <w:left w:val="nil"/>
              <w:bottom w:val="nil"/>
              <w:right w:val="nil"/>
            </w:tcBorders>
            <w:shd w:val="clear" w:color="auto" w:fill="auto"/>
            <w:noWrap/>
            <w:vAlign w:val="bottom"/>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0.7079</w:t>
            </w:r>
          </w:p>
        </w:tc>
        <w:tc>
          <w:tcPr>
            <w:tcW w:w="1104" w:type="dxa"/>
            <w:tcBorders>
              <w:top w:val="nil"/>
              <w:left w:val="nil"/>
              <w:bottom w:val="nil"/>
              <w:right w:val="nil"/>
            </w:tcBorders>
            <w:shd w:val="clear" w:color="auto" w:fill="auto"/>
            <w:noWrap/>
            <w:vAlign w:val="bottom"/>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0.9192</w:t>
            </w:r>
          </w:p>
        </w:tc>
        <w:tc>
          <w:tcPr>
            <w:tcW w:w="1417" w:type="dxa"/>
            <w:tcBorders>
              <w:top w:val="nil"/>
              <w:left w:val="nil"/>
              <w:bottom w:val="nil"/>
              <w:right w:val="nil"/>
            </w:tcBorders>
            <w:shd w:val="clear" w:color="auto" w:fill="auto"/>
            <w:noWrap/>
            <w:vAlign w:val="bottom"/>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0.1310</w:t>
            </w:r>
          </w:p>
        </w:tc>
        <w:tc>
          <w:tcPr>
            <w:tcW w:w="1417" w:type="dxa"/>
            <w:tcBorders>
              <w:top w:val="nil"/>
              <w:left w:val="nil"/>
              <w:bottom w:val="nil"/>
              <w:right w:val="nil"/>
            </w:tcBorders>
            <w:shd w:val="clear" w:color="auto" w:fill="auto"/>
            <w:noWrap/>
            <w:vAlign w:val="bottom"/>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0.6831</w:t>
            </w:r>
          </w:p>
        </w:tc>
        <w:tc>
          <w:tcPr>
            <w:tcW w:w="1417" w:type="dxa"/>
            <w:tcBorders>
              <w:top w:val="nil"/>
              <w:left w:val="nil"/>
              <w:bottom w:val="nil"/>
              <w:right w:val="nil"/>
            </w:tcBorders>
            <w:shd w:val="clear" w:color="auto" w:fill="auto"/>
            <w:noWrap/>
            <w:vAlign w:val="bottom"/>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1.2669</w:t>
            </w:r>
          </w:p>
        </w:tc>
      </w:tr>
      <w:tr w:rsidR="00583BD3" w:rsidRPr="00501310" w:rsidTr="000727E8">
        <w:trPr>
          <w:trHeight w:val="315"/>
          <w:jc w:val="center"/>
        </w:trPr>
        <w:tc>
          <w:tcPr>
            <w:tcW w:w="3515" w:type="dxa"/>
            <w:tcBorders>
              <w:top w:val="nil"/>
              <w:left w:val="nil"/>
              <w:bottom w:val="nil"/>
              <w:right w:val="nil"/>
            </w:tcBorders>
            <w:shd w:val="clear" w:color="auto" w:fill="auto"/>
            <w:noWrap/>
            <w:vAlign w:val="bottom"/>
            <w:hideMark/>
          </w:tcPr>
          <w:p w:rsidR="00583BD3" w:rsidRPr="00501310" w:rsidRDefault="00583BD3" w:rsidP="000727E8">
            <w:pPr>
              <w:ind w:firstLineChars="200" w:firstLine="400"/>
              <w:rPr>
                <w:rFonts w:ascii="Garamond" w:hAnsi="Garamond" w:cs="Calibri"/>
                <w:color w:val="000000"/>
                <w:sz w:val="20"/>
                <w:szCs w:val="20"/>
              </w:rPr>
            </w:pPr>
            <w:r w:rsidRPr="00501310">
              <w:rPr>
                <w:rFonts w:ascii="Garamond" w:hAnsi="Garamond" w:cs="Calibri"/>
                <w:color w:val="000000"/>
                <w:sz w:val="20"/>
                <w:szCs w:val="20"/>
              </w:rPr>
              <w:t>Capital expenditure</w:t>
            </w:r>
          </w:p>
        </w:tc>
        <w:tc>
          <w:tcPr>
            <w:tcW w:w="774"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7,899</w:t>
            </w:r>
          </w:p>
        </w:tc>
        <w:tc>
          <w:tcPr>
            <w:tcW w:w="993"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0.0460</w:t>
            </w:r>
          </w:p>
        </w:tc>
        <w:tc>
          <w:tcPr>
            <w:tcW w:w="1104"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0.0521</w:t>
            </w:r>
          </w:p>
        </w:tc>
        <w:tc>
          <w:tcPr>
            <w:tcW w:w="1417"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0.0121</w:t>
            </w:r>
          </w:p>
        </w:tc>
        <w:tc>
          <w:tcPr>
            <w:tcW w:w="1417"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0.0293</w:t>
            </w:r>
          </w:p>
        </w:tc>
        <w:tc>
          <w:tcPr>
            <w:tcW w:w="1417"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0.0593</w:t>
            </w:r>
          </w:p>
        </w:tc>
      </w:tr>
      <w:tr w:rsidR="00583BD3" w:rsidRPr="00501310" w:rsidTr="000727E8">
        <w:trPr>
          <w:trHeight w:val="315"/>
          <w:jc w:val="center"/>
        </w:trPr>
        <w:tc>
          <w:tcPr>
            <w:tcW w:w="3515" w:type="dxa"/>
            <w:tcBorders>
              <w:top w:val="nil"/>
              <w:left w:val="nil"/>
              <w:bottom w:val="nil"/>
              <w:right w:val="nil"/>
            </w:tcBorders>
            <w:shd w:val="clear" w:color="auto" w:fill="auto"/>
            <w:noWrap/>
            <w:vAlign w:val="bottom"/>
            <w:hideMark/>
          </w:tcPr>
          <w:p w:rsidR="00583BD3" w:rsidRPr="00501310" w:rsidRDefault="00583BD3" w:rsidP="000727E8">
            <w:pPr>
              <w:ind w:firstLineChars="200" w:firstLine="400"/>
              <w:rPr>
                <w:rFonts w:ascii="Garamond" w:hAnsi="Garamond" w:cs="Calibri"/>
                <w:color w:val="000000"/>
                <w:sz w:val="20"/>
                <w:szCs w:val="20"/>
              </w:rPr>
            </w:pPr>
            <w:proofErr w:type="spellStart"/>
            <w:r w:rsidRPr="00501310">
              <w:rPr>
                <w:rFonts w:ascii="Garamond" w:hAnsi="Garamond" w:cs="Calibri"/>
                <w:color w:val="000000"/>
                <w:sz w:val="20"/>
                <w:szCs w:val="20"/>
              </w:rPr>
              <w:t>Ln</w:t>
            </w:r>
            <w:proofErr w:type="spellEnd"/>
            <w:r w:rsidRPr="00501310">
              <w:rPr>
                <w:rFonts w:ascii="Garamond" w:hAnsi="Garamond" w:cs="Calibri"/>
                <w:color w:val="000000"/>
                <w:sz w:val="20"/>
                <w:szCs w:val="20"/>
              </w:rPr>
              <w:t>(total assets)</w:t>
            </w:r>
          </w:p>
        </w:tc>
        <w:tc>
          <w:tcPr>
            <w:tcW w:w="774"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7,899</w:t>
            </w:r>
          </w:p>
        </w:tc>
        <w:tc>
          <w:tcPr>
            <w:tcW w:w="993"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12.2436</w:t>
            </w:r>
          </w:p>
        </w:tc>
        <w:tc>
          <w:tcPr>
            <w:tcW w:w="1104"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2.1581</w:t>
            </w:r>
          </w:p>
        </w:tc>
        <w:tc>
          <w:tcPr>
            <w:tcW w:w="1417"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10.7699</w:t>
            </w:r>
          </w:p>
        </w:tc>
        <w:tc>
          <w:tcPr>
            <w:tcW w:w="1417"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12.1220</w:t>
            </w:r>
          </w:p>
        </w:tc>
        <w:tc>
          <w:tcPr>
            <w:tcW w:w="1417"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13.6882</w:t>
            </w:r>
          </w:p>
        </w:tc>
      </w:tr>
      <w:tr w:rsidR="00583BD3" w:rsidRPr="00501310" w:rsidTr="000727E8">
        <w:trPr>
          <w:trHeight w:val="315"/>
          <w:jc w:val="center"/>
        </w:trPr>
        <w:tc>
          <w:tcPr>
            <w:tcW w:w="3515" w:type="dxa"/>
            <w:tcBorders>
              <w:top w:val="nil"/>
              <w:left w:val="nil"/>
              <w:bottom w:val="nil"/>
              <w:right w:val="nil"/>
            </w:tcBorders>
            <w:shd w:val="clear" w:color="auto" w:fill="auto"/>
            <w:noWrap/>
            <w:vAlign w:val="bottom"/>
            <w:hideMark/>
          </w:tcPr>
          <w:p w:rsidR="00583BD3" w:rsidRPr="00501310" w:rsidRDefault="00583BD3" w:rsidP="000727E8">
            <w:pPr>
              <w:ind w:firstLineChars="200" w:firstLine="400"/>
              <w:rPr>
                <w:rFonts w:ascii="Garamond" w:hAnsi="Garamond" w:cs="Calibri"/>
                <w:color w:val="000000"/>
                <w:sz w:val="20"/>
                <w:szCs w:val="20"/>
              </w:rPr>
            </w:pPr>
            <w:proofErr w:type="spellStart"/>
            <w:r w:rsidRPr="00501310">
              <w:rPr>
                <w:rFonts w:ascii="Garamond" w:hAnsi="Garamond" w:cs="Calibri"/>
                <w:color w:val="000000"/>
                <w:sz w:val="20"/>
                <w:szCs w:val="20"/>
              </w:rPr>
              <w:t>Ln</w:t>
            </w:r>
            <w:proofErr w:type="spellEnd"/>
            <w:r w:rsidRPr="00501310">
              <w:rPr>
                <w:rFonts w:ascii="Garamond" w:hAnsi="Garamond" w:cs="Calibri"/>
                <w:color w:val="000000"/>
                <w:sz w:val="20"/>
                <w:szCs w:val="20"/>
              </w:rPr>
              <w:t>(firm age)</w:t>
            </w:r>
          </w:p>
        </w:tc>
        <w:tc>
          <w:tcPr>
            <w:tcW w:w="774"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7,899</w:t>
            </w:r>
          </w:p>
        </w:tc>
        <w:tc>
          <w:tcPr>
            <w:tcW w:w="993"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2.5177</w:t>
            </w:r>
          </w:p>
        </w:tc>
        <w:tc>
          <w:tcPr>
            <w:tcW w:w="1104"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1.0974</w:t>
            </w:r>
          </w:p>
        </w:tc>
        <w:tc>
          <w:tcPr>
            <w:tcW w:w="1417"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1.8845</w:t>
            </w:r>
          </w:p>
        </w:tc>
        <w:tc>
          <w:tcPr>
            <w:tcW w:w="1417"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2.6741</w:t>
            </w:r>
          </w:p>
        </w:tc>
        <w:tc>
          <w:tcPr>
            <w:tcW w:w="1417"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3.5091</w:t>
            </w:r>
          </w:p>
        </w:tc>
      </w:tr>
      <w:tr w:rsidR="00583BD3" w:rsidRPr="00501310" w:rsidTr="000727E8">
        <w:trPr>
          <w:trHeight w:val="315"/>
          <w:jc w:val="center"/>
        </w:trPr>
        <w:tc>
          <w:tcPr>
            <w:tcW w:w="3515" w:type="dxa"/>
            <w:tcBorders>
              <w:top w:val="nil"/>
              <w:left w:val="nil"/>
              <w:bottom w:val="nil"/>
              <w:right w:val="nil"/>
            </w:tcBorders>
            <w:shd w:val="clear" w:color="auto" w:fill="auto"/>
            <w:noWrap/>
            <w:vAlign w:val="bottom"/>
            <w:hideMark/>
          </w:tcPr>
          <w:p w:rsidR="00583BD3" w:rsidRPr="00501310" w:rsidRDefault="00583BD3" w:rsidP="000727E8">
            <w:pPr>
              <w:ind w:firstLineChars="200" w:firstLine="400"/>
              <w:rPr>
                <w:rFonts w:ascii="Garamond" w:hAnsi="Garamond" w:cs="Calibri"/>
                <w:color w:val="000000"/>
                <w:sz w:val="20"/>
                <w:szCs w:val="20"/>
              </w:rPr>
            </w:pPr>
            <w:r w:rsidRPr="00501310">
              <w:rPr>
                <w:rFonts w:ascii="Garamond" w:hAnsi="Garamond" w:cs="Calibri"/>
                <w:color w:val="000000"/>
                <w:sz w:val="20"/>
                <w:szCs w:val="20"/>
              </w:rPr>
              <w:t>Tobin</w:t>
            </w:r>
            <w:r>
              <w:rPr>
                <w:rFonts w:ascii="Garamond" w:hAnsi="Garamond" w:cs="Calibri"/>
                <w:color w:val="000000"/>
                <w:sz w:val="20"/>
                <w:szCs w:val="20"/>
              </w:rPr>
              <w:t>’</w:t>
            </w:r>
            <w:r w:rsidRPr="00501310">
              <w:rPr>
                <w:rFonts w:ascii="Garamond" w:hAnsi="Garamond" w:cs="Calibri"/>
                <w:color w:val="000000"/>
                <w:sz w:val="20"/>
                <w:szCs w:val="20"/>
              </w:rPr>
              <w:t xml:space="preserve">s </w:t>
            </w:r>
            <w:r w:rsidRPr="00501310">
              <w:rPr>
                <w:rFonts w:ascii="Garamond" w:hAnsi="Garamond" w:cs="Calibri"/>
                <w:i/>
                <w:iCs/>
                <w:color w:val="000000"/>
                <w:sz w:val="20"/>
                <w:szCs w:val="20"/>
              </w:rPr>
              <w:t>q</w:t>
            </w:r>
          </w:p>
        </w:tc>
        <w:tc>
          <w:tcPr>
            <w:tcW w:w="774"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7,899</w:t>
            </w:r>
          </w:p>
        </w:tc>
        <w:tc>
          <w:tcPr>
            <w:tcW w:w="993"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1.8540</w:t>
            </w:r>
          </w:p>
        </w:tc>
        <w:tc>
          <w:tcPr>
            <w:tcW w:w="1104"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1.4456</w:t>
            </w:r>
          </w:p>
        </w:tc>
        <w:tc>
          <w:tcPr>
            <w:tcW w:w="1417"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1.0690</w:t>
            </w:r>
          </w:p>
        </w:tc>
        <w:tc>
          <w:tcPr>
            <w:tcW w:w="1417"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1.4214</w:t>
            </w:r>
          </w:p>
        </w:tc>
        <w:tc>
          <w:tcPr>
            <w:tcW w:w="1417"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2.0769</w:t>
            </w:r>
          </w:p>
        </w:tc>
      </w:tr>
      <w:tr w:rsidR="00583BD3" w:rsidRPr="00501310" w:rsidTr="000727E8">
        <w:trPr>
          <w:trHeight w:val="315"/>
          <w:jc w:val="center"/>
        </w:trPr>
        <w:tc>
          <w:tcPr>
            <w:tcW w:w="3515" w:type="dxa"/>
            <w:tcBorders>
              <w:top w:val="nil"/>
              <w:left w:val="nil"/>
              <w:bottom w:val="single" w:sz="4" w:space="0" w:color="auto"/>
              <w:right w:val="nil"/>
            </w:tcBorders>
            <w:shd w:val="clear" w:color="auto" w:fill="auto"/>
            <w:noWrap/>
            <w:vAlign w:val="bottom"/>
            <w:hideMark/>
          </w:tcPr>
          <w:p w:rsidR="00583BD3" w:rsidRPr="00501310" w:rsidRDefault="00583BD3" w:rsidP="000727E8">
            <w:pPr>
              <w:ind w:firstLineChars="200" w:firstLine="400"/>
              <w:rPr>
                <w:rFonts w:ascii="Garamond" w:hAnsi="Garamond" w:cs="Calibri"/>
                <w:color w:val="000000"/>
                <w:sz w:val="20"/>
                <w:szCs w:val="20"/>
              </w:rPr>
            </w:pPr>
            <w:r w:rsidRPr="00501310">
              <w:rPr>
                <w:rFonts w:ascii="Garamond" w:hAnsi="Garamond" w:cs="Calibri"/>
                <w:color w:val="000000"/>
                <w:sz w:val="20"/>
                <w:szCs w:val="20"/>
              </w:rPr>
              <w:t>Industry-adjusted ROA</w:t>
            </w:r>
          </w:p>
        </w:tc>
        <w:tc>
          <w:tcPr>
            <w:tcW w:w="774" w:type="dxa"/>
            <w:tcBorders>
              <w:top w:val="nil"/>
              <w:left w:val="nil"/>
              <w:bottom w:val="single" w:sz="4" w:space="0" w:color="auto"/>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7,899</w:t>
            </w:r>
          </w:p>
        </w:tc>
        <w:tc>
          <w:tcPr>
            <w:tcW w:w="993" w:type="dxa"/>
            <w:tcBorders>
              <w:top w:val="nil"/>
              <w:left w:val="nil"/>
              <w:bottom w:val="single" w:sz="4" w:space="0" w:color="auto"/>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0.3152</w:t>
            </w:r>
          </w:p>
        </w:tc>
        <w:tc>
          <w:tcPr>
            <w:tcW w:w="1104" w:type="dxa"/>
            <w:tcBorders>
              <w:top w:val="nil"/>
              <w:left w:val="nil"/>
              <w:bottom w:val="single" w:sz="4" w:space="0" w:color="auto"/>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0.6396</w:t>
            </w:r>
          </w:p>
        </w:tc>
        <w:tc>
          <w:tcPr>
            <w:tcW w:w="1417" w:type="dxa"/>
            <w:tcBorders>
              <w:top w:val="nil"/>
              <w:left w:val="nil"/>
              <w:bottom w:val="single" w:sz="4" w:space="0" w:color="auto"/>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0.0586</w:t>
            </w:r>
          </w:p>
        </w:tc>
        <w:tc>
          <w:tcPr>
            <w:tcW w:w="1417" w:type="dxa"/>
            <w:tcBorders>
              <w:top w:val="nil"/>
              <w:left w:val="nil"/>
              <w:bottom w:val="single" w:sz="4" w:space="0" w:color="auto"/>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0.1516</w:t>
            </w:r>
          </w:p>
        </w:tc>
        <w:tc>
          <w:tcPr>
            <w:tcW w:w="1417" w:type="dxa"/>
            <w:tcBorders>
              <w:top w:val="nil"/>
              <w:left w:val="nil"/>
              <w:bottom w:val="single" w:sz="4" w:space="0" w:color="auto"/>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0.4292</w:t>
            </w:r>
          </w:p>
        </w:tc>
      </w:tr>
      <w:tr w:rsidR="00583BD3" w:rsidRPr="00501310" w:rsidTr="000727E8">
        <w:trPr>
          <w:trHeight w:val="315"/>
          <w:jc w:val="center"/>
        </w:trPr>
        <w:tc>
          <w:tcPr>
            <w:tcW w:w="3515" w:type="dxa"/>
            <w:tcBorders>
              <w:top w:val="nil"/>
              <w:left w:val="nil"/>
              <w:bottom w:val="nil"/>
              <w:right w:val="nil"/>
            </w:tcBorders>
            <w:shd w:val="clear" w:color="auto" w:fill="auto"/>
            <w:noWrap/>
            <w:vAlign w:val="bottom"/>
            <w:hideMark/>
          </w:tcPr>
          <w:p w:rsidR="00583BD3" w:rsidRPr="00501310" w:rsidRDefault="00583BD3" w:rsidP="000727E8">
            <w:pPr>
              <w:rPr>
                <w:rFonts w:ascii="Garamond" w:hAnsi="Garamond" w:cs="Calibri"/>
                <w:i/>
                <w:iCs/>
                <w:color w:val="000000"/>
                <w:sz w:val="20"/>
                <w:szCs w:val="20"/>
              </w:rPr>
            </w:pPr>
            <w:r w:rsidRPr="00501310">
              <w:rPr>
                <w:rFonts w:ascii="Garamond" w:hAnsi="Garamond" w:cs="Calibri"/>
                <w:i/>
                <w:iCs/>
                <w:color w:val="000000"/>
                <w:sz w:val="20"/>
                <w:szCs w:val="20"/>
              </w:rPr>
              <w:t xml:space="preserve">CFO </w:t>
            </w:r>
            <w:r>
              <w:rPr>
                <w:rFonts w:ascii="Garamond" w:hAnsi="Garamond" w:cs="Calibri"/>
                <w:i/>
                <w:iCs/>
                <w:color w:val="000000"/>
                <w:sz w:val="20"/>
                <w:szCs w:val="20"/>
              </w:rPr>
              <w:t>c</w:t>
            </w:r>
            <w:r w:rsidRPr="00501310">
              <w:rPr>
                <w:rFonts w:ascii="Garamond" w:hAnsi="Garamond" w:cs="Calibri"/>
                <w:i/>
                <w:iCs/>
                <w:color w:val="000000"/>
                <w:sz w:val="20"/>
                <w:szCs w:val="20"/>
              </w:rPr>
              <w:t>haracteristic</w:t>
            </w:r>
            <w:r>
              <w:rPr>
                <w:rFonts w:ascii="Garamond" w:hAnsi="Garamond" w:cs="Calibri"/>
                <w:i/>
                <w:iCs/>
                <w:color w:val="000000"/>
                <w:sz w:val="20"/>
                <w:szCs w:val="20"/>
              </w:rPr>
              <w:t>s</w:t>
            </w:r>
          </w:p>
        </w:tc>
        <w:tc>
          <w:tcPr>
            <w:tcW w:w="774" w:type="dxa"/>
            <w:tcBorders>
              <w:top w:val="nil"/>
              <w:left w:val="nil"/>
              <w:bottom w:val="nil"/>
              <w:right w:val="nil"/>
            </w:tcBorders>
            <w:shd w:val="clear" w:color="auto" w:fill="auto"/>
            <w:noWrap/>
            <w:vAlign w:val="bottom"/>
            <w:hideMark/>
          </w:tcPr>
          <w:p w:rsidR="00583BD3" w:rsidRPr="00501310" w:rsidRDefault="00583BD3" w:rsidP="000727E8">
            <w:pPr>
              <w:rPr>
                <w:rFonts w:ascii="Garamond" w:hAnsi="Garamond" w:cs="Calibri"/>
                <w:i/>
                <w:iCs/>
                <w:color w:val="000000"/>
                <w:sz w:val="20"/>
                <w:szCs w:val="20"/>
              </w:rPr>
            </w:pPr>
          </w:p>
        </w:tc>
        <w:tc>
          <w:tcPr>
            <w:tcW w:w="993" w:type="dxa"/>
            <w:tcBorders>
              <w:top w:val="nil"/>
              <w:left w:val="nil"/>
              <w:bottom w:val="nil"/>
              <w:right w:val="nil"/>
            </w:tcBorders>
            <w:shd w:val="clear" w:color="auto" w:fill="auto"/>
            <w:noWrap/>
            <w:vAlign w:val="bottom"/>
            <w:hideMark/>
          </w:tcPr>
          <w:p w:rsidR="00583BD3" w:rsidRPr="00501310" w:rsidRDefault="00583BD3" w:rsidP="000727E8">
            <w:pPr>
              <w:rPr>
                <w:sz w:val="20"/>
                <w:szCs w:val="20"/>
              </w:rPr>
            </w:pPr>
          </w:p>
        </w:tc>
        <w:tc>
          <w:tcPr>
            <w:tcW w:w="1104" w:type="dxa"/>
            <w:tcBorders>
              <w:top w:val="nil"/>
              <w:left w:val="nil"/>
              <w:bottom w:val="nil"/>
              <w:right w:val="nil"/>
            </w:tcBorders>
            <w:shd w:val="clear" w:color="auto" w:fill="auto"/>
            <w:noWrap/>
            <w:vAlign w:val="bottom"/>
            <w:hideMark/>
          </w:tcPr>
          <w:p w:rsidR="00583BD3" w:rsidRPr="00501310" w:rsidRDefault="00583BD3" w:rsidP="000727E8">
            <w:pPr>
              <w:rPr>
                <w:sz w:val="20"/>
                <w:szCs w:val="20"/>
              </w:rPr>
            </w:pPr>
          </w:p>
        </w:tc>
        <w:tc>
          <w:tcPr>
            <w:tcW w:w="1417" w:type="dxa"/>
            <w:tcBorders>
              <w:top w:val="nil"/>
              <w:left w:val="nil"/>
              <w:bottom w:val="nil"/>
              <w:right w:val="nil"/>
            </w:tcBorders>
            <w:shd w:val="clear" w:color="auto" w:fill="auto"/>
            <w:noWrap/>
            <w:vAlign w:val="bottom"/>
            <w:hideMark/>
          </w:tcPr>
          <w:p w:rsidR="00583BD3" w:rsidRPr="00501310" w:rsidRDefault="00583BD3" w:rsidP="000727E8">
            <w:pPr>
              <w:rPr>
                <w:sz w:val="20"/>
                <w:szCs w:val="20"/>
              </w:rPr>
            </w:pPr>
          </w:p>
        </w:tc>
        <w:tc>
          <w:tcPr>
            <w:tcW w:w="1417" w:type="dxa"/>
            <w:tcBorders>
              <w:top w:val="nil"/>
              <w:left w:val="nil"/>
              <w:bottom w:val="nil"/>
              <w:right w:val="nil"/>
            </w:tcBorders>
            <w:shd w:val="clear" w:color="auto" w:fill="auto"/>
            <w:noWrap/>
            <w:vAlign w:val="bottom"/>
            <w:hideMark/>
          </w:tcPr>
          <w:p w:rsidR="00583BD3" w:rsidRPr="00501310" w:rsidRDefault="00583BD3" w:rsidP="000727E8">
            <w:pPr>
              <w:rPr>
                <w:sz w:val="20"/>
                <w:szCs w:val="20"/>
              </w:rPr>
            </w:pPr>
          </w:p>
        </w:tc>
        <w:tc>
          <w:tcPr>
            <w:tcW w:w="1417" w:type="dxa"/>
            <w:tcBorders>
              <w:top w:val="nil"/>
              <w:left w:val="nil"/>
              <w:bottom w:val="nil"/>
              <w:right w:val="nil"/>
            </w:tcBorders>
            <w:shd w:val="clear" w:color="auto" w:fill="auto"/>
            <w:noWrap/>
            <w:vAlign w:val="bottom"/>
            <w:hideMark/>
          </w:tcPr>
          <w:p w:rsidR="00583BD3" w:rsidRPr="00501310" w:rsidRDefault="00583BD3" w:rsidP="000727E8">
            <w:pPr>
              <w:rPr>
                <w:sz w:val="20"/>
                <w:szCs w:val="20"/>
              </w:rPr>
            </w:pPr>
          </w:p>
        </w:tc>
      </w:tr>
      <w:tr w:rsidR="00583BD3" w:rsidRPr="00501310" w:rsidTr="000727E8">
        <w:trPr>
          <w:trHeight w:val="315"/>
          <w:jc w:val="center"/>
        </w:trPr>
        <w:tc>
          <w:tcPr>
            <w:tcW w:w="3515" w:type="dxa"/>
            <w:tcBorders>
              <w:top w:val="nil"/>
              <w:left w:val="nil"/>
              <w:bottom w:val="nil"/>
              <w:right w:val="nil"/>
            </w:tcBorders>
            <w:shd w:val="clear" w:color="auto" w:fill="auto"/>
            <w:noWrap/>
            <w:vAlign w:val="bottom"/>
            <w:hideMark/>
          </w:tcPr>
          <w:p w:rsidR="00583BD3" w:rsidRPr="00501310" w:rsidRDefault="00583BD3" w:rsidP="000727E8">
            <w:pPr>
              <w:ind w:firstLineChars="200" w:firstLine="400"/>
              <w:rPr>
                <w:rFonts w:ascii="Garamond" w:hAnsi="Garamond" w:cs="Calibri"/>
                <w:color w:val="000000"/>
                <w:sz w:val="20"/>
                <w:szCs w:val="20"/>
              </w:rPr>
            </w:pPr>
            <w:r w:rsidRPr="00501310">
              <w:rPr>
                <w:rFonts w:ascii="Garamond" w:hAnsi="Garamond" w:cs="Calibri"/>
                <w:color w:val="000000"/>
                <w:sz w:val="20"/>
                <w:szCs w:val="20"/>
              </w:rPr>
              <w:t>CFO Female Dummy</w:t>
            </w:r>
          </w:p>
        </w:tc>
        <w:tc>
          <w:tcPr>
            <w:tcW w:w="774"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7,899</w:t>
            </w:r>
          </w:p>
        </w:tc>
        <w:tc>
          <w:tcPr>
            <w:tcW w:w="993"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0.0538</w:t>
            </w:r>
          </w:p>
        </w:tc>
        <w:tc>
          <w:tcPr>
            <w:tcW w:w="1104"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0.2256</w:t>
            </w:r>
          </w:p>
        </w:tc>
        <w:tc>
          <w:tcPr>
            <w:tcW w:w="1417"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0.0000</w:t>
            </w:r>
          </w:p>
        </w:tc>
        <w:tc>
          <w:tcPr>
            <w:tcW w:w="1417"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0.0000</w:t>
            </w:r>
          </w:p>
        </w:tc>
        <w:tc>
          <w:tcPr>
            <w:tcW w:w="1417"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0.0000</w:t>
            </w:r>
          </w:p>
        </w:tc>
      </w:tr>
      <w:tr w:rsidR="00583BD3" w:rsidRPr="00501310" w:rsidTr="000727E8">
        <w:trPr>
          <w:trHeight w:val="315"/>
          <w:jc w:val="center"/>
        </w:trPr>
        <w:tc>
          <w:tcPr>
            <w:tcW w:w="3515" w:type="dxa"/>
            <w:tcBorders>
              <w:top w:val="nil"/>
              <w:left w:val="nil"/>
              <w:bottom w:val="nil"/>
              <w:right w:val="nil"/>
            </w:tcBorders>
            <w:shd w:val="clear" w:color="auto" w:fill="auto"/>
            <w:noWrap/>
            <w:vAlign w:val="bottom"/>
            <w:hideMark/>
          </w:tcPr>
          <w:p w:rsidR="00583BD3" w:rsidRPr="00501310" w:rsidRDefault="00583BD3" w:rsidP="000727E8">
            <w:pPr>
              <w:ind w:firstLineChars="200" w:firstLine="400"/>
              <w:rPr>
                <w:rFonts w:ascii="Garamond" w:hAnsi="Garamond" w:cs="Calibri"/>
                <w:color w:val="000000"/>
                <w:sz w:val="20"/>
                <w:szCs w:val="20"/>
              </w:rPr>
            </w:pPr>
            <w:r w:rsidRPr="00501310">
              <w:rPr>
                <w:rFonts w:ascii="Garamond" w:hAnsi="Garamond" w:cs="Calibri"/>
                <w:color w:val="000000"/>
                <w:sz w:val="20"/>
                <w:szCs w:val="20"/>
              </w:rPr>
              <w:t>CFO British Dummy</w:t>
            </w:r>
          </w:p>
        </w:tc>
        <w:tc>
          <w:tcPr>
            <w:tcW w:w="774"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7,899</w:t>
            </w:r>
          </w:p>
        </w:tc>
        <w:tc>
          <w:tcPr>
            <w:tcW w:w="993"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0.9253</w:t>
            </w:r>
          </w:p>
        </w:tc>
        <w:tc>
          <w:tcPr>
            <w:tcW w:w="1104"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0.2629</w:t>
            </w:r>
          </w:p>
        </w:tc>
        <w:tc>
          <w:tcPr>
            <w:tcW w:w="1417"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1.0000</w:t>
            </w:r>
          </w:p>
        </w:tc>
        <w:tc>
          <w:tcPr>
            <w:tcW w:w="1417"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1.0000</w:t>
            </w:r>
          </w:p>
        </w:tc>
        <w:tc>
          <w:tcPr>
            <w:tcW w:w="1417"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1.0000</w:t>
            </w:r>
          </w:p>
        </w:tc>
      </w:tr>
      <w:tr w:rsidR="00583BD3" w:rsidRPr="00501310" w:rsidTr="000727E8">
        <w:trPr>
          <w:trHeight w:val="315"/>
          <w:jc w:val="center"/>
        </w:trPr>
        <w:tc>
          <w:tcPr>
            <w:tcW w:w="3515" w:type="dxa"/>
            <w:tcBorders>
              <w:top w:val="nil"/>
              <w:left w:val="nil"/>
              <w:bottom w:val="nil"/>
              <w:right w:val="nil"/>
            </w:tcBorders>
            <w:shd w:val="clear" w:color="auto" w:fill="auto"/>
            <w:noWrap/>
            <w:vAlign w:val="bottom"/>
            <w:hideMark/>
          </w:tcPr>
          <w:p w:rsidR="00583BD3" w:rsidRPr="00501310" w:rsidRDefault="00583BD3" w:rsidP="000727E8">
            <w:pPr>
              <w:ind w:firstLineChars="200" w:firstLine="400"/>
              <w:rPr>
                <w:rFonts w:ascii="Garamond" w:hAnsi="Garamond" w:cs="Calibri"/>
                <w:color w:val="000000"/>
                <w:sz w:val="20"/>
                <w:szCs w:val="20"/>
              </w:rPr>
            </w:pPr>
            <w:proofErr w:type="spellStart"/>
            <w:r w:rsidRPr="00501310">
              <w:rPr>
                <w:rFonts w:ascii="Garamond" w:hAnsi="Garamond" w:cs="Calibri"/>
                <w:color w:val="000000"/>
                <w:sz w:val="20"/>
                <w:szCs w:val="20"/>
              </w:rPr>
              <w:t>Ln</w:t>
            </w:r>
            <w:proofErr w:type="spellEnd"/>
            <w:r w:rsidRPr="00501310">
              <w:rPr>
                <w:rFonts w:ascii="Garamond" w:hAnsi="Garamond" w:cs="Calibri"/>
                <w:color w:val="000000"/>
                <w:sz w:val="20"/>
                <w:szCs w:val="20"/>
              </w:rPr>
              <w:t>(CFO tenure)</w:t>
            </w:r>
          </w:p>
        </w:tc>
        <w:tc>
          <w:tcPr>
            <w:tcW w:w="774"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7,899</w:t>
            </w:r>
          </w:p>
        </w:tc>
        <w:tc>
          <w:tcPr>
            <w:tcW w:w="993"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0.9519</w:t>
            </w:r>
          </w:p>
        </w:tc>
        <w:tc>
          <w:tcPr>
            <w:tcW w:w="1104"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1.1344</w:t>
            </w:r>
          </w:p>
        </w:tc>
        <w:tc>
          <w:tcPr>
            <w:tcW w:w="1417"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0.2624</w:t>
            </w:r>
          </w:p>
        </w:tc>
        <w:tc>
          <w:tcPr>
            <w:tcW w:w="1417"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1.0647</w:t>
            </w:r>
          </w:p>
        </w:tc>
        <w:tc>
          <w:tcPr>
            <w:tcW w:w="1417"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1.7918</w:t>
            </w:r>
          </w:p>
        </w:tc>
      </w:tr>
      <w:tr w:rsidR="00583BD3" w:rsidRPr="00501310" w:rsidTr="000727E8">
        <w:trPr>
          <w:trHeight w:val="315"/>
          <w:jc w:val="center"/>
        </w:trPr>
        <w:tc>
          <w:tcPr>
            <w:tcW w:w="3515" w:type="dxa"/>
            <w:tcBorders>
              <w:top w:val="nil"/>
              <w:left w:val="nil"/>
              <w:bottom w:val="nil"/>
              <w:right w:val="nil"/>
            </w:tcBorders>
            <w:shd w:val="clear" w:color="auto" w:fill="auto"/>
            <w:noWrap/>
            <w:vAlign w:val="bottom"/>
            <w:hideMark/>
          </w:tcPr>
          <w:p w:rsidR="00583BD3" w:rsidRPr="00501310" w:rsidRDefault="00583BD3" w:rsidP="000727E8">
            <w:pPr>
              <w:ind w:firstLineChars="200" w:firstLine="400"/>
              <w:rPr>
                <w:rFonts w:ascii="Garamond" w:hAnsi="Garamond" w:cs="Calibri"/>
                <w:color w:val="000000"/>
                <w:sz w:val="20"/>
                <w:szCs w:val="20"/>
              </w:rPr>
            </w:pPr>
            <w:proofErr w:type="spellStart"/>
            <w:r w:rsidRPr="00501310">
              <w:rPr>
                <w:rFonts w:ascii="Garamond" w:hAnsi="Garamond" w:cs="Calibri"/>
                <w:color w:val="000000"/>
                <w:sz w:val="20"/>
                <w:szCs w:val="20"/>
              </w:rPr>
              <w:t>Ln</w:t>
            </w:r>
            <w:proofErr w:type="spellEnd"/>
            <w:r w:rsidRPr="00501310">
              <w:rPr>
                <w:rFonts w:ascii="Garamond" w:hAnsi="Garamond" w:cs="Calibri"/>
                <w:color w:val="000000"/>
                <w:sz w:val="20"/>
                <w:szCs w:val="20"/>
              </w:rPr>
              <w:t>(CFO age)</w:t>
            </w:r>
          </w:p>
        </w:tc>
        <w:tc>
          <w:tcPr>
            <w:tcW w:w="774"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7,899</w:t>
            </w:r>
          </w:p>
        </w:tc>
        <w:tc>
          <w:tcPr>
            <w:tcW w:w="993"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3.8582</w:t>
            </w:r>
          </w:p>
        </w:tc>
        <w:tc>
          <w:tcPr>
            <w:tcW w:w="1104"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0.1435</w:t>
            </w:r>
          </w:p>
        </w:tc>
        <w:tc>
          <w:tcPr>
            <w:tcW w:w="1417"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3.7612</w:t>
            </w:r>
          </w:p>
        </w:tc>
        <w:tc>
          <w:tcPr>
            <w:tcW w:w="1417"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3.8712</w:t>
            </w:r>
          </w:p>
        </w:tc>
        <w:tc>
          <w:tcPr>
            <w:tcW w:w="1417"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3.9512</w:t>
            </w:r>
          </w:p>
        </w:tc>
      </w:tr>
      <w:tr w:rsidR="00583BD3" w:rsidRPr="00501310" w:rsidTr="000727E8">
        <w:trPr>
          <w:trHeight w:val="315"/>
          <w:jc w:val="center"/>
        </w:trPr>
        <w:tc>
          <w:tcPr>
            <w:tcW w:w="3515" w:type="dxa"/>
            <w:tcBorders>
              <w:top w:val="nil"/>
              <w:left w:val="nil"/>
              <w:bottom w:val="nil"/>
              <w:right w:val="nil"/>
            </w:tcBorders>
            <w:shd w:val="clear" w:color="auto" w:fill="auto"/>
            <w:noWrap/>
            <w:vAlign w:val="bottom"/>
            <w:hideMark/>
          </w:tcPr>
          <w:p w:rsidR="00583BD3" w:rsidRPr="00501310" w:rsidRDefault="00583BD3" w:rsidP="000727E8">
            <w:pPr>
              <w:ind w:firstLineChars="200" w:firstLine="400"/>
              <w:rPr>
                <w:rFonts w:ascii="Garamond" w:hAnsi="Garamond" w:cs="Calibri"/>
                <w:color w:val="000000"/>
                <w:sz w:val="20"/>
                <w:szCs w:val="20"/>
              </w:rPr>
            </w:pPr>
            <w:proofErr w:type="spellStart"/>
            <w:r w:rsidRPr="00501310">
              <w:rPr>
                <w:rFonts w:ascii="Garamond" w:hAnsi="Garamond" w:cs="Calibri"/>
                <w:color w:val="000000"/>
                <w:sz w:val="20"/>
                <w:szCs w:val="20"/>
              </w:rPr>
              <w:t>Ln</w:t>
            </w:r>
            <w:proofErr w:type="spellEnd"/>
            <w:r w:rsidRPr="00501310">
              <w:rPr>
                <w:rFonts w:ascii="Garamond" w:hAnsi="Garamond" w:cs="Calibri"/>
                <w:color w:val="000000"/>
                <w:sz w:val="20"/>
                <w:szCs w:val="20"/>
              </w:rPr>
              <w:t>(CFO network size)</w:t>
            </w:r>
          </w:p>
        </w:tc>
        <w:tc>
          <w:tcPr>
            <w:tcW w:w="774"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7,899</w:t>
            </w:r>
          </w:p>
        </w:tc>
        <w:tc>
          <w:tcPr>
            <w:tcW w:w="993"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6.4088</w:t>
            </w:r>
          </w:p>
        </w:tc>
        <w:tc>
          <w:tcPr>
            <w:tcW w:w="1104"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1.7193</w:t>
            </w:r>
          </w:p>
        </w:tc>
        <w:tc>
          <w:tcPr>
            <w:tcW w:w="1417"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5.2149</w:t>
            </w:r>
          </w:p>
        </w:tc>
        <w:tc>
          <w:tcPr>
            <w:tcW w:w="1417"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6.8533</w:t>
            </w:r>
          </w:p>
        </w:tc>
        <w:tc>
          <w:tcPr>
            <w:tcW w:w="1417" w:type="dxa"/>
            <w:tcBorders>
              <w:top w:val="nil"/>
              <w:left w:val="nil"/>
              <w:bottom w:val="nil"/>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7.6797</w:t>
            </w:r>
          </w:p>
        </w:tc>
      </w:tr>
      <w:tr w:rsidR="00583BD3" w:rsidRPr="00501310" w:rsidTr="000727E8">
        <w:trPr>
          <w:trHeight w:val="315"/>
          <w:jc w:val="center"/>
        </w:trPr>
        <w:tc>
          <w:tcPr>
            <w:tcW w:w="3515" w:type="dxa"/>
            <w:tcBorders>
              <w:top w:val="nil"/>
              <w:left w:val="nil"/>
              <w:bottom w:val="single" w:sz="4" w:space="0" w:color="auto"/>
              <w:right w:val="nil"/>
            </w:tcBorders>
            <w:shd w:val="clear" w:color="auto" w:fill="auto"/>
            <w:noWrap/>
            <w:vAlign w:val="bottom"/>
            <w:hideMark/>
          </w:tcPr>
          <w:p w:rsidR="00583BD3" w:rsidRPr="00501310" w:rsidRDefault="00583BD3" w:rsidP="000727E8">
            <w:pPr>
              <w:ind w:firstLineChars="200" w:firstLine="400"/>
              <w:rPr>
                <w:rFonts w:ascii="Garamond" w:hAnsi="Garamond" w:cs="Calibri"/>
                <w:color w:val="000000"/>
                <w:sz w:val="20"/>
                <w:szCs w:val="20"/>
              </w:rPr>
            </w:pPr>
            <w:proofErr w:type="spellStart"/>
            <w:r w:rsidRPr="00501310">
              <w:rPr>
                <w:rFonts w:ascii="Garamond" w:hAnsi="Garamond" w:cs="Calibri"/>
                <w:color w:val="000000"/>
                <w:sz w:val="20"/>
                <w:szCs w:val="20"/>
              </w:rPr>
              <w:t>Ln</w:t>
            </w:r>
            <w:proofErr w:type="spellEnd"/>
            <w:r w:rsidRPr="00501310">
              <w:rPr>
                <w:rFonts w:ascii="Garamond" w:hAnsi="Garamond" w:cs="Calibri"/>
                <w:color w:val="000000"/>
                <w:sz w:val="20"/>
                <w:szCs w:val="20"/>
              </w:rPr>
              <w:t>(CFO total compensation)</w:t>
            </w:r>
          </w:p>
        </w:tc>
        <w:tc>
          <w:tcPr>
            <w:tcW w:w="774" w:type="dxa"/>
            <w:tcBorders>
              <w:top w:val="nil"/>
              <w:left w:val="nil"/>
              <w:bottom w:val="single" w:sz="4" w:space="0" w:color="auto"/>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7,899</w:t>
            </w:r>
          </w:p>
        </w:tc>
        <w:tc>
          <w:tcPr>
            <w:tcW w:w="993" w:type="dxa"/>
            <w:tcBorders>
              <w:top w:val="nil"/>
              <w:left w:val="nil"/>
              <w:bottom w:val="single" w:sz="4" w:space="0" w:color="auto"/>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5.9093</w:t>
            </w:r>
          </w:p>
        </w:tc>
        <w:tc>
          <w:tcPr>
            <w:tcW w:w="1104" w:type="dxa"/>
            <w:tcBorders>
              <w:top w:val="nil"/>
              <w:left w:val="nil"/>
              <w:bottom w:val="single" w:sz="4" w:space="0" w:color="auto"/>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1.1491</w:t>
            </w:r>
          </w:p>
        </w:tc>
        <w:tc>
          <w:tcPr>
            <w:tcW w:w="1417" w:type="dxa"/>
            <w:tcBorders>
              <w:top w:val="nil"/>
              <w:left w:val="nil"/>
              <w:bottom w:val="single" w:sz="4" w:space="0" w:color="auto"/>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5.1417</w:t>
            </w:r>
          </w:p>
        </w:tc>
        <w:tc>
          <w:tcPr>
            <w:tcW w:w="1417" w:type="dxa"/>
            <w:tcBorders>
              <w:top w:val="nil"/>
              <w:left w:val="nil"/>
              <w:bottom w:val="single" w:sz="4" w:space="0" w:color="auto"/>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5.9054</w:t>
            </w:r>
          </w:p>
        </w:tc>
        <w:tc>
          <w:tcPr>
            <w:tcW w:w="1417" w:type="dxa"/>
            <w:tcBorders>
              <w:top w:val="nil"/>
              <w:left w:val="nil"/>
              <w:bottom w:val="single" w:sz="4" w:space="0" w:color="auto"/>
              <w:right w:val="nil"/>
            </w:tcBorders>
            <w:shd w:val="clear" w:color="auto" w:fill="auto"/>
            <w:noWrap/>
            <w:vAlign w:val="bottom"/>
            <w:hideMark/>
          </w:tcPr>
          <w:p w:rsidR="00583BD3" w:rsidRPr="00501310" w:rsidRDefault="00583BD3" w:rsidP="000727E8">
            <w:pPr>
              <w:jc w:val="right"/>
              <w:rPr>
                <w:rFonts w:ascii="Garamond" w:hAnsi="Garamond" w:cs="Calibri"/>
                <w:color w:val="000000"/>
                <w:sz w:val="20"/>
                <w:szCs w:val="20"/>
              </w:rPr>
            </w:pPr>
            <w:r w:rsidRPr="00501310">
              <w:rPr>
                <w:rFonts w:ascii="Garamond" w:hAnsi="Garamond" w:cs="Calibri"/>
                <w:color w:val="000000"/>
                <w:sz w:val="20"/>
                <w:szCs w:val="20"/>
              </w:rPr>
              <w:t>6.6983</w:t>
            </w:r>
          </w:p>
        </w:tc>
      </w:tr>
    </w:tbl>
    <w:p w:rsidR="00583BD3" w:rsidRDefault="00583BD3" w:rsidP="00583BD3">
      <w:pPr>
        <w:jc w:val="both"/>
        <w:rPr>
          <w:rFonts w:ascii="Garamond" w:hAnsi="Garamond"/>
          <w:sz w:val="20"/>
          <w:szCs w:val="20"/>
        </w:rPr>
      </w:pPr>
    </w:p>
    <w:p w:rsidR="00583BD3" w:rsidRDefault="00583BD3" w:rsidP="00583BD3">
      <w:pPr>
        <w:jc w:val="both"/>
        <w:sectPr w:rsidR="00583BD3">
          <w:pgSz w:w="11906" w:h="16838"/>
          <w:pgMar w:top="1440" w:right="1440" w:bottom="1440" w:left="1440" w:header="708" w:footer="708" w:gutter="0"/>
          <w:cols w:space="708"/>
          <w:docGrid w:linePitch="360"/>
        </w:sectPr>
      </w:pPr>
    </w:p>
    <w:p w:rsidR="00583BD3" w:rsidRPr="00DD7BBD" w:rsidRDefault="00583BD3" w:rsidP="00583BD3">
      <w:pPr>
        <w:jc w:val="both"/>
        <w:rPr>
          <w:rFonts w:ascii="Garamond" w:hAnsi="Garamond"/>
          <w:b/>
          <w:bCs/>
          <w:sz w:val="20"/>
          <w:szCs w:val="20"/>
        </w:rPr>
      </w:pPr>
      <w:r w:rsidRPr="00DD7BBD">
        <w:rPr>
          <w:rFonts w:ascii="Garamond" w:hAnsi="Garamond"/>
          <w:b/>
          <w:bCs/>
          <w:sz w:val="20"/>
          <w:szCs w:val="20"/>
        </w:rPr>
        <w:lastRenderedPageBreak/>
        <w:t xml:space="preserve">Table 4: Female CFO </w:t>
      </w:r>
      <w:proofErr w:type="gramStart"/>
      <w:r w:rsidRPr="00DD7BBD">
        <w:rPr>
          <w:rFonts w:ascii="Garamond" w:hAnsi="Garamond"/>
          <w:b/>
          <w:bCs/>
          <w:sz w:val="20"/>
          <w:szCs w:val="20"/>
        </w:rPr>
        <w:t>effect</w:t>
      </w:r>
      <w:proofErr w:type="gramEnd"/>
      <w:r w:rsidRPr="00DD7BBD">
        <w:rPr>
          <w:rFonts w:ascii="Garamond" w:hAnsi="Garamond"/>
          <w:b/>
          <w:bCs/>
          <w:sz w:val="20"/>
          <w:szCs w:val="20"/>
        </w:rPr>
        <w:t xml:space="preserve"> on leverage.  </w:t>
      </w:r>
    </w:p>
    <w:p w:rsidR="00583BD3" w:rsidRPr="00D46E79" w:rsidRDefault="00583BD3" w:rsidP="00583BD3">
      <w:pPr>
        <w:jc w:val="both"/>
        <w:rPr>
          <w:rFonts w:ascii="Garamond" w:hAnsi="Garamond"/>
          <w:sz w:val="20"/>
          <w:szCs w:val="20"/>
        </w:rPr>
      </w:pPr>
      <w:r w:rsidRPr="00DD7BBD">
        <w:rPr>
          <w:rFonts w:ascii="Garamond" w:hAnsi="Garamond"/>
          <w:sz w:val="20"/>
          <w:szCs w:val="20"/>
        </w:rPr>
        <w:t xml:space="preserve">This table presents the regression results for female CFO and </w:t>
      </w:r>
      <w:r>
        <w:rPr>
          <w:rFonts w:ascii="Garamond" w:hAnsi="Garamond"/>
          <w:sz w:val="20"/>
          <w:szCs w:val="20"/>
        </w:rPr>
        <w:t>leverage for</w:t>
      </w:r>
      <w:r w:rsidRPr="00DD7BBD">
        <w:rPr>
          <w:rFonts w:ascii="Garamond" w:hAnsi="Garamond"/>
          <w:sz w:val="20"/>
          <w:szCs w:val="20"/>
        </w:rPr>
        <w:t xml:space="preserve"> publicly listed firms from 1999 to 2017. Variable definitions are provided in the appendix. </w:t>
      </w:r>
      <w:proofErr w:type="gramStart"/>
      <w:r w:rsidRPr="001C1734">
        <w:rPr>
          <w:rFonts w:ascii="Garamond" w:hAnsi="Garamond"/>
          <w:i/>
          <w:sz w:val="20"/>
          <w:szCs w:val="20"/>
        </w:rPr>
        <w:t>t</w:t>
      </w:r>
      <w:r w:rsidRPr="00DD7BBD">
        <w:rPr>
          <w:rFonts w:ascii="Garamond" w:hAnsi="Garamond"/>
          <w:sz w:val="20"/>
          <w:szCs w:val="20"/>
        </w:rPr>
        <w:t>-statistics</w:t>
      </w:r>
      <w:proofErr w:type="gramEnd"/>
      <w:r w:rsidRPr="00DD7BBD">
        <w:rPr>
          <w:rFonts w:ascii="Garamond" w:hAnsi="Garamond"/>
          <w:sz w:val="20"/>
          <w:szCs w:val="20"/>
        </w:rPr>
        <w:t xml:space="preserve"> are reported in parentheses and ***, ** and * indicate significance at the 1%, 5% and 10% level respectively. Standard errors are clustered at firm level. </w:t>
      </w:r>
    </w:p>
    <w:tbl>
      <w:tblPr>
        <w:tblW w:w="0" w:type="auto"/>
        <w:jc w:val="center"/>
        <w:tblBorders>
          <w:top w:val="single" w:sz="4" w:space="0" w:color="auto"/>
          <w:bottom w:val="single" w:sz="4" w:space="0" w:color="auto"/>
        </w:tblBorders>
        <w:tblLook w:val="04A0"/>
      </w:tblPr>
      <w:tblGrid>
        <w:gridCol w:w="2609"/>
        <w:gridCol w:w="1056"/>
        <w:gridCol w:w="1056"/>
        <w:gridCol w:w="1056"/>
        <w:gridCol w:w="1056"/>
        <w:gridCol w:w="1056"/>
        <w:gridCol w:w="1056"/>
      </w:tblGrid>
      <w:tr w:rsidR="00583BD3" w:rsidRPr="00D46E79" w:rsidTr="000727E8">
        <w:trPr>
          <w:trHeight w:hRule="exact" w:val="255"/>
          <w:jc w:val="center"/>
        </w:trPr>
        <w:tc>
          <w:tcPr>
            <w:tcW w:w="0" w:type="auto"/>
            <w:tcBorders>
              <w:top w:val="single" w:sz="4" w:space="0" w:color="auto"/>
              <w:bottom w:val="single" w:sz="4" w:space="0" w:color="auto"/>
            </w:tcBorders>
            <w:shd w:val="clear" w:color="auto" w:fill="auto"/>
            <w:noWrap/>
            <w:hideMark/>
          </w:tcPr>
          <w:p w:rsidR="00583BD3" w:rsidRPr="00D46E79" w:rsidRDefault="00583BD3" w:rsidP="000727E8">
            <w:pPr>
              <w:jc w:val="center"/>
              <w:rPr>
                <w:rFonts w:ascii="Garamond" w:hAnsi="Garamond"/>
                <w:sz w:val="20"/>
                <w:szCs w:val="20"/>
              </w:rPr>
            </w:pPr>
          </w:p>
        </w:tc>
        <w:tc>
          <w:tcPr>
            <w:tcW w:w="0" w:type="auto"/>
            <w:tcBorders>
              <w:top w:val="single" w:sz="4" w:space="0" w:color="auto"/>
              <w:bottom w:val="single" w:sz="4" w:space="0" w:color="auto"/>
            </w:tcBorders>
            <w:shd w:val="clear" w:color="auto" w:fill="auto"/>
            <w:noWrap/>
            <w:hideMark/>
          </w:tcPr>
          <w:p w:rsidR="00583BD3" w:rsidRPr="00D46E79" w:rsidRDefault="00583BD3" w:rsidP="000727E8">
            <w:pPr>
              <w:jc w:val="center"/>
              <w:rPr>
                <w:rFonts w:ascii="Garamond" w:hAnsi="Garamond" w:cs="Calibri"/>
                <w:color w:val="000000"/>
                <w:sz w:val="20"/>
                <w:szCs w:val="20"/>
              </w:rPr>
            </w:pPr>
            <w:r>
              <w:rPr>
                <w:rFonts w:ascii="Garamond" w:hAnsi="Garamond" w:cs="Calibri"/>
                <w:color w:val="000000"/>
                <w:sz w:val="20"/>
                <w:szCs w:val="20"/>
              </w:rPr>
              <w:t>(</w:t>
            </w:r>
            <w:r w:rsidRPr="00D46E79">
              <w:rPr>
                <w:rFonts w:ascii="Garamond" w:hAnsi="Garamond" w:cs="Calibri"/>
                <w:color w:val="000000"/>
                <w:sz w:val="20"/>
                <w:szCs w:val="20"/>
              </w:rPr>
              <w:t>1</w:t>
            </w:r>
            <w:r>
              <w:rPr>
                <w:rFonts w:ascii="Garamond" w:hAnsi="Garamond" w:cs="Calibri"/>
                <w:color w:val="000000"/>
                <w:sz w:val="20"/>
                <w:szCs w:val="20"/>
              </w:rPr>
              <w:t>)</w:t>
            </w:r>
          </w:p>
        </w:tc>
        <w:tc>
          <w:tcPr>
            <w:tcW w:w="0" w:type="auto"/>
            <w:tcBorders>
              <w:top w:val="single" w:sz="4" w:space="0" w:color="auto"/>
              <w:bottom w:val="single" w:sz="4" w:space="0" w:color="auto"/>
            </w:tcBorders>
            <w:shd w:val="clear" w:color="auto" w:fill="auto"/>
            <w:noWrap/>
            <w:hideMark/>
          </w:tcPr>
          <w:p w:rsidR="00583BD3" w:rsidRPr="00D46E79" w:rsidRDefault="00583BD3" w:rsidP="000727E8">
            <w:pPr>
              <w:jc w:val="center"/>
              <w:rPr>
                <w:rFonts w:ascii="Garamond" w:hAnsi="Garamond" w:cs="Calibri"/>
                <w:color w:val="000000"/>
                <w:sz w:val="20"/>
                <w:szCs w:val="20"/>
              </w:rPr>
            </w:pPr>
            <w:r>
              <w:rPr>
                <w:rFonts w:ascii="Garamond" w:hAnsi="Garamond" w:cs="Calibri"/>
                <w:color w:val="000000"/>
                <w:sz w:val="20"/>
                <w:szCs w:val="20"/>
              </w:rPr>
              <w:t>(</w:t>
            </w:r>
            <w:r w:rsidRPr="00D46E79">
              <w:rPr>
                <w:rFonts w:ascii="Garamond" w:hAnsi="Garamond" w:cs="Calibri"/>
                <w:color w:val="000000"/>
                <w:sz w:val="20"/>
                <w:szCs w:val="20"/>
              </w:rPr>
              <w:t>2</w:t>
            </w:r>
            <w:r>
              <w:rPr>
                <w:rFonts w:ascii="Garamond" w:hAnsi="Garamond" w:cs="Calibri"/>
                <w:color w:val="000000"/>
                <w:sz w:val="20"/>
                <w:szCs w:val="20"/>
              </w:rPr>
              <w:t>)</w:t>
            </w:r>
          </w:p>
        </w:tc>
        <w:tc>
          <w:tcPr>
            <w:tcW w:w="0" w:type="auto"/>
            <w:tcBorders>
              <w:top w:val="single" w:sz="4" w:space="0" w:color="auto"/>
              <w:bottom w:val="single" w:sz="4" w:space="0" w:color="auto"/>
            </w:tcBorders>
            <w:shd w:val="clear" w:color="auto" w:fill="auto"/>
            <w:noWrap/>
            <w:hideMark/>
          </w:tcPr>
          <w:p w:rsidR="00583BD3" w:rsidRPr="00D46E79" w:rsidRDefault="00583BD3" w:rsidP="000727E8">
            <w:pPr>
              <w:jc w:val="center"/>
              <w:rPr>
                <w:rFonts w:ascii="Garamond" w:hAnsi="Garamond" w:cs="Calibri"/>
                <w:color w:val="000000"/>
                <w:sz w:val="20"/>
                <w:szCs w:val="20"/>
              </w:rPr>
            </w:pPr>
            <w:r>
              <w:rPr>
                <w:rFonts w:ascii="Garamond" w:hAnsi="Garamond" w:cs="Calibri"/>
                <w:color w:val="000000"/>
                <w:sz w:val="20"/>
                <w:szCs w:val="20"/>
              </w:rPr>
              <w:t>(3)</w:t>
            </w:r>
          </w:p>
        </w:tc>
        <w:tc>
          <w:tcPr>
            <w:tcW w:w="0" w:type="auto"/>
            <w:tcBorders>
              <w:top w:val="single" w:sz="4" w:space="0" w:color="auto"/>
              <w:bottom w:val="single" w:sz="4" w:space="0" w:color="auto"/>
            </w:tcBorders>
            <w:shd w:val="clear" w:color="auto" w:fill="auto"/>
            <w:noWrap/>
            <w:hideMark/>
          </w:tcPr>
          <w:p w:rsidR="00583BD3" w:rsidRPr="00D46E79" w:rsidRDefault="00583BD3" w:rsidP="000727E8">
            <w:pPr>
              <w:jc w:val="center"/>
              <w:rPr>
                <w:rFonts w:ascii="Garamond" w:hAnsi="Garamond" w:cs="Calibri"/>
                <w:color w:val="000000"/>
                <w:sz w:val="20"/>
                <w:szCs w:val="20"/>
              </w:rPr>
            </w:pPr>
            <w:r>
              <w:rPr>
                <w:rFonts w:ascii="Garamond" w:hAnsi="Garamond" w:cs="Calibri"/>
                <w:color w:val="000000"/>
                <w:sz w:val="20"/>
                <w:szCs w:val="20"/>
              </w:rPr>
              <w:t>(4)</w:t>
            </w:r>
          </w:p>
        </w:tc>
        <w:tc>
          <w:tcPr>
            <w:tcW w:w="0" w:type="auto"/>
            <w:tcBorders>
              <w:top w:val="single" w:sz="4" w:space="0" w:color="auto"/>
              <w:bottom w:val="single" w:sz="4" w:space="0" w:color="auto"/>
            </w:tcBorders>
            <w:shd w:val="clear" w:color="auto" w:fill="auto"/>
            <w:noWrap/>
            <w:hideMark/>
          </w:tcPr>
          <w:p w:rsidR="00583BD3" w:rsidRPr="00D46E79" w:rsidRDefault="00583BD3" w:rsidP="000727E8">
            <w:pPr>
              <w:jc w:val="center"/>
              <w:rPr>
                <w:rFonts w:ascii="Garamond" w:hAnsi="Garamond" w:cs="Calibri"/>
                <w:color w:val="000000"/>
                <w:sz w:val="20"/>
                <w:szCs w:val="20"/>
              </w:rPr>
            </w:pPr>
            <w:r>
              <w:rPr>
                <w:rFonts w:ascii="Garamond" w:hAnsi="Garamond" w:cs="Calibri"/>
                <w:color w:val="000000"/>
                <w:sz w:val="20"/>
                <w:szCs w:val="20"/>
              </w:rPr>
              <w:t>(5)</w:t>
            </w:r>
          </w:p>
        </w:tc>
        <w:tc>
          <w:tcPr>
            <w:tcW w:w="0" w:type="auto"/>
            <w:tcBorders>
              <w:top w:val="single" w:sz="4" w:space="0" w:color="auto"/>
              <w:bottom w:val="single" w:sz="4" w:space="0" w:color="auto"/>
            </w:tcBorders>
            <w:shd w:val="clear" w:color="auto" w:fill="auto"/>
            <w:noWrap/>
            <w:hideMark/>
          </w:tcPr>
          <w:p w:rsidR="00583BD3" w:rsidRPr="00D46E79" w:rsidRDefault="00583BD3" w:rsidP="000727E8">
            <w:pPr>
              <w:jc w:val="center"/>
              <w:rPr>
                <w:rFonts w:ascii="Garamond" w:hAnsi="Garamond" w:cs="Calibri"/>
                <w:color w:val="000000"/>
                <w:sz w:val="20"/>
                <w:szCs w:val="20"/>
              </w:rPr>
            </w:pPr>
            <w:r>
              <w:rPr>
                <w:rFonts w:ascii="Garamond" w:hAnsi="Garamond" w:cs="Calibri"/>
                <w:color w:val="000000"/>
                <w:sz w:val="20"/>
                <w:szCs w:val="20"/>
              </w:rPr>
              <w:t>(6)</w:t>
            </w:r>
          </w:p>
        </w:tc>
      </w:tr>
      <w:tr w:rsidR="00583BD3" w:rsidRPr="00B96787" w:rsidTr="000727E8">
        <w:trPr>
          <w:trHeight w:hRule="exact" w:val="255"/>
          <w:jc w:val="center"/>
        </w:trPr>
        <w:tc>
          <w:tcPr>
            <w:tcW w:w="0" w:type="auto"/>
            <w:tcBorders>
              <w:top w:val="single" w:sz="4" w:space="0" w:color="auto"/>
            </w:tcBorders>
            <w:shd w:val="clear" w:color="auto" w:fill="auto"/>
            <w:noWrap/>
            <w:hideMark/>
          </w:tcPr>
          <w:p w:rsidR="00583BD3" w:rsidRPr="0062470B" w:rsidRDefault="00583BD3" w:rsidP="000727E8">
            <w:pPr>
              <w:jc w:val="center"/>
              <w:rPr>
                <w:rFonts w:ascii="Garamond" w:hAnsi="Garamond" w:cs="Calibri"/>
                <w:color w:val="FF0000"/>
                <w:sz w:val="18"/>
                <w:szCs w:val="18"/>
                <w:vertAlign w:val="subscript"/>
              </w:rPr>
            </w:pPr>
            <w:r w:rsidRPr="00B96787">
              <w:rPr>
                <w:rFonts w:ascii="Garamond" w:hAnsi="Garamond" w:cs="Calibri"/>
                <w:color w:val="000000" w:themeColor="text1"/>
                <w:sz w:val="20"/>
                <w:szCs w:val="20"/>
              </w:rPr>
              <w:t>CFO Female Dummy</w:t>
            </w:r>
            <w:r w:rsidRPr="0062470B">
              <w:rPr>
                <w:rFonts w:ascii="Garamond" w:hAnsi="Garamond" w:cs="Calibri"/>
                <w:color w:val="000000"/>
                <w:sz w:val="18"/>
                <w:szCs w:val="18"/>
                <w:vertAlign w:val="subscript"/>
              </w:rPr>
              <w:t>t-1</w:t>
            </w:r>
          </w:p>
        </w:tc>
        <w:tc>
          <w:tcPr>
            <w:tcW w:w="0" w:type="auto"/>
            <w:tcBorders>
              <w:top w:val="single" w:sz="4" w:space="0" w:color="auto"/>
            </w:tcBorders>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-0.0416**</w:t>
            </w:r>
          </w:p>
        </w:tc>
        <w:tc>
          <w:tcPr>
            <w:tcW w:w="0" w:type="auto"/>
            <w:tcBorders>
              <w:top w:val="single" w:sz="4" w:space="0" w:color="auto"/>
            </w:tcBorders>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-0.0415**</w:t>
            </w:r>
          </w:p>
        </w:tc>
        <w:tc>
          <w:tcPr>
            <w:tcW w:w="0" w:type="auto"/>
            <w:tcBorders>
              <w:top w:val="single" w:sz="4" w:space="0" w:color="auto"/>
            </w:tcBorders>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-0.0418**</w:t>
            </w:r>
          </w:p>
        </w:tc>
        <w:tc>
          <w:tcPr>
            <w:tcW w:w="0" w:type="auto"/>
            <w:tcBorders>
              <w:top w:val="single" w:sz="4" w:space="0" w:color="auto"/>
            </w:tcBorders>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-0.0416**</w:t>
            </w:r>
          </w:p>
        </w:tc>
        <w:tc>
          <w:tcPr>
            <w:tcW w:w="0" w:type="auto"/>
            <w:tcBorders>
              <w:top w:val="single" w:sz="4" w:space="0" w:color="auto"/>
            </w:tcBorders>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-0.0417**</w:t>
            </w:r>
          </w:p>
        </w:tc>
        <w:tc>
          <w:tcPr>
            <w:tcW w:w="0" w:type="auto"/>
            <w:tcBorders>
              <w:top w:val="single" w:sz="4" w:space="0" w:color="auto"/>
            </w:tcBorders>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-0.0443**</w:t>
            </w:r>
          </w:p>
        </w:tc>
      </w:tr>
      <w:tr w:rsidR="00583BD3" w:rsidRPr="00B96787" w:rsidTr="000727E8">
        <w:trPr>
          <w:trHeight w:hRule="exact" w:val="255"/>
          <w:jc w:val="center"/>
        </w:trPr>
        <w:tc>
          <w:tcPr>
            <w:tcW w:w="0" w:type="auto"/>
            <w:shd w:val="clear" w:color="auto" w:fill="auto"/>
            <w:noWrap/>
            <w:hideMark/>
          </w:tcPr>
          <w:p w:rsidR="00583BD3" w:rsidRPr="00D14B9E" w:rsidRDefault="00583BD3" w:rsidP="000727E8">
            <w:pPr>
              <w:jc w:val="center"/>
              <w:rPr>
                <w:rFonts w:ascii="Garamond" w:hAnsi="Garamond" w:cs="Calibri"/>
                <w:color w:val="000000"/>
                <w:sz w:val="18"/>
                <w:szCs w:val="18"/>
              </w:rPr>
            </w:pP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(-2.49)</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(-2.50)</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(-2.49)</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(-2.48)</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(-2.50)</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(-2.57)</w:t>
            </w:r>
          </w:p>
        </w:tc>
      </w:tr>
      <w:tr w:rsidR="00583BD3" w:rsidRPr="00B96787" w:rsidTr="000727E8">
        <w:trPr>
          <w:trHeight w:hRule="exact" w:val="255"/>
          <w:jc w:val="center"/>
        </w:trPr>
        <w:tc>
          <w:tcPr>
            <w:tcW w:w="0" w:type="auto"/>
            <w:shd w:val="clear" w:color="auto" w:fill="auto"/>
            <w:noWrap/>
            <w:hideMark/>
          </w:tcPr>
          <w:p w:rsidR="00583BD3" w:rsidRPr="00905DE4" w:rsidRDefault="00583BD3" w:rsidP="000727E8">
            <w:pPr>
              <w:jc w:val="center"/>
              <w:rPr>
                <w:rFonts w:ascii="Garamond" w:hAnsi="Garamond" w:cs="Calibri"/>
                <w:color w:val="000000" w:themeColor="text1"/>
                <w:sz w:val="20"/>
                <w:szCs w:val="20"/>
              </w:rPr>
            </w:pPr>
            <w:r>
              <w:rPr>
                <w:rFonts w:ascii="Garamond" w:hAnsi="Garamond" w:cs="Calibri"/>
                <w:color w:val="000000" w:themeColor="text1"/>
                <w:sz w:val="20"/>
                <w:szCs w:val="20"/>
              </w:rPr>
              <w:t>Board Gender Diversity</w:t>
            </w:r>
            <w:r>
              <w:rPr>
                <w:rFonts w:ascii="Garamond" w:hAnsi="Garamond" w:cs="Calibri"/>
                <w:color w:val="000000"/>
                <w:sz w:val="18"/>
                <w:szCs w:val="18"/>
                <w:vertAlign w:val="subscript"/>
              </w:rPr>
              <w:t>t-1</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0.0462</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0.0445</w:t>
            </w:r>
          </w:p>
        </w:tc>
        <w:tc>
          <w:tcPr>
            <w:tcW w:w="0" w:type="auto"/>
            <w:shd w:val="clear" w:color="auto" w:fill="auto"/>
            <w:noWrap/>
            <w:vAlign w:val="center"/>
            <w:hideMark/>
          </w:tcPr>
          <w:p w:rsidR="00583BD3" w:rsidRPr="00B96787" w:rsidRDefault="00583BD3" w:rsidP="000727E8">
            <w:pPr>
              <w:jc w:val="center"/>
              <w:rPr>
                <w:rFonts w:ascii="Garamond" w:hAnsi="Garamond" w:cs="Calibri"/>
                <w:color w:val="FF0000"/>
                <w:sz w:val="20"/>
                <w:szCs w:val="20"/>
              </w:rPr>
            </w:pPr>
          </w:p>
        </w:tc>
      </w:tr>
      <w:tr w:rsidR="00583BD3" w:rsidRPr="00B96787" w:rsidTr="000727E8">
        <w:trPr>
          <w:trHeight w:hRule="exact" w:val="255"/>
          <w:jc w:val="center"/>
        </w:trPr>
        <w:tc>
          <w:tcPr>
            <w:tcW w:w="0" w:type="auto"/>
            <w:shd w:val="clear" w:color="auto" w:fill="auto"/>
            <w:noWrap/>
            <w:hideMark/>
          </w:tcPr>
          <w:p w:rsidR="00583BD3" w:rsidRPr="00905DE4" w:rsidRDefault="00583BD3" w:rsidP="000727E8">
            <w:pPr>
              <w:jc w:val="center"/>
              <w:rPr>
                <w:rFonts w:ascii="Garamond" w:hAnsi="Garamond" w:cs="Calibri"/>
                <w:color w:val="000000" w:themeColor="text1"/>
                <w:sz w:val="20"/>
                <w:szCs w:val="20"/>
              </w:rPr>
            </w:pP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(1.01)</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(0.98)</w:t>
            </w:r>
          </w:p>
        </w:tc>
        <w:tc>
          <w:tcPr>
            <w:tcW w:w="0" w:type="auto"/>
            <w:shd w:val="clear" w:color="auto" w:fill="auto"/>
            <w:noWrap/>
            <w:vAlign w:val="center"/>
            <w:hideMark/>
          </w:tcPr>
          <w:p w:rsidR="00583BD3" w:rsidRPr="00B96787" w:rsidRDefault="00583BD3" w:rsidP="000727E8">
            <w:pPr>
              <w:jc w:val="center"/>
              <w:rPr>
                <w:rFonts w:ascii="Garamond" w:hAnsi="Garamond" w:cs="Calibri"/>
                <w:color w:val="FF0000"/>
                <w:sz w:val="20"/>
                <w:szCs w:val="20"/>
              </w:rPr>
            </w:pPr>
          </w:p>
        </w:tc>
      </w:tr>
      <w:tr w:rsidR="00583BD3" w:rsidRPr="00B96787" w:rsidTr="000727E8">
        <w:trPr>
          <w:trHeight w:hRule="exact" w:val="255"/>
          <w:jc w:val="center"/>
        </w:trPr>
        <w:tc>
          <w:tcPr>
            <w:tcW w:w="0" w:type="auto"/>
            <w:shd w:val="clear" w:color="auto" w:fill="auto"/>
            <w:noWrap/>
            <w:hideMark/>
          </w:tcPr>
          <w:p w:rsidR="00583BD3" w:rsidRPr="00905DE4" w:rsidRDefault="00583BD3" w:rsidP="000727E8">
            <w:pPr>
              <w:jc w:val="center"/>
              <w:rPr>
                <w:rFonts w:ascii="Garamond" w:hAnsi="Garamond" w:cs="Calibri"/>
                <w:color w:val="000000" w:themeColor="text1"/>
                <w:sz w:val="20"/>
                <w:szCs w:val="20"/>
              </w:rPr>
            </w:pPr>
            <w:r>
              <w:rPr>
                <w:rFonts w:ascii="Garamond" w:hAnsi="Garamond" w:cs="Calibri"/>
                <w:color w:val="000000" w:themeColor="text1"/>
                <w:sz w:val="20"/>
                <w:szCs w:val="20"/>
              </w:rPr>
              <w:t>Board Nationality Diversity</w:t>
            </w:r>
            <w:r>
              <w:rPr>
                <w:rFonts w:ascii="Garamond" w:hAnsi="Garamond" w:cs="Calibri"/>
                <w:color w:val="000000"/>
                <w:sz w:val="18"/>
                <w:szCs w:val="18"/>
                <w:vertAlign w:val="subscript"/>
              </w:rPr>
              <w:t>t-1</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0.0178</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0.0153</w:t>
            </w:r>
          </w:p>
        </w:tc>
        <w:tc>
          <w:tcPr>
            <w:tcW w:w="0" w:type="auto"/>
            <w:shd w:val="clear" w:color="auto" w:fill="auto"/>
            <w:noWrap/>
            <w:vAlign w:val="center"/>
            <w:hideMark/>
          </w:tcPr>
          <w:p w:rsidR="00583BD3" w:rsidRPr="00B96787" w:rsidRDefault="00583BD3" w:rsidP="000727E8">
            <w:pPr>
              <w:jc w:val="center"/>
              <w:rPr>
                <w:rFonts w:ascii="Garamond" w:hAnsi="Garamond" w:cs="Calibri"/>
                <w:color w:val="FF0000"/>
                <w:sz w:val="20"/>
                <w:szCs w:val="20"/>
              </w:rPr>
            </w:pPr>
          </w:p>
        </w:tc>
      </w:tr>
      <w:tr w:rsidR="00583BD3" w:rsidRPr="00B96787" w:rsidTr="000727E8">
        <w:trPr>
          <w:trHeight w:hRule="exact" w:val="255"/>
          <w:jc w:val="center"/>
        </w:trPr>
        <w:tc>
          <w:tcPr>
            <w:tcW w:w="0" w:type="auto"/>
            <w:shd w:val="clear" w:color="auto" w:fill="auto"/>
            <w:noWrap/>
            <w:hideMark/>
          </w:tcPr>
          <w:p w:rsidR="00583BD3" w:rsidRPr="00905DE4" w:rsidRDefault="00583BD3" w:rsidP="000727E8">
            <w:pPr>
              <w:jc w:val="center"/>
              <w:rPr>
                <w:rFonts w:ascii="Garamond" w:hAnsi="Garamond" w:cs="Calibri"/>
                <w:color w:val="000000" w:themeColor="text1"/>
                <w:sz w:val="20"/>
                <w:szCs w:val="20"/>
              </w:rPr>
            </w:pP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(0.46)</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(0.40)</w:t>
            </w:r>
          </w:p>
        </w:tc>
        <w:tc>
          <w:tcPr>
            <w:tcW w:w="0" w:type="auto"/>
            <w:shd w:val="clear" w:color="auto" w:fill="auto"/>
            <w:noWrap/>
            <w:vAlign w:val="center"/>
            <w:hideMark/>
          </w:tcPr>
          <w:p w:rsidR="00583BD3" w:rsidRPr="00B96787" w:rsidRDefault="00583BD3" w:rsidP="000727E8">
            <w:pPr>
              <w:jc w:val="center"/>
              <w:rPr>
                <w:rFonts w:ascii="Garamond" w:hAnsi="Garamond" w:cs="Calibri"/>
                <w:color w:val="FF0000"/>
                <w:sz w:val="20"/>
                <w:szCs w:val="20"/>
              </w:rPr>
            </w:pPr>
          </w:p>
        </w:tc>
      </w:tr>
      <w:tr w:rsidR="00583BD3" w:rsidRPr="00B96787" w:rsidTr="000727E8">
        <w:trPr>
          <w:trHeight w:hRule="exact" w:val="255"/>
          <w:jc w:val="center"/>
        </w:trPr>
        <w:tc>
          <w:tcPr>
            <w:tcW w:w="0" w:type="auto"/>
            <w:shd w:val="clear" w:color="auto" w:fill="auto"/>
            <w:noWrap/>
            <w:hideMark/>
          </w:tcPr>
          <w:p w:rsidR="00583BD3" w:rsidRPr="00905DE4" w:rsidRDefault="00583BD3" w:rsidP="000727E8">
            <w:pPr>
              <w:jc w:val="center"/>
              <w:rPr>
                <w:rFonts w:ascii="Garamond" w:hAnsi="Garamond" w:cs="Calibri"/>
                <w:color w:val="000000" w:themeColor="text1"/>
                <w:sz w:val="20"/>
                <w:szCs w:val="20"/>
              </w:rPr>
            </w:pPr>
            <w:r w:rsidRPr="00905DE4">
              <w:rPr>
                <w:rFonts w:ascii="Garamond" w:hAnsi="Garamond" w:cs="Calibri"/>
                <w:color w:val="000000" w:themeColor="text1"/>
                <w:sz w:val="20"/>
                <w:szCs w:val="20"/>
              </w:rPr>
              <w:t>Board Age Diversity</w:t>
            </w:r>
            <w:r>
              <w:rPr>
                <w:rFonts w:ascii="Garamond" w:hAnsi="Garamond" w:cs="Calibri"/>
                <w:color w:val="000000"/>
                <w:sz w:val="18"/>
                <w:szCs w:val="18"/>
                <w:vertAlign w:val="subscript"/>
              </w:rPr>
              <w:t>t-1</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-0.00129</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-0.000850</w:t>
            </w:r>
          </w:p>
        </w:tc>
        <w:tc>
          <w:tcPr>
            <w:tcW w:w="0" w:type="auto"/>
            <w:shd w:val="clear" w:color="auto" w:fill="auto"/>
            <w:noWrap/>
            <w:vAlign w:val="center"/>
            <w:hideMark/>
          </w:tcPr>
          <w:p w:rsidR="00583BD3" w:rsidRPr="00B96787" w:rsidRDefault="00583BD3" w:rsidP="000727E8">
            <w:pPr>
              <w:jc w:val="center"/>
              <w:rPr>
                <w:rFonts w:ascii="Garamond" w:hAnsi="Garamond" w:cs="Calibri"/>
                <w:color w:val="FF0000"/>
                <w:sz w:val="20"/>
                <w:szCs w:val="20"/>
              </w:rPr>
            </w:pPr>
          </w:p>
        </w:tc>
      </w:tr>
      <w:tr w:rsidR="00583BD3" w:rsidRPr="00B96787" w:rsidTr="000727E8">
        <w:trPr>
          <w:trHeight w:hRule="exact" w:val="255"/>
          <w:jc w:val="center"/>
        </w:trPr>
        <w:tc>
          <w:tcPr>
            <w:tcW w:w="0" w:type="auto"/>
            <w:shd w:val="clear" w:color="auto" w:fill="auto"/>
            <w:noWrap/>
            <w:hideMark/>
          </w:tcPr>
          <w:p w:rsidR="00583BD3" w:rsidRPr="00905DE4" w:rsidRDefault="00583BD3" w:rsidP="000727E8">
            <w:pPr>
              <w:jc w:val="center"/>
              <w:rPr>
                <w:rFonts w:ascii="Garamond" w:hAnsi="Garamond" w:cs="Calibri"/>
                <w:color w:val="000000" w:themeColor="text1"/>
                <w:sz w:val="20"/>
                <w:szCs w:val="20"/>
              </w:rPr>
            </w:pP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(-0.09)</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(-0.06)</w:t>
            </w:r>
          </w:p>
        </w:tc>
        <w:tc>
          <w:tcPr>
            <w:tcW w:w="0" w:type="auto"/>
            <w:shd w:val="clear" w:color="auto" w:fill="auto"/>
            <w:noWrap/>
            <w:vAlign w:val="center"/>
            <w:hideMark/>
          </w:tcPr>
          <w:p w:rsidR="00583BD3" w:rsidRPr="00B96787" w:rsidRDefault="00583BD3" w:rsidP="000727E8">
            <w:pPr>
              <w:jc w:val="center"/>
              <w:rPr>
                <w:rFonts w:ascii="Garamond" w:hAnsi="Garamond" w:cs="Calibri"/>
                <w:color w:val="FF0000"/>
                <w:sz w:val="20"/>
                <w:szCs w:val="20"/>
              </w:rPr>
            </w:pPr>
          </w:p>
        </w:tc>
      </w:tr>
      <w:tr w:rsidR="00583BD3" w:rsidRPr="00B96787" w:rsidTr="000727E8">
        <w:trPr>
          <w:trHeight w:hRule="exact" w:val="255"/>
          <w:jc w:val="center"/>
        </w:trPr>
        <w:tc>
          <w:tcPr>
            <w:tcW w:w="0" w:type="auto"/>
            <w:shd w:val="clear" w:color="auto" w:fill="auto"/>
            <w:noWrap/>
            <w:hideMark/>
          </w:tcPr>
          <w:p w:rsidR="00583BD3" w:rsidRPr="00905DE4" w:rsidRDefault="00583BD3" w:rsidP="000727E8">
            <w:pPr>
              <w:jc w:val="center"/>
              <w:rPr>
                <w:rFonts w:ascii="Garamond" w:hAnsi="Garamond" w:cs="Calibri"/>
                <w:color w:val="000000" w:themeColor="text1"/>
                <w:sz w:val="20"/>
                <w:szCs w:val="20"/>
              </w:rPr>
            </w:pPr>
            <w:r w:rsidRPr="00905DE4">
              <w:rPr>
                <w:rFonts w:ascii="Garamond" w:hAnsi="Garamond" w:cs="Calibri"/>
                <w:color w:val="000000" w:themeColor="text1"/>
                <w:sz w:val="20"/>
                <w:szCs w:val="20"/>
              </w:rPr>
              <w:t>Board Aggregate Diversity</w:t>
            </w:r>
            <w:r>
              <w:rPr>
                <w:rFonts w:ascii="Garamond" w:hAnsi="Garamond" w:cs="Calibri"/>
                <w:color w:val="000000"/>
                <w:sz w:val="18"/>
                <w:szCs w:val="18"/>
                <w:vertAlign w:val="subscript"/>
              </w:rPr>
              <w:t>t-1</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0.00207</w:t>
            </w:r>
          </w:p>
        </w:tc>
      </w:tr>
      <w:tr w:rsidR="00583BD3" w:rsidRPr="00B96787" w:rsidTr="000727E8">
        <w:trPr>
          <w:trHeight w:hRule="exact" w:val="255"/>
          <w:jc w:val="center"/>
        </w:trPr>
        <w:tc>
          <w:tcPr>
            <w:tcW w:w="0" w:type="auto"/>
            <w:shd w:val="clear" w:color="auto" w:fill="auto"/>
            <w:noWrap/>
            <w:hideMark/>
          </w:tcPr>
          <w:p w:rsidR="00583BD3" w:rsidRPr="00D14B9E" w:rsidRDefault="00583BD3" w:rsidP="000727E8">
            <w:pPr>
              <w:jc w:val="center"/>
              <w:rPr>
                <w:rFonts w:ascii="Garamond" w:hAnsi="Garamond" w:cs="Calibri"/>
                <w:color w:val="000000"/>
                <w:sz w:val="18"/>
                <w:szCs w:val="18"/>
              </w:rPr>
            </w:pP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(0.69)</w:t>
            </w:r>
          </w:p>
        </w:tc>
      </w:tr>
      <w:tr w:rsidR="00583BD3" w:rsidRPr="00B96787" w:rsidTr="000727E8">
        <w:trPr>
          <w:trHeight w:hRule="exact" w:val="255"/>
          <w:jc w:val="center"/>
        </w:trPr>
        <w:tc>
          <w:tcPr>
            <w:tcW w:w="0" w:type="auto"/>
            <w:shd w:val="clear" w:color="auto" w:fill="auto"/>
            <w:noWrap/>
            <w:hideMark/>
          </w:tcPr>
          <w:p w:rsidR="00583BD3" w:rsidRPr="00D14B9E" w:rsidRDefault="00583BD3" w:rsidP="000727E8">
            <w:pPr>
              <w:jc w:val="center"/>
              <w:rPr>
                <w:rFonts w:ascii="Garamond" w:hAnsi="Garamond" w:cs="Calibri"/>
                <w:color w:val="000000"/>
                <w:sz w:val="18"/>
                <w:szCs w:val="18"/>
              </w:rPr>
            </w:pPr>
            <w:proofErr w:type="spellStart"/>
            <w:r w:rsidRPr="00E3151C">
              <w:rPr>
                <w:rFonts w:ascii="Garamond" w:hAnsi="Garamond" w:cs="Calibri"/>
                <w:color w:val="000000" w:themeColor="text1"/>
                <w:sz w:val="20"/>
                <w:szCs w:val="20"/>
              </w:rPr>
              <w:t>Ln</w:t>
            </w:r>
            <w:proofErr w:type="spellEnd"/>
            <w:r w:rsidRPr="00E3151C">
              <w:rPr>
                <w:rFonts w:ascii="Garamond" w:hAnsi="Garamond" w:cs="Calibri"/>
                <w:color w:val="000000" w:themeColor="text1"/>
                <w:sz w:val="20"/>
                <w:szCs w:val="20"/>
              </w:rPr>
              <w:t>(number of directors)</w:t>
            </w:r>
            <w:r>
              <w:rPr>
                <w:rFonts w:ascii="Garamond" w:hAnsi="Garamond" w:cs="Calibri"/>
                <w:color w:val="000000"/>
                <w:sz w:val="18"/>
                <w:szCs w:val="18"/>
                <w:vertAlign w:val="subscript"/>
              </w:rPr>
              <w:t>t-1</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0.0249</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0.0243</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0.0238</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0.0250</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0.0235</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0.0231</w:t>
            </w:r>
          </w:p>
        </w:tc>
      </w:tr>
      <w:tr w:rsidR="00583BD3" w:rsidRPr="00B96787" w:rsidTr="000727E8">
        <w:trPr>
          <w:trHeight w:hRule="exact" w:val="255"/>
          <w:jc w:val="center"/>
        </w:trPr>
        <w:tc>
          <w:tcPr>
            <w:tcW w:w="0" w:type="auto"/>
            <w:shd w:val="clear" w:color="auto" w:fill="auto"/>
            <w:noWrap/>
            <w:hideMark/>
          </w:tcPr>
          <w:p w:rsidR="00583BD3" w:rsidRPr="00D14B9E" w:rsidRDefault="00583BD3" w:rsidP="000727E8">
            <w:pPr>
              <w:jc w:val="center"/>
              <w:rPr>
                <w:rFonts w:ascii="Garamond" w:hAnsi="Garamond" w:cs="Calibri"/>
                <w:color w:val="000000"/>
                <w:sz w:val="18"/>
                <w:szCs w:val="18"/>
              </w:rPr>
            </w:pP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(1.36)</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(1.33)</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(1.29)</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(1.36)</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(1.26)</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(1.24)</w:t>
            </w:r>
          </w:p>
        </w:tc>
      </w:tr>
      <w:tr w:rsidR="00583BD3" w:rsidRPr="00B96787" w:rsidTr="000727E8">
        <w:trPr>
          <w:trHeight w:hRule="exact" w:val="255"/>
          <w:jc w:val="center"/>
        </w:trPr>
        <w:tc>
          <w:tcPr>
            <w:tcW w:w="0" w:type="auto"/>
            <w:shd w:val="clear" w:color="auto" w:fill="auto"/>
            <w:noWrap/>
            <w:hideMark/>
          </w:tcPr>
          <w:p w:rsidR="00583BD3" w:rsidRPr="00D14B9E" w:rsidRDefault="00583BD3" w:rsidP="000727E8">
            <w:pPr>
              <w:jc w:val="center"/>
              <w:rPr>
                <w:rFonts w:ascii="Garamond" w:hAnsi="Garamond" w:cs="Calibri"/>
                <w:color w:val="000000"/>
                <w:sz w:val="18"/>
                <w:szCs w:val="18"/>
              </w:rPr>
            </w:pPr>
            <w:r w:rsidRPr="00E3151C">
              <w:rPr>
                <w:rFonts w:ascii="Garamond" w:hAnsi="Garamond" w:cs="Calibri"/>
                <w:color w:val="000000" w:themeColor="text1"/>
                <w:sz w:val="20"/>
                <w:szCs w:val="20"/>
              </w:rPr>
              <w:t>Board independence</w:t>
            </w:r>
            <w:r>
              <w:rPr>
                <w:rFonts w:ascii="Garamond" w:hAnsi="Garamond" w:cs="Calibri"/>
                <w:color w:val="000000"/>
                <w:sz w:val="18"/>
                <w:szCs w:val="18"/>
                <w:vertAlign w:val="subscript"/>
              </w:rPr>
              <w:t>t-1</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0.0357</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0.0322</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0.0360</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0.0356</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0.0325</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0.0349</w:t>
            </w:r>
          </w:p>
        </w:tc>
      </w:tr>
      <w:tr w:rsidR="00583BD3" w:rsidRPr="00B96787" w:rsidTr="000727E8">
        <w:trPr>
          <w:trHeight w:hRule="exact" w:val="255"/>
          <w:jc w:val="center"/>
        </w:trPr>
        <w:tc>
          <w:tcPr>
            <w:tcW w:w="0" w:type="auto"/>
            <w:shd w:val="clear" w:color="auto" w:fill="auto"/>
            <w:noWrap/>
            <w:hideMark/>
          </w:tcPr>
          <w:p w:rsidR="00583BD3" w:rsidRPr="00D14B9E" w:rsidRDefault="00583BD3" w:rsidP="000727E8">
            <w:pPr>
              <w:jc w:val="center"/>
              <w:rPr>
                <w:rFonts w:ascii="Garamond" w:hAnsi="Garamond" w:cs="Calibri"/>
                <w:color w:val="000000"/>
                <w:sz w:val="18"/>
                <w:szCs w:val="18"/>
              </w:rPr>
            </w:pP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(1.35)</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(1.21)</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(1.36)</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(1.34)</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(1.21)</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(1.33)</w:t>
            </w:r>
          </w:p>
        </w:tc>
      </w:tr>
      <w:tr w:rsidR="00583BD3" w:rsidRPr="00B96787" w:rsidTr="000727E8">
        <w:trPr>
          <w:trHeight w:hRule="exact" w:val="255"/>
          <w:jc w:val="center"/>
        </w:trPr>
        <w:tc>
          <w:tcPr>
            <w:tcW w:w="0" w:type="auto"/>
            <w:shd w:val="clear" w:color="auto" w:fill="auto"/>
            <w:noWrap/>
            <w:hideMark/>
          </w:tcPr>
          <w:p w:rsidR="00583BD3" w:rsidRPr="00D14B9E" w:rsidRDefault="00583BD3" w:rsidP="000727E8">
            <w:pPr>
              <w:jc w:val="center"/>
              <w:rPr>
                <w:rFonts w:ascii="Garamond" w:hAnsi="Garamond" w:cs="Calibri"/>
                <w:color w:val="000000"/>
                <w:sz w:val="18"/>
                <w:szCs w:val="18"/>
              </w:rPr>
            </w:pPr>
            <w:r w:rsidRPr="00E3151C">
              <w:rPr>
                <w:rFonts w:ascii="Garamond" w:hAnsi="Garamond" w:cs="Calibri"/>
                <w:color w:val="000000" w:themeColor="text1"/>
                <w:sz w:val="20"/>
                <w:szCs w:val="20"/>
              </w:rPr>
              <w:t>Tobin's Q</w:t>
            </w:r>
            <w:r>
              <w:rPr>
                <w:rFonts w:ascii="Garamond" w:hAnsi="Garamond" w:cs="Calibri"/>
                <w:color w:val="000000"/>
                <w:sz w:val="18"/>
                <w:szCs w:val="18"/>
                <w:vertAlign w:val="subscript"/>
              </w:rPr>
              <w:t>t-1</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-0.0145***</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-0.0145***</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-0.0145***</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-0.0145***</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-0.0145***</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-0.0145***</w:t>
            </w:r>
          </w:p>
        </w:tc>
      </w:tr>
      <w:tr w:rsidR="00583BD3" w:rsidRPr="00B96787" w:rsidTr="000727E8">
        <w:trPr>
          <w:trHeight w:hRule="exact" w:val="255"/>
          <w:jc w:val="center"/>
        </w:trPr>
        <w:tc>
          <w:tcPr>
            <w:tcW w:w="0" w:type="auto"/>
            <w:shd w:val="clear" w:color="auto" w:fill="auto"/>
            <w:noWrap/>
            <w:hideMark/>
          </w:tcPr>
          <w:p w:rsidR="00583BD3" w:rsidRPr="00D14B9E" w:rsidRDefault="00583BD3" w:rsidP="000727E8">
            <w:pPr>
              <w:jc w:val="center"/>
              <w:rPr>
                <w:rFonts w:ascii="Garamond" w:hAnsi="Garamond" w:cs="Calibri"/>
                <w:color w:val="000000"/>
                <w:sz w:val="18"/>
                <w:szCs w:val="18"/>
              </w:rPr>
            </w:pP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(-4.10)</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(-4.13)</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(-4.13)</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(-4.10)</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(-4.15)</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(-4.12)</w:t>
            </w:r>
          </w:p>
        </w:tc>
      </w:tr>
      <w:tr w:rsidR="00583BD3" w:rsidRPr="00B96787" w:rsidTr="000727E8">
        <w:trPr>
          <w:trHeight w:hRule="exact" w:val="255"/>
          <w:jc w:val="center"/>
        </w:trPr>
        <w:tc>
          <w:tcPr>
            <w:tcW w:w="0" w:type="auto"/>
            <w:shd w:val="clear" w:color="auto" w:fill="auto"/>
            <w:noWrap/>
            <w:hideMark/>
          </w:tcPr>
          <w:p w:rsidR="00583BD3" w:rsidRPr="00D14B9E" w:rsidRDefault="00583BD3" w:rsidP="000727E8">
            <w:pPr>
              <w:jc w:val="center"/>
              <w:rPr>
                <w:rFonts w:ascii="Garamond" w:hAnsi="Garamond" w:cs="Calibri"/>
                <w:color w:val="000000"/>
                <w:sz w:val="18"/>
                <w:szCs w:val="18"/>
              </w:rPr>
            </w:pPr>
            <w:r w:rsidRPr="00E3151C">
              <w:rPr>
                <w:rFonts w:ascii="Garamond" w:hAnsi="Garamond" w:cs="Calibri"/>
                <w:color w:val="000000" w:themeColor="text1"/>
                <w:sz w:val="20"/>
                <w:szCs w:val="20"/>
              </w:rPr>
              <w:t>Industry-</w:t>
            </w:r>
            <w:proofErr w:type="spellStart"/>
            <w:r w:rsidRPr="00E3151C">
              <w:rPr>
                <w:rFonts w:ascii="Garamond" w:hAnsi="Garamond" w:cs="Calibri"/>
                <w:color w:val="000000" w:themeColor="text1"/>
                <w:sz w:val="20"/>
                <w:szCs w:val="20"/>
              </w:rPr>
              <w:t>Adj</w:t>
            </w:r>
            <w:proofErr w:type="spellEnd"/>
            <w:r w:rsidRPr="00E3151C">
              <w:rPr>
                <w:rFonts w:ascii="Garamond" w:hAnsi="Garamond" w:cs="Calibri"/>
                <w:color w:val="000000" w:themeColor="text1"/>
                <w:sz w:val="20"/>
                <w:szCs w:val="20"/>
              </w:rPr>
              <w:t xml:space="preserve"> ROA</w:t>
            </w:r>
            <w:r>
              <w:rPr>
                <w:rFonts w:ascii="Garamond" w:hAnsi="Garamond" w:cs="Calibri"/>
                <w:color w:val="000000"/>
                <w:sz w:val="18"/>
                <w:szCs w:val="18"/>
                <w:vertAlign w:val="subscript"/>
              </w:rPr>
              <w:t>t-1</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-0.00625**</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-0.00621**</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-0.00625**</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-0.00625**</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-0.00622**</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-0.00623**</w:t>
            </w:r>
          </w:p>
        </w:tc>
      </w:tr>
      <w:tr w:rsidR="00583BD3" w:rsidRPr="00B96787" w:rsidTr="000727E8">
        <w:trPr>
          <w:trHeight w:hRule="exact" w:val="255"/>
          <w:jc w:val="center"/>
        </w:trPr>
        <w:tc>
          <w:tcPr>
            <w:tcW w:w="0" w:type="auto"/>
            <w:shd w:val="clear" w:color="auto" w:fill="auto"/>
            <w:noWrap/>
            <w:hideMark/>
          </w:tcPr>
          <w:p w:rsidR="00583BD3" w:rsidRPr="00D14B9E" w:rsidRDefault="00583BD3" w:rsidP="000727E8">
            <w:pPr>
              <w:jc w:val="center"/>
              <w:rPr>
                <w:rFonts w:ascii="Garamond" w:hAnsi="Garamond" w:cs="Calibri"/>
                <w:color w:val="000000"/>
                <w:sz w:val="18"/>
                <w:szCs w:val="18"/>
              </w:rPr>
            </w:pP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(-2.19)</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(-2.18)</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(-2.20)</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(-2.19)</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(-2.18)</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(-2.19)</w:t>
            </w:r>
          </w:p>
        </w:tc>
      </w:tr>
      <w:tr w:rsidR="00583BD3" w:rsidRPr="00B96787" w:rsidTr="000727E8">
        <w:trPr>
          <w:trHeight w:hRule="exact" w:val="255"/>
          <w:jc w:val="center"/>
        </w:trPr>
        <w:tc>
          <w:tcPr>
            <w:tcW w:w="0" w:type="auto"/>
            <w:shd w:val="clear" w:color="auto" w:fill="auto"/>
            <w:noWrap/>
            <w:hideMark/>
          </w:tcPr>
          <w:p w:rsidR="00583BD3" w:rsidRPr="00D14B9E" w:rsidRDefault="00583BD3" w:rsidP="000727E8">
            <w:pPr>
              <w:jc w:val="center"/>
              <w:rPr>
                <w:rFonts w:ascii="Garamond" w:hAnsi="Garamond" w:cs="Calibri"/>
                <w:color w:val="000000"/>
                <w:sz w:val="18"/>
                <w:szCs w:val="18"/>
              </w:rPr>
            </w:pPr>
            <w:r w:rsidRPr="00E3151C">
              <w:rPr>
                <w:rFonts w:ascii="Garamond" w:hAnsi="Garamond" w:cs="Calibri"/>
                <w:color w:val="000000" w:themeColor="text1"/>
                <w:sz w:val="20"/>
                <w:szCs w:val="20"/>
              </w:rPr>
              <w:t>CEO is Chairman dummy</w:t>
            </w:r>
            <w:r>
              <w:rPr>
                <w:rFonts w:ascii="Garamond" w:hAnsi="Garamond" w:cs="Calibri"/>
                <w:color w:val="000000"/>
                <w:sz w:val="18"/>
                <w:szCs w:val="18"/>
                <w:vertAlign w:val="subscript"/>
              </w:rPr>
              <w:t>t-1</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0.00887</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0.00913</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0.00895</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0.00890</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0.00922</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0.00886</w:t>
            </w:r>
          </w:p>
        </w:tc>
      </w:tr>
      <w:tr w:rsidR="00583BD3" w:rsidRPr="00B96787" w:rsidTr="000727E8">
        <w:trPr>
          <w:trHeight w:hRule="exact" w:val="255"/>
          <w:jc w:val="center"/>
        </w:trPr>
        <w:tc>
          <w:tcPr>
            <w:tcW w:w="0" w:type="auto"/>
            <w:shd w:val="clear" w:color="auto" w:fill="auto"/>
            <w:noWrap/>
            <w:hideMark/>
          </w:tcPr>
          <w:p w:rsidR="00583BD3" w:rsidRPr="00D14B9E" w:rsidRDefault="00583BD3" w:rsidP="000727E8">
            <w:pPr>
              <w:jc w:val="center"/>
              <w:rPr>
                <w:rFonts w:ascii="Garamond" w:hAnsi="Garamond" w:cs="Calibri"/>
                <w:color w:val="000000"/>
                <w:sz w:val="18"/>
                <w:szCs w:val="18"/>
              </w:rPr>
            </w:pP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(0.90)</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(0.93)</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(0.91)</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(0.90)</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(0.93)</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(0.90)</w:t>
            </w:r>
          </w:p>
        </w:tc>
      </w:tr>
      <w:tr w:rsidR="00583BD3" w:rsidRPr="00B96787" w:rsidTr="000727E8">
        <w:trPr>
          <w:trHeight w:hRule="exact" w:val="255"/>
          <w:jc w:val="center"/>
        </w:trPr>
        <w:tc>
          <w:tcPr>
            <w:tcW w:w="0" w:type="auto"/>
            <w:shd w:val="clear" w:color="auto" w:fill="auto"/>
            <w:noWrap/>
            <w:hideMark/>
          </w:tcPr>
          <w:p w:rsidR="00583BD3" w:rsidRPr="00932E65" w:rsidRDefault="00583BD3" w:rsidP="000727E8">
            <w:pPr>
              <w:jc w:val="center"/>
              <w:rPr>
                <w:rFonts w:ascii="Garamond" w:hAnsi="Garamond" w:cs="Calibri"/>
                <w:color w:val="000000"/>
                <w:sz w:val="18"/>
                <w:szCs w:val="18"/>
              </w:rPr>
            </w:pPr>
            <w:proofErr w:type="spellStart"/>
            <w:r w:rsidRPr="00E3151C">
              <w:rPr>
                <w:rFonts w:ascii="Garamond" w:hAnsi="Garamond" w:cs="Calibri"/>
                <w:color w:val="000000" w:themeColor="text1"/>
                <w:sz w:val="20"/>
                <w:szCs w:val="20"/>
              </w:rPr>
              <w:t>Ln</w:t>
            </w:r>
            <w:proofErr w:type="spellEnd"/>
            <w:r w:rsidRPr="00E3151C">
              <w:rPr>
                <w:rFonts w:ascii="Garamond" w:hAnsi="Garamond" w:cs="Calibri"/>
                <w:color w:val="000000" w:themeColor="text1"/>
                <w:sz w:val="20"/>
                <w:szCs w:val="20"/>
              </w:rPr>
              <w:t>(market-to-book)</w:t>
            </w:r>
            <w:r>
              <w:rPr>
                <w:rFonts w:ascii="Garamond" w:hAnsi="Garamond" w:cs="Calibri"/>
                <w:color w:val="000000"/>
                <w:sz w:val="18"/>
                <w:szCs w:val="18"/>
                <w:vertAlign w:val="subscript"/>
              </w:rPr>
              <w:t>t-1</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0.0491***</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0.0492***</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0.0492***</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0.0491***</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0.0493***</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0.0491***</w:t>
            </w:r>
          </w:p>
        </w:tc>
      </w:tr>
      <w:tr w:rsidR="00583BD3" w:rsidRPr="00B96787" w:rsidTr="000727E8">
        <w:trPr>
          <w:trHeight w:hRule="exact" w:val="255"/>
          <w:jc w:val="center"/>
        </w:trPr>
        <w:tc>
          <w:tcPr>
            <w:tcW w:w="0" w:type="auto"/>
            <w:shd w:val="clear" w:color="auto" w:fill="auto"/>
            <w:noWrap/>
            <w:hideMark/>
          </w:tcPr>
          <w:p w:rsidR="00583BD3" w:rsidRPr="00932E65" w:rsidRDefault="00583BD3" w:rsidP="000727E8">
            <w:pPr>
              <w:jc w:val="center"/>
              <w:rPr>
                <w:rFonts w:ascii="Garamond" w:hAnsi="Garamond" w:cs="Calibri"/>
                <w:color w:val="000000"/>
                <w:sz w:val="18"/>
                <w:szCs w:val="18"/>
              </w:rPr>
            </w:pP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(6.39)</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(6.42)</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(6.40)</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(6.41)</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(6.44)</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(6.39)</w:t>
            </w:r>
          </w:p>
        </w:tc>
      </w:tr>
      <w:tr w:rsidR="00583BD3" w:rsidRPr="00B96787" w:rsidTr="000727E8">
        <w:trPr>
          <w:trHeight w:hRule="exact" w:val="255"/>
          <w:jc w:val="center"/>
        </w:trPr>
        <w:tc>
          <w:tcPr>
            <w:tcW w:w="0" w:type="auto"/>
            <w:shd w:val="clear" w:color="auto" w:fill="auto"/>
            <w:noWrap/>
            <w:hideMark/>
          </w:tcPr>
          <w:p w:rsidR="00583BD3" w:rsidRPr="00932E65" w:rsidRDefault="00583BD3" w:rsidP="000727E8">
            <w:pPr>
              <w:jc w:val="center"/>
              <w:rPr>
                <w:rFonts w:ascii="Garamond" w:hAnsi="Garamond" w:cs="Calibri"/>
                <w:color w:val="000000"/>
                <w:sz w:val="18"/>
                <w:szCs w:val="18"/>
              </w:rPr>
            </w:pPr>
            <w:r w:rsidRPr="00E3151C">
              <w:rPr>
                <w:rFonts w:ascii="Garamond" w:hAnsi="Garamond" w:cs="Calibri"/>
                <w:color w:val="000000" w:themeColor="text1"/>
                <w:sz w:val="20"/>
                <w:szCs w:val="20"/>
              </w:rPr>
              <w:t>Capital expenditure</w:t>
            </w:r>
            <w:r>
              <w:rPr>
                <w:rFonts w:ascii="Garamond" w:hAnsi="Garamond" w:cs="Calibri"/>
                <w:color w:val="000000"/>
                <w:sz w:val="18"/>
                <w:szCs w:val="18"/>
                <w:vertAlign w:val="subscript"/>
              </w:rPr>
              <w:t>t-1</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0.144**</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0.143**</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0.145**</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0.144**</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0.144**</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0.144**</w:t>
            </w:r>
          </w:p>
        </w:tc>
      </w:tr>
      <w:tr w:rsidR="00583BD3" w:rsidRPr="00B96787" w:rsidTr="000727E8">
        <w:trPr>
          <w:trHeight w:hRule="exact" w:val="255"/>
          <w:jc w:val="center"/>
        </w:trPr>
        <w:tc>
          <w:tcPr>
            <w:tcW w:w="0" w:type="auto"/>
            <w:shd w:val="clear" w:color="auto" w:fill="auto"/>
            <w:noWrap/>
            <w:hideMark/>
          </w:tcPr>
          <w:p w:rsidR="00583BD3" w:rsidRPr="00932E65" w:rsidRDefault="00583BD3" w:rsidP="000727E8">
            <w:pPr>
              <w:jc w:val="center"/>
              <w:rPr>
                <w:rFonts w:ascii="Garamond" w:hAnsi="Garamond" w:cs="Calibri"/>
                <w:color w:val="000000"/>
                <w:sz w:val="18"/>
                <w:szCs w:val="18"/>
              </w:rPr>
            </w:pP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(2.09)</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(2.07)</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(2.10)</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(2.09)</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(2.08)</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(2.09)</w:t>
            </w:r>
          </w:p>
        </w:tc>
      </w:tr>
      <w:tr w:rsidR="00583BD3" w:rsidRPr="00B96787" w:rsidTr="000727E8">
        <w:trPr>
          <w:trHeight w:hRule="exact" w:val="255"/>
          <w:jc w:val="center"/>
        </w:trPr>
        <w:tc>
          <w:tcPr>
            <w:tcW w:w="0" w:type="auto"/>
            <w:shd w:val="clear" w:color="auto" w:fill="auto"/>
            <w:noWrap/>
            <w:hideMark/>
          </w:tcPr>
          <w:p w:rsidR="00583BD3" w:rsidRPr="00932E65" w:rsidRDefault="00583BD3" w:rsidP="000727E8">
            <w:pPr>
              <w:jc w:val="center"/>
              <w:rPr>
                <w:rFonts w:ascii="Garamond" w:hAnsi="Garamond" w:cs="Calibri"/>
                <w:color w:val="000000"/>
                <w:sz w:val="18"/>
                <w:szCs w:val="18"/>
              </w:rPr>
            </w:pPr>
            <w:proofErr w:type="spellStart"/>
            <w:r w:rsidRPr="00E3151C">
              <w:rPr>
                <w:rFonts w:ascii="Garamond" w:hAnsi="Garamond" w:cs="Calibri"/>
                <w:color w:val="000000" w:themeColor="text1"/>
                <w:sz w:val="20"/>
                <w:szCs w:val="20"/>
              </w:rPr>
              <w:t>Ln</w:t>
            </w:r>
            <w:proofErr w:type="spellEnd"/>
            <w:r w:rsidRPr="00E3151C">
              <w:rPr>
                <w:rFonts w:ascii="Garamond" w:hAnsi="Garamond" w:cs="Calibri"/>
                <w:color w:val="000000" w:themeColor="text1"/>
                <w:sz w:val="20"/>
                <w:szCs w:val="20"/>
              </w:rPr>
              <w:t>(total assets)</w:t>
            </w:r>
            <w:r>
              <w:rPr>
                <w:rFonts w:ascii="Garamond" w:hAnsi="Garamond" w:cs="Calibri"/>
                <w:color w:val="000000"/>
                <w:sz w:val="18"/>
                <w:szCs w:val="18"/>
                <w:vertAlign w:val="subscript"/>
              </w:rPr>
              <w:t>t-1</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0.0388***</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0.0389***</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0.0388***</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0.0388***</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0.0389***</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0.0387***</w:t>
            </w:r>
          </w:p>
        </w:tc>
      </w:tr>
      <w:tr w:rsidR="00583BD3" w:rsidRPr="00B96787" w:rsidTr="000727E8">
        <w:trPr>
          <w:trHeight w:hRule="exact" w:val="255"/>
          <w:jc w:val="center"/>
        </w:trPr>
        <w:tc>
          <w:tcPr>
            <w:tcW w:w="0" w:type="auto"/>
            <w:shd w:val="clear" w:color="auto" w:fill="auto"/>
            <w:noWrap/>
            <w:hideMark/>
          </w:tcPr>
          <w:p w:rsidR="00583BD3" w:rsidRPr="00932E65" w:rsidRDefault="00583BD3" w:rsidP="000727E8">
            <w:pPr>
              <w:jc w:val="center"/>
              <w:rPr>
                <w:rFonts w:ascii="Garamond" w:hAnsi="Garamond" w:cs="Calibri"/>
                <w:color w:val="000000"/>
                <w:sz w:val="18"/>
                <w:szCs w:val="18"/>
              </w:rPr>
            </w:pP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(5.11)</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(5.14)</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(5.13)</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(5.11)</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(5.15)</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(5.11)</w:t>
            </w:r>
          </w:p>
        </w:tc>
      </w:tr>
      <w:tr w:rsidR="00583BD3" w:rsidRPr="00B96787" w:rsidTr="000727E8">
        <w:trPr>
          <w:trHeight w:hRule="exact" w:val="255"/>
          <w:jc w:val="center"/>
        </w:trPr>
        <w:tc>
          <w:tcPr>
            <w:tcW w:w="0" w:type="auto"/>
            <w:shd w:val="clear" w:color="auto" w:fill="auto"/>
            <w:noWrap/>
            <w:hideMark/>
          </w:tcPr>
          <w:p w:rsidR="00583BD3" w:rsidRPr="00932E65" w:rsidRDefault="00583BD3" w:rsidP="000727E8">
            <w:pPr>
              <w:jc w:val="center"/>
              <w:rPr>
                <w:rFonts w:ascii="Garamond" w:hAnsi="Garamond" w:cs="Calibri"/>
                <w:color w:val="000000"/>
                <w:sz w:val="18"/>
                <w:szCs w:val="18"/>
              </w:rPr>
            </w:pPr>
            <w:proofErr w:type="spellStart"/>
            <w:r w:rsidRPr="00E3151C">
              <w:rPr>
                <w:rFonts w:ascii="Garamond" w:hAnsi="Garamond" w:cs="Calibri"/>
                <w:color w:val="000000" w:themeColor="text1"/>
                <w:sz w:val="20"/>
                <w:szCs w:val="20"/>
              </w:rPr>
              <w:t>Ln</w:t>
            </w:r>
            <w:proofErr w:type="spellEnd"/>
            <w:r w:rsidRPr="00E3151C">
              <w:rPr>
                <w:rFonts w:ascii="Garamond" w:hAnsi="Garamond" w:cs="Calibri"/>
                <w:color w:val="000000" w:themeColor="text1"/>
                <w:sz w:val="20"/>
                <w:szCs w:val="20"/>
              </w:rPr>
              <w:t>(firm age)</w:t>
            </w:r>
            <w:r>
              <w:rPr>
                <w:rFonts w:ascii="Garamond" w:hAnsi="Garamond" w:cs="Calibri"/>
                <w:color w:val="000000"/>
                <w:sz w:val="18"/>
                <w:szCs w:val="18"/>
                <w:vertAlign w:val="subscript"/>
              </w:rPr>
              <w:t>t-1</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0.00501</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0.00545</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0.00530</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0.00504</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0.00571</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0.00520</w:t>
            </w:r>
          </w:p>
        </w:tc>
      </w:tr>
      <w:tr w:rsidR="00583BD3" w:rsidRPr="00B96787" w:rsidTr="000727E8">
        <w:trPr>
          <w:trHeight w:hRule="exact" w:val="255"/>
          <w:jc w:val="center"/>
        </w:trPr>
        <w:tc>
          <w:tcPr>
            <w:tcW w:w="0" w:type="auto"/>
            <w:shd w:val="clear" w:color="auto" w:fill="auto"/>
            <w:noWrap/>
            <w:hideMark/>
          </w:tcPr>
          <w:p w:rsidR="00583BD3" w:rsidRPr="00932E65" w:rsidRDefault="00583BD3" w:rsidP="000727E8">
            <w:pPr>
              <w:jc w:val="center"/>
              <w:rPr>
                <w:rFonts w:ascii="Garamond" w:hAnsi="Garamond" w:cs="Calibri"/>
                <w:color w:val="000000"/>
                <w:sz w:val="18"/>
                <w:szCs w:val="18"/>
              </w:rPr>
            </w:pP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(0.53)</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(0.58)</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(0.56)</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(0.54)</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(0.61)</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(0.55)</w:t>
            </w:r>
          </w:p>
        </w:tc>
      </w:tr>
      <w:tr w:rsidR="00583BD3" w:rsidRPr="00B96787" w:rsidTr="000727E8">
        <w:trPr>
          <w:trHeight w:hRule="exact" w:val="255"/>
          <w:jc w:val="center"/>
        </w:trPr>
        <w:tc>
          <w:tcPr>
            <w:tcW w:w="0" w:type="auto"/>
            <w:shd w:val="clear" w:color="auto" w:fill="auto"/>
            <w:noWrap/>
            <w:hideMark/>
          </w:tcPr>
          <w:p w:rsidR="00583BD3" w:rsidRPr="00932E65" w:rsidRDefault="00583BD3" w:rsidP="000727E8">
            <w:pPr>
              <w:jc w:val="center"/>
              <w:rPr>
                <w:rFonts w:ascii="Garamond" w:hAnsi="Garamond" w:cs="Calibri"/>
                <w:color w:val="000000"/>
                <w:sz w:val="18"/>
                <w:szCs w:val="18"/>
              </w:rPr>
            </w:pPr>
            <w:r w:rsidRPr="00E3151C">
              <w:rPr>
                <w:rFonts w:ascii="Garamond" w:hAnsi="Garamond" w:cs="Calibri"/>
                <w:color w:val="000000" w:themeColor="text1"/>
                <w:sz w:val="20"/>
                <w:szCs w:val="20"/>
              </w:rPr>
              <w:t>CFO British Dummy</w:t>
            </w:r>
            <w:r>
              <w:rPr>
                <w:rFonts w:ascii="Garamond" w:hAnsi="Garamond" w:cs="Calibri"/>
                <w:color w:val="000000"/>
                <w:sz w:val="18"/>
                <w:szCs w:val="18"/>
                <w:vertAlign w:val="subscript"/>
              </w:rPr>
              <w:t>t-1</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0.0241</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0.0243</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0.0239</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0.0241</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0.0240</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0.0260</w:t>
            </w:r>
          </w:p>
        </w:tc>
      </w:tr>
      <w:tr w:rsidR="00583BD3" w:rsidRPr="00B96787" w:rsidTr="000727E8">
        <w:trPr>
          <w:trHeight w:hRule="exact" w:val="255"/>
          <w:jc w:val="center"/>
        </w:trPr>
        <w:tc>
          <w:tcPr>
            <w:tcW w:w="0" w:type="auto"/>
            <w:shd w:val="clear" w:color="auto" w:fill="auto"/>
            <w:noWrap/>
            <w:hideMark/>
          </w:tcPr>
          <w:p w:rsidR="00583BD3" w:rsidRPr="00932E65" w:rsidRDefault="00583BD3" w:rsidP="000727E8">
            <w:pPr>
              <w:jc w:val="center"/>
              <w:rPr>
                <w:rFonts w:ascii="Garamond" w:hAnsi="Garamond" w:cs="Calibri"/>
                <w:color w:val="000000"/>
                <w:sz w:val="18"/>
                <w:szCs w:val="18"/>
              </w:rPr>
            </w:pP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(1.15)</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(1.16)</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(1.14)</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(1.15)</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(1.15)</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(1.22)</w:t>
            </w:r>
          </w:p>
        </w:tc>
      </w:tr>
      <w:tr w:rsidR="00583BD3" w:rsidRPr="00B96787" w:rsidTr="000727E8">
        <w:trPr>
          <w:trHeight w:hRule="exact" w:val="255"/>
          <w:jc w:val="center"/>
        </w:trPr>
        <w:tc>
          <w:tcPr>
            <w:tcW w:w="0" w:type="auto"/>
            <w:shd w:val="clear" w:color="auto" w:fill="auto"/>
            <w:noWrap/>
            <w:hideMark/>
          </w:tcPr>
          <w:p w:rsidR="00583BD3" w:rsidRPr="00932E65" w:rsidRDefault="00583BD3" w:rsidP="000727E8">
            <w:pPr>
              <w:jc w:val="center"/>
              <w:rPr>
                <w:rFonts w:ascii="Garamond" w:hAnsi="Garamond" w:cs="Calibri"/>
                <w:color w:val="000000"/>
                <w:sz w:val="18"/>
                <w:szCs w:val="18"/>
              </w:rPr>
            </w:pPr>
            <w:proofErr w:type="spellStart"/>
            <w:r w:rsidRPr="00E3151C">
              <w:rPr>
                <w:rFonts w:ascii="Garamond" w:hAnsi="Garamond" w:cs="Calibri"/>
                <w:color w:val="000000" w:themeColor="text1"/>
                <w:sz w:val="20"/>
                <w:szCs w:val="20"/>
              </w:rPr>
              <w:t>Ln</w:t>
            </w:r>
            <w:proofErr w:type="spellEnd"/>
            <w:r w:rsidRPr="00E3151C">
              <w:rPr>
                <w:rFonts w:ascii="Garamond" w:hAnsi="Garamond" w:cs="Calibri"/>
                <w:color w:val="000000" w:themeColor="text1"/>
                <w:sz w:val="20"/>
                <w:szCs w:val="20"/>
              </w:rPr>
              <w:t>(CFO tenure)</w:t>
            </w:r>
            <w:r>
              <w:rPr>
                <w:rFonts w:ascii="Garamond" w:hAnsi="Garamond" w:cs="Calibri"/>
                <w:color w:val="000000"/>
                <w:sz w:val="18"/>
                <w:szCs w:val="18"/>
                <w:vertAlign w:val="subscript"/>
              </w:rPr>
              <w:t>t-1</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0.00218</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0.00236</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0.00215</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0.00218</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0.00233</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0.00222</w:t>
            </w:r>
          </w:p>
        </w:tc>
      </w:tr>
      <w:tr w:rsidR="00583BD3" w:rsidRPr="00B96787" w:rsidTr="000727E8">
        <w:trPr>
          <w:trHeight w:hRule="exact" w:val="255"/>
          <w:jc w:val="center"/>
        </w:trPr>
        <w:tc>
          <w:tcPr>
            <w:tcW w:w="0" w:type="auto"/>
            <w:shd w:val="clear" w:color="auto" w:fill="auto"/>
            <w:noWrap/>
            <w:hideMark/>
          </w:tcPr>
          <w:p w:rsidR="00583BD3" w:rsidRPr="00932E65" w:rsidRDefault="00583BD3" w:rsidP="000727E8">
            <w:pPr>
              <w:jc w:val="center"/>
              <w:rPr>
                <w:rFonts w:ascii="Garamond" w:hAnsi="Garamond" w:cs="Calibri"/>
                <w:color w:val="000000"/>
                <w:sz w:val="18"/>
                <w:szCs w:val="18"/>
              </w:rPr>
            </w:pP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(0.70)</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(0.76)</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(0.70)</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(0.71)</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(0.75)</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(0.72)</w:t>
            </w:r>
          </w:p>
        </w:tc>
      </w:tr>
      <w:tr w:rsidR="00583BD3" w:rsidRPr="00B96787" w:rsidTr="000727E8">
        <w:trPr>
          <w:trHeight w:hRule="exact" w:val="255"/>
          <w:jc w:val="center"/>
        </w:trPr>
        <w:tc>
          <w:tcPr>
            <w:tcW w:w="0" w:type="auto"/>
            <w:shd w:val="clear" w:color="auto" w:fill="auto"/>
            <w:noWrap/>
            <w:hideMark/>
          </w:tcPr>
          <w:p w:rsidR="00583BD3" w:rsidRPr="00932E65" w:rsidRDefault="00583BD3" w:rsidP="000727E8">
            <w:pPr>
              <w:jc w:val="center"/>
              <w:rPr>
                <w:rFonts w:ascii="Garamond" w:hAnsi="Garamond" w:cs="Calibri"/>
                <w:color w:val="000000"/>
                <w:sz w:val="18"/>
                <w:szCs w:val="18"/>
              </w:rPr>
            </w:pPr>
            <w:proofErr w:type="spellStart"/>
            <w:r w:rsidRPr="00E3151C">
              <w:rPr>
                <w:rFonts w:ascii="Garamond" w:hAnsi="Garamond" w:cs="Calibri"/>
                <w:color w:val="000000" w:themeColor="text1"/>
                <w:sz w:val="20"/>
                <w:szCs w:val="20"/>
              </w:rPr>
              <w:t>Ln</w:t>
            </w:r>
            <w:proofErr w:type="spellEnd"/>
            <w:r w:rsidRPr="00E3151C">
              <w:rPr>
                <w:rFonts w:ascii="Garamond" w:hAnsi="Garamond" w:cs="Calibri"/>
                <w:color w:val="000000" w:themeColor="text1"/>
                <w:sz w:val="20"/>
                <w:szCs w:val="20"/>
              </w:rPr>
              <w:t>(CFO age)</w:t>
            </w:r>
            <w:r>
              <w:rPr>
                <w:rFonts w:ascii="Garamond" w:hAnsi="Garamond" w:cs="Calibri"/>
                <w:color w:val="000000"/>
                <w:sz w:val="18"/>
                <w:szCs w:val="18"/>
                <w:vertAlign w:val="subscript"/>
              </w:rPr>
              <w:t>t-1</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-0.0166</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-0.0171</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-0.0169</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-0.0167</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-0.0174</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-0.0114</w:t>
            </w:r>
          </w:p>
        </w:tc>
      </w:tr>
      <w:tr w:rsidR="00583BD3" w:rsidRPr="00B96787" w:rsidTr="000727E8">
        <w:trPr>
          <w:trHeight w:hRule="exact" w:val="255"/>
          <w:jc w:val="center"/>
        </w:trPr>
        <w:tc>
          <w:tcPr>
            <w:tcW w:w="0" w:type="auto"/>
            <w:shd w:val="clear" w:color="auto" w:fill="auto"/>
            <w:noWrap/>
            <w:hideMark/>
          </w:tcPr>
          <w:p w:rsidR="00583BD3" w:rsidRPr="00932E65" w:rsidRDefault="00583BD3" w:rsidP="000727E8">
            <w:pPr>
              <w:jc w:val="center"/>
              <w:rPr>
                <w:rFonts w:ascii="Garamond" w:hAnsi="Garamond" w:cs="Calibri"/>
                <w:color w:val="000000"/>
                <w:sz w:val="18"/>
                <w:szCs w:val="18"/>
              </w:rPr>
            </w:pP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(-0.47)</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(-0.49)</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(-0.48)</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(-0.48)</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(-0.50)</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(-0.32)</w:t>
            </w:r>
          </w:p>
        </w:tc>
      </w:tr>
      <w:tr w:rsidR="00583BD3" w:rsidRPr="00B96787" w:rsidTr="000727E8">
        <w:trPr>
          <w:trHeight w:hRule="exact" w:val="255"/>
          <w:jc w:val="center"/>
        </w:trPr>
        <w:tc>
          <w:tcPr>
            <w:tcW w:w="0" w:type="auto"/>
            <w:shd w:val="clear" w:color="auto" w:fill="auto"/>
            <w:noWrap/>
            <w:hideMark/>
          </w:tcPr>
          <w:p w:rsidR="00583BD3" w:rsidRPr="00932E65" w:rsidRDefault="00583BD3" w:rsidP="000727E8">
            <w:pPr>
              <w:jc w:val="center"/>
              <w:rPr>
                <w:rFonts w:ascii="Garamond" w:hAnsi="Garamond" w:cs="Calibri"/>
                <w:color w:val="000000"/>
                <w:sz w:val="18"/>
                <w:szCs w:val="18"/>
              </w:rPr>
            </w:pPr>
            <w:proofErr w:type="spellStart"/>
            <w:r w:rsidRPr="00E3151C">
              <w:rPr>
                <w:rFonts w:ascii="Garamond" w:hAnsi="Garamond" w:cs="Calibri"/>
                <w:color w:val="000000" w:themeColor="text1"/>
                <w:sz w:val="20"/>
                <w:szCs w:val="20"/>
              </w:rPr>
              <w:t>Ln</w:t>
            </w:r>
            <w:proofErr w:type="spellEnd"/>
            <w:r w:rsidRPr="00E3151C">
              <w:rPr>
                <w:rFonts w:ascii="Garamond" w:hAnsi="Garamond" w:cs="Calibri"/>
                <w:color w:val="000000" w:themeColor="text1"/>
                <w:sz w:val="20"/>
                <w:szCs w:val="20"/>
              </w:rPr>
              <w:t>(CFO network size)</w:t>
            </w:r>
            <w:r>
              <w:rPr>
                <w:rFonts w:ascii="Garamond" w:hAnsi="Garamond" w:cs="Calibri"/>
                <w:color w:val="000000"/>
                <w:sz w:val="18"/>
                <w:szCs w:val="18"/>
                <w:vertAlign w:val="subscript"/>
              </w:rPr>
              <w:t>t-1</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-0.00101</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-0.000905</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-0.00109</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-0.00101</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-0.000982</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-0.00100</w:t>
            </w:r>
          </w:p>
        </w:tc>
      </w:tr>
      <w:tr w:rsidR="00583BD3" w:rsidRPr="00B96787" w:rsidTr="000727E8">
        <w:trPr>
          <w:trHeight w:hRule="exact" w:val="255"/>
          <w:jc w:val="center"/>
        </w:trPr>
        <w:tc>
          <w:tcPr>
            <w:tcW w:w="0" w:type="auto"/>
            <w:shd w:val="clear" w:color="auto" w:fill="auto"/>
            <w:noWrap/>
            <w:hideMark/>
          </w:tcPr>
          <w:p w:rsidR="00583BD3" w:rsidRPr="00932E65" w:rsidRDefault="00583BD3" w:rsidP="000727E8">
            <w:pPr>
              <w:jc w:val="center"/>
              <w:rPr>
                <w:rFonts w:ascii="Garamond" w:hAnsi="Garamond" w:cs="Calibri"/>
                <w:color w:val="000000"/>
                <w:sz w:val="18"/>
                <w:szCs w:val="18"/>
              </w:rPr>
            </w:pP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(-0.32)</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(-0.29)</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(-0.35)</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(-0.33)</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(-0.32)</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(-0.32)</w:t>
            </w:r>
          </w:p>
        </w:tc>
      </w:tr>
      <w:tr w:rsidR="00583BD3" w:rsidRPr="00B96787" w:rsidTr="000727E8">
        <w:trPr>
          <w:trHeight w:hRule="exact" w:val="255"/>
          <w:jc w:val="center"/>
        </w:trPr>
        <w:tc>
          <w:tcPr>
            <w:tcW w:w="0" w:type="auto"/>
            <w:shd w:val="clear" w:color="auto" w:fill="auto"/>
            <w:noWrap/>
            <w:hideMark/>
          </w:tcPr>
          <w:p w:rsidR="00583BD3" w:rsidRPr="00932E65" w:rsidRDefault="00583BD3" w:rsidP="000727E8">
            <w:pPr>
              <w:jc w:val="center"/>
              <w:rPr>
                <w:rFonts w:ascii="Garamond" w:hAnsi="Garamond" w:cs="Calibri"/>
                <w:color w:val="000000"/>
                <w:sz w:val="18"/>
                <w:szCs w:val="18"/>
              </w:rPr>
            </w:pPr>
            <w:proofErr w:type="spellStart"/>
            <w:r w:rsidRPr="00E3151C">
              <w:rPr>
                <w:rFonts w:ascii="Garamond" w:hAnsi="Garamond" w:cs="Calibri"/>
                <w:color w:val="000000" w:themeColor="text1"/>
                <w:sz w:val="20"/>
                <w:szCs w:val="20"/>
              </w:rPr>
              <w:t>Ln</w:t>
            </w:r>
            <w:proofErr w:type="spellEnd"/>
            <w:r w:rsidRPr="00E3151C">
              <w:rPr>
                <w:rFonts w:ascii="Garamond" w:hAnsi="Garamond" w:cs="Calibri"/>
                <w:color w:val="000000" w:themeColor="text1"/>
                <w:sz w:val="20"/>
                <w:szCs w:val="20"/>
              </w:rPr>
              <w:t>(CFO total compensation)</w:t>
            </w:r>
            <w:r>
              <w:rPr>
                <w:rFonts w:ascii="Garamond" w:hAnsi="Garamond" w:cs="Calibri"/>
                <w:color w:val="000000"/>
                <w:sz w:val="18"/>
                <w:szCs w:val="18"/>
                <w:vertAlign w:val="subscript"/>
              </w:rPr>
              <w:t>t-1</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-0.0139***</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-0.0140***</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-0.0138***</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-0.0139***</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-0.0139***</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-0.0139***</w:t>
            </w:r>
          </w:p>
        </w:tc>
      </w:tr>
      <w:tr w:rsidR="00583BD3" w:rsidRPr="00B96787" w:rsidTr="000727E8">
        <w:trPr>
          <w:trHeight w:hRule="exact" w:val="255"/>
          <w:jc w:val="center"/>
        </w:trPr>
        <w:tc>
          <w:tcPr>
            <w:tcW w:w="0" w:type="auto"/>
            <w:shd w:val="clear" w:color="auto" w:fill="auto"/>
            <w:noWrap/>
            <w:hideMark/>
          </w:tcPr>
          <w:p w:rsidR="00583BD3" w:rsidRPr="00D46E79"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(-3.39)</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(-3.41)</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(-3.39)</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(-3.40)</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(-3.40)</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(-3.39)</w:t>
            </w:r>
          </w:p>
        </w:tc>
      </w:tr>
      <w:tr w:rsidR="00583BD3" w:rsidRPr="00B96787" w:rsidTr="000727E8">
        <w:trPr>
          <w:trHeight w:hRule="exact" w:val="255"/>
          <w:jc w:val="center"/>
        </w:trPr>
        <w:tc>
          <w:tcPr>
            <w:tcW w:w="0" w:type="auto"/>
            <w:shd w:val="clear" w:color="auto" w:fill="auto"/>
            <w:noWrap/>
            <w:hideMark/>
          </w:tcPr>
          <w:p w:rsidR="00583BD3" w:rsidRPr="00D46E79" w:rsidRDefault="00583BD3" w:rsidP="000727E8">
            <w:pPr>
              <w:jc w:val="center"/>
              <w:rPr>
                <w:rFonts w:ascii="Garamond" w:hAnsi="Garamond" w:cs="Calibri"/>
                <w:color w:val="000000"/>
                <w:sz w:val="20"/>
                <w:szCs w:val="20"/>
              </w:rPr>
            </w:pPr>
            <w:r w:rsidRPr="00E3151C">
              <w:rPr>
                <w:rFonts w:ascii="Garamond" w:hAnsi="Garamond" w:cs="Calibri"/>
                <w:color w:val="000000" w:themeColor="text1"/>
                <w:sz w:val="20"/>
                <w:szCs w:val="20"/>
              </w:rPr>
              <w:t>Constant</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-0.181</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-0.180</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-0.178</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-0.181</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-0.178</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-0.197</w:t>
            </w:r>
          </w:p>
        </w:tc>
      </w:tr>
      <w:tr w:rsidR="00583BD3" w:rsidRPr="00B96787" w:rsidTr="000727E8">
        <w:trPr>
          <w:trHeight w:hRule="exact" w:val="255"/>
          <w:jc w:val="center"/>
        </w:trPr>
        <w:tc>
          <w:tcPr>
            <w:tcW w:w="0" w:type="auto"/>
            <w:tcBorders>
              <w:bottom w:val="single" w:sz="4" w:space="0" w:color="auto"/>
            </w:tcBorders>
            <w:shd w:val="clear" w:color="auto" w:fill="auto"/>
            <w:noWrap/>
            <w:hideMark/>
          </w:tcPr>
          <w:p w:rsidR="00583BD3" w:rsidRPr="00D46E79" w:rsidRDefault="00583BD3" w:rsidP="000727E8">
            <w:pPr>
              <w:jc w:val="center"/>
              <w:rPr>
                <w:rFonts w:ascii="Garamond" w:hAnsi="Garamond" w:cs="Calibri"/>
                <w:color w:val="000000"/>
                <w:sz w:val="20"/>
                <w:szCs w:val="20"/>
              </w:rPr>
            </w:pPr>
          </w:p>
        </w:tc>
        <w:tc>
          <w:tcPr>
            <w:tcW w:w="0" w:type="auto"/>
            <w:tcBorders>
              <w:bottom w:val="single" w:sz="4" w:space="0" w:color="auto"/>
            </w:tcBorders>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(-1.10)</w:t>
            </w:r>
          </w:p>
        </w:tc>
        <w:tc>
          <w:tcPr>
            <w:tcW w:w="0" w:type="auto"/>
            <w:tcBorders>
              <w:bottom w:val="single" w:sz="4" w:space="0" w:color="auto"/>
            </w:tcBorders>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(-1.09)</w:t>
            </w:r>
          </w:p>
        </w:tc>
        <w:tc>
          <w:tcPr>
            <w:tcW w:w="0" w:type="auto"/>
            <w:tcBorders>
              <w:bottom w:val="single" w:sz="4" w:space="0" w:color="auto"/>
            </w:tcBorders>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(-1.08)</w:t>
            </w:r>
          </w:p>
        </w:tc>
        <w:tc>
          <w:tcPr>
            <w:tcW w:w="0" w:type="auto"/>
            <w:tcBorders>
              <w:bottom w:val="single" w:sz="4" w:space="0" w:color="auto"/>
            </w:tcBorders>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(-1.10)</w:t>
            </w:r>
          </w:p>
        </w:tc>
        <w:tc>
          <w:tcPr>
            <w:tcW w:w="0" w:type="auto"/>
            <w:tcBorders>
              <w:bottom w:val="single" w:sz="4" w:space="0" w:color="auto"/>
            </w:tcBorders>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(-1.07)</w:t>
            </w:r>
          </w:p>
        </w:tc>
        <w:tc>
          <w:tcPr>
            <w:tcW w:w="0" w:type="auto"/>
            <w:tcBorders>
              <w:bottom w:val="single" w:sz="4" w:space="0" w:color="auto"/>
            </w:tcBorders>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(-1.19)</w:t>
            </w:r>
          </w:p>
        </w:tc>
      </w:tr>
      <w:tr w:rsidR="00583BD3" w:rsidRPr="00D46E79" w:rsidTr="000727E8">
        <w:trPr>
          <w:trHeight w:hRule="exact" w:val="255"/>
          <w:jc w:val="center"/>
        </w:trPr>
        <w:tc>
          <w:tcPr>
            <w:tcW w:w="0" w:type="auto"/>
            <w:tcBorders>
              <w:top w:val="single" w:sz="4" w:space="0" w:color="auto"/>
              <w:bottom w:val="nil"/>
            </w:tcBorders>
            <w:shd w:val="clear" w:color="auto" w:fill="auto"/>
            <w:noWrap/>
            <w:hideMark/>
          </w:tcPr>
          <w:p w:rsidR="00583BD3" w:rsidRPr="00D46E79" w:rsidRDefault="00583BD3" w:rsidP="000727E8">
            <w:pPr>
              <w:jc w:val="center"/>
              <w:rPr>
                <w:rFonts w:ascii="Garamond" w:hAnsi="Garamond" w:cs="Calibri"/>
                <w:color w:val="000000"/>
                <w:sz w:val="20"/>
                <w:szCs w:val="20"/>
              </w:rPr>
            </w:pPr>
            <w:r w:rsidRPr="00D46E79">
              <w:rPr>
                <w:rFonts w:ascii="Garamond" w:hAnsi="Garamond" w:cs="Calibri"/>
                <w:color w:val="000000"/>
                <w:sz w:val="20"/>
                <w:szCs w:val="20"/>
              </w:rPr>
              <w:t>Year Fixed Effects</w:t>
            </w:r>
          </w:p>
        </w:tc>
        <w:tc>
          <w:tcPr>
            <w:tcW w:w="0" w:type="auto"/>
            <w:tcBorders>
              <w:top w:val="single" w:sz="4" w:space="0" w:color="auto"/>
              <w:bottom w:val="nil"/>
            </w:tcBorders>
            <w:shd w:val="clear" w:color="auto" w:fill="auto"/>
            <w:noWrap/>
            <w:hideMark/>
          </w:tcPr>
          <w:p w:rsidR="00583BD3" w:rsidRPr="00D46E79" w:rsidRDefault="00583BD3" w:rsidP="000727E8">
            <w:pPr>
              <w:jc w:val="center"/>
              <w:rPr>
                <w:rFonts w:ascii="Garamond" w:hAnsi="Garamond" w:cs="Calibri"/>
                <w:color w:val="000000"/>
                <w:sz w:val="20"/>
                <w:szCs w:val="20"/>
              </w:rPr>
            </w:pPr>
            <w:r w:rsidRPr="00D46E79">
              <w:rPr>
                <w:rFonts w:ascii="Garamond" w:hAnsi="Garamond" w:cs="Calibri"/>
                <w:color w:val="000000"/>
                <w:sz w:val="20"/>
                <w:szCs w:val="20"/>
              </w:rPr>
              <w:t>Yes</w:t>
            </w:r>
          </w:p>
        </w:tc>
        <w:tc>
          <w:tcPr>
            <w:tcW w:w="0" w:type="auto"/>
            <w:tcBorders>
              <w:top w:val="single" w:sz="4" w:space="0" w:color="auto"/>
              <w:bottom w:val="nil"/>
            </w:tcBorders>
            <w:shd w:val="clear" w:color="auto" w:fill="auto"/>
            <w:noWrap/>
            <w:hideMark/>
          </w:tcPr>
          <w:p w:rsidR="00583BD3" w:rsidRPr="00D46E79" w:rsidRDefault="00583BD3" w:rsidP="000727E8">
            <w:pPr>
              <w:jc w:val="center"/>
              <w:rPr>
                <w:rFonts w:ascii="Garamond" w:hAnsi="Garamond" w:cs="Calibri"/>
                <w:color w:val="000000"/>
                <w:sz w:val="20"/>
                <w:szCs w:val="20"/>
              </w:rPr>
            </w:pPr>
            <w:r w:rsidRPr="00D46E79">
              <w:rPr>
                <w:rFonts w:ascii="Garamond" w:hAnsi="Garamond" w:cs="Calibri"/>
                <w:color w:val="000000"/>
                <w:sz w:val="20"/>
                <w:szCs w:val="20"/>
              </w:rPr>
              <w:t>Yes</w:t>
            </w:r>
          </w:p>
        </w:tc>
        <w:tc>
          <w:tcPr>
            <w:tcW w:w="0" w:type="auto"/>
            <w:tcBorders>
              <w:top w:val="single" w:sz="4" w:space="0" w:color="auto"/>
              <w:bottom w:val="nil"/>
            </w:tcBorders>
            <w:shd w:val="clear" w:color="auto" w:fill="auto"/>
            <w:noWrap/>
            <w:hideMark/>
          </w:tcPr>
          <w:p w:rsidR="00583BD3" w:rsidRPr="00D46E79" w:rsidRDefault="00583BD3" w:rsidP="000727E8">
            <w:pPr>
              <w:jc w:val="center"/>
              <w:rPr>
                <w:rFonts w:ascii="Garamond" w:hAnsi="Garamond" w:cs="Calibri"/>
                <w:color w:val="000000"/>
                <w:sz w:val="20"/>
                <w:szCs w:val="20"/>
              </w:rPr>
            </w:pPr>
            <w:r w:rsidRPr="00D46E79">
              <w:rPr>
                <w:rFonts w:ascii="Garamond" w:hAnsi="Garamond" w:cs="Calibri"/>
                <w:color w:val="000000"/>
                <w:sz w:val="20"/>
                <w:szCs w:val="20"/>
              </w:rPr>
              <w:t>Yes</w:t>
            </w:r>
          </w:p>
        </w:tc>
        <w:tc>
          <w:tcPr>
            <w:tcW w:w="0" w:type="auto"/>
            <w:tcBorders>
              <w:top w:val="single" w:sz="4" w:space="0" w:color="auto"/>
              <w:bottom w:val="nil"/>
            </w:tcBorders>
            <w:shd w:val="clear" w:color="auto" w:fill="auto"/>
            <w:noWrap/>
            <w:hideMark/>
          </w:tcPr>
          <w:p w:rsidR="00583BD3" w:rsidRPr="00D46E79" w:rsidRDefault="00583BD3" w:rsidP="000727E8">
            <w:pPr>
              <w:jc w:val="center"/>
              <w:rPr>
                <w:rFonts w:ascii="Garamond" w:hAnsi="Garamond" w:cs="Calibri"/>
                <w:color w:val="000000"/>
                <w:sz w:val="20"/>
                <w:szCs w:val="20"/>
              </w:rPr>
            </w:pPr>
            <w:r w:rsidRPr="00D46E79">
              <w:rPr>
                <w:rFonts w:ascii="Garamond" w:hAnsi="Garamond" w:cs="Calibri"/>
                <w:color w:val="000000"/>
                <w:sz w:val="20"/>
                <w:szCs w:val="20"/>
              </w:rPr>
              <w:t>Yes</w:t>
            </w:r>
          </w:p>
        </w:tc>
        <w:tc>
          <w:tcPr>
            <w:tcW w:w="0" w:type="auto"/>
            <w:tcBorders>
              <w:top w:val="single" w:sz="4" w:space="0" w:color="auto"/>
              <w:bottom w:val="nil"/>
            </w:tcBorders>
            <w:shd w:val="clear" w:color="auto" w:fill="auto"/>
            <w:noWrap/>
            <w:hideMark/>
          </w:tcPr>
          <w:p w:rsidR="00583BD3" w:rsidRPr="00D46E79" w:rsidRDefault="00583BD3" w:rsidP="000727E8">
            <w:pPr>
              <w:jc w:val="center"/>
              <w:rPr>
                <w:rFonts w:ascii="Garamond" w:hAnsi="Garamond" w:cs="Calibri"/>
                <w:color w:val="000000"/>
                <w:sz w:val="20"/>
                <w:szCs w:val="20"/>
              </w:rPr>
            </w:pPr>
            <w:r w:rsidRPr="00D46E79">
              <w:rPr>
                <w:rFonts w:ascii="Garamond" w:hAnsi="Garamond" w:cs="Calibri"/>
                <w:color w:val="000000"/>
                <w:sz w:val="20"/>
                <w:szCs w:val="20"/>
              </w:rPr>
              <w:t>Yes</w:t>
            </w:r>
          </w:p>
        </w:tc>
        <w:tc>
          <w:tcPr>
            <w:tcW w:w="0" w:type="auto"/>
            <w:tcBorders>
              <w:top w:val="single" w:sz="4" w:space="0" w:color="auto"/>
              <w:bottom w:val="nil"/>
            </w:tcBorders>
            <w:shd w:val="clear" w:color="auto" w:fill="auto"/>
            <w:noWrap/>
            <w:hideMark/>
          </w:tcPr>
          <w:p w:rsidR="00583BD3" w:rsidRPr="00D46E79" w:rsidRDefault="00583BD3" w:rsidP="000727E8">
            <w:pPr>
              <w:jc w:val="center"/>
              <w:rPr>
                <w:rFonts w:ascii="Garamond" w:hAnsi="Garamond" w:cs="Calibri"/>
                <w:color w:val="000000"/>
                <w:sz w:val="20"/>
                <w:szCs w:val="20"/>
              </w:rPr>
            </w:pPr>
            <w:r w:rsidRPr="00D46E79">
              <w:rPr>
                <w:rFonts w:ascii="Garamond" w:hAnsi="Garamond" w:cs="Calibri"/>
                <w:color w:val="000000"/>
                <w:sz w:val="20"/>
                <w:szCs w:val="20"/>
              </w:rPr>
              <w:t>Yes</w:t>
            </w:r>
          </w:p>
        </w:tc>
      </w:tr>
      <w:tr w:rsidR="00583BD3" w:rsidRPr="00D46E79" w:rsidTr="000727E8">
        <w:trPr>
          <w:trHeight w:hRule="exact" w:val="255"/>
          <w:jc w:val="center"/>
        </w:trPr>
        <w:tc>
          <w:tcPr>
            <w:tcW w:w="0" w:type="auto"/>
            <w:tcBorders>
              <w:top w:val="nil"/>
            </w:tcBorders>
            <w:shd w:val="clear" w:color="auto" w:fill="auto"/>
            <w:noWrap/>
            <w:hideMark/>
          </w:tcPr>
          <w:p w:rsidR="00583BD3" w:rsidRPr="00D46E79" w:rsidRDefault="00583BD3" w:rsidP="000727E8">
            <w:pPr>
              <w:jc w:val="center"/>
              <w:rPr>
                <w:rFonts w:ascii="Garamond" w:hAnsi="Garamond" w:cs="Calibri"/>
                <w:color w:val="000000"/>
                <w:sz w:val="20"/>
                <w:szCs w:val="20"/>
              </w:rPr>
            </w:pPr>
            <w:r>
              <w:rPr>
                <w:rFonts w:ascii="Garamond" w:hAnsi="Garamond" w:cs="Calibri"/>
                <w:color w:val="000000"/>
                <w:sz w:val="20"/>
                <w:szCs w:val="20"/>
              </w:rPr>
              <w:t>Firm</w:t>
            </w:r>
            <w:r w:rsidRPr="00D46E79">
              <w:rPr>
                <w:rFonts w:ascii="Garamond" w:hAnsi="Garamond" w:cs="Calibri"/>
                <w:color w:val="000000"/>
                <w:sz w:val="20"/>
                <w:szCs w:val="20"/>
              </w:rPr>
              <w:t xml:space="preserve"> Fixed Effects</w:t>
            </w:r>
          </w:p>
        </w:tc>
        <w:tc>
          <w:tcPr>
            <w:tcW w:w="0" w:type="auto"/>
            <w:tcBorders>
              <w:top w:val="nil"/>
            </w:tcBorders>
            <w:shd w:val="clear" w:color="auto" w:fill="auto"/>
            <w:noWrap/>
            <w:hideMark/>
          </w:tcPr>
          <w:p w:rsidR="00583BD3" w:rsidRPr="00D46E79" w:rsidRDefault="00583BD3" w:rsidP="000727E8">
            <w:pPr>
              <w:jc w:val="center"/>
              <w:rPr>
                <w:rFonts w:ascii="Garamond" w:hAnsi="Garamond" w:cs="Calibri"/>
                <w:color w:val="000000"/>
                <w:sz w:val="20"/>
                <w:szCs w:val="20"/>
              </w:rPr>
            </w:pPr>
            <w:r w:rsidRPr="00D46E79">
              <w:rPr>
                <w:rFonts w:ascii="Garamond" w:hAnsi="Garamond" w:cs="Calibri"/>
                <w:color w:val="000000"/>
                <w:sz w:val="20"/>
                <w:szCs w:val="20"/>
              </w:rPr>
              <w:t>Yes</w:t>
            </w:r>
          </w:p>
        </w:tc>
        <w:tc>
          <w:tcPr>
            <w:tcW w:w="0" w:type="auto"/>
            <w:tcBorders>
              <w:top w:val="nil"/>
            </w:tcBorders>
            <w:shd w:val="clear" w:color="auto" w:fill="auto"/>
            <w:noWrap/>
            <w:hideMark/>
          </w:tcPr>
          <w:p w:rsidR="00583BD3" w:rsidRPr="00D46E79" w:rsidRDefault="00583BD3" w:rsidP="000727E8">
            <w:pPr>
              <w:jc w:val="center"/>
              <w:rPr>
                <w:rFonts w:ascii="Garamond" w:hAnsi="Garamond" w:cs="Calibri"/>
                <w:color w:val="000000"/>
                <w:sz w:val="20"/>
                <w:szCs w:val="20"/>
              </w:rPr>
            </w:pPr>
            <w:r w:rsidRPr="00D46E79">
              <w:rPr>
                <w:rFonts w:ascii="Garamond" w:hAnsi="Garamond" w:cs="Calibri"/>
                <w:color w:val="000000"/>
                <w:sz w:val="20"/>
                <w:szCs w:val="20"/>
              </w:rPr>
              <w:t>Yes</w:t>
            </w:r>
          </w:p>
        </w:tc>
        <w:tc>
          <w:tcPr>
            <w:tcW w:w="0" w:type="auto"/>
            <w:tcBorders>
              <w:top w:val="nil"/>
            </w:tcBorders>
            <w:shd w:val="clear" w:color="auto" w:fill="auto"/>
            <w:noWrap/>
            <w:hideMark/>
          </w:tcPr>
          <w:p w:rsidR="00583BD3" w:rsidRPr="00D46E79" w:rsidRDefault="00583BD3" w:rsidP="000727E8">
            <w:pPr>
              <w:jc w:val="center"/>
              <w:rPr>
                <w:rFonts w:ascii="Garamond" w:hAnsi="Garamond" w:cs="Calibri"/>
                <w:color w:val="000000"/>
                <w:sz w:val="20"/>
                <w:szCs w:val="20"/>
              </w:rPr>
            </w:pPr>
            <w:r w:rsidRPr="00D46E79">
              <w:rPr>
                <w:rFonts w:ascii="Garamond" w:hAnsi="Garamond" w:cs="Calibri"/>
                <w:color w:val="000000"/>
                <w:sz w:val="20"/>
                <w:szCs w:val="20"/>
              </w:rPr>
              <w:t>Yes</w:t>
            </w:r>
          </w:p>
        </w:tc>
        <w:tc>
          <w:tcPr>
            <w:tcW w:w="0" w:type="auto"/>
            <w:tcBorders>
              <w:top w:val="nil"/>
            </w:tcBorders>
            <w:shd w:val="clear" w:color="auto" w:fill="auto"/>
            <w:noWrap/>
            <w:hideMark/>
          </w:tcPr>
          <w:p w:rsidR="00583BD3" w:rsidRPr="00D46E79" w:rsidRDefault="00583BD3" w:rsidP="000727E8">
            <w:pPr>
              <w:jc w:val="center"/>
              <w:rPr>
                <w:rFonts w:ascii="Garamond" w:hAnsi="Garamond" w:cs="Calibri"/>
                <w:color w:val="000000"/>
                <w:sz w:val="20"/>
                <w:szCs w:val="20"/>
              </w:rPr>
            </w:pPr>
            <w:r w:rsidRPr="00D46E79">
              <w:rPr>
                <w:rFonts w:ascii="Garamond" w:hAnsi="Garamond" w:cs="Calibri"/>
                <w:color w:val="000000"/>
                <w:sz w:val="20"/>
                <w:szCs w:val="20"/>
              </w:rPr>
              <w:t>Yes</w:t>
            </w:r>
          </w:p>
        </w:tc>
        <w:tc>
          <w:tcPr>
            <w:tcW w:w="0" w:type="auto"/>
            <w:tcBorders>
              <w:top w:val="nil"/>
            </w:tcBorders>
            <w:shd w:val="clear" w:color="auto" w:fill="auto"/>
            <w:noWrap/>
            <w:hideMark/>
          </w:tcPr>
          <w:p w:rsidR="00583BD3" w:rsidRPr="00D46E79" w:rsidRDefault="00583BD3" w:rsidP="000727E8">
            <w:pPr>
              <w:jc w:val="center"/>
              <w:rPr>
                <w:rFonts w:ascii="Garamond" w:hAnsi="Garamond" w:cs="Calibri"/>
                <w:color w:val="000000"/>
                <w:sz w:val="20"/>
                <w:szCs w:val="20"/>
              </w:rPr>
            </w:pPr>
            <w:r w:rsidRPr="00D46E79">
              <w:rPr>
                <w:rFonts w:ascii="Garamond" w:hAnsi="Garamond" w:cs="Calibri"/>
                <w:color w:val="000000"/>
                <w:sz w:val="20"/>
                <w:szCs w:val="20"/>
              </w:rPr>
              <w:t>Yes</w:t>
            </w:r>
          </w:p>
        </w:tc>
        <w:tc>
          <w:tcPr>
            <w:tcW w:w="0" w:type="auto"/>
            <w:tcBorders>
              <w:top w:val="nil"/>
            </w:tcBorders>
            <w:shd w:val="clear" w:color="auto" w:fill="auto"/>
            <w:noWrap/>
            <w:hideMark/>
          </w:tcPr>
          <w:p w:rsidR="00583BD3" w:rsidRPr="00D46E79" w:rsidRDefault="00583BD3" w:rsidP="000727E8">
            <w:pPr>
              <w:jc w:val="center"/>
              <w:rPr>
                <w:rFonts w:ascii="Garamond" w:hAnsi="Garamond" w:cs="Calibri"/>
                <w:color w:val="000000"/>
                <w:sz w:val="20"/>
                <w:szCs w:val="20"/>
              </w:rPr>
            </w:pPr>
            <w:r w:rsidRPr="00D46E79">
              <w:rPr>
                <w:rFonts w:ascii="Garamond" w:hAnsi="Garamond" w:cs="Calibri"/>
                <w:color w:val="000000"/>
                <w:sz w:val="20"/>
                <w:szCs w:val="20"/>
              </w:rPr>
              <w:t>Yes</w:t>
            </w:r>
          </w:p>
        </w:tc>
      </w:tr>
      <w:tr w:rsidR="00583BD3" w:rsidRPr="00D46E79" w:rsidTr="000727E8">
        <w:trPr>
          <w:trHeight w:hRule="exact" w:val="255"/>
          <w:jc w:val="center"/>
        </w:trPr>
        <w:tc>
          <w:tcPr>
            <w:tcW w:w="0" w:type="auto"/>
            <w:shd w:val="clear" w:color="auto" w:fill="auto"/>
            <w:noWrap/>
            <w:hideMark/>
          </w:tcPr>
          <w:p w:rsidR="00583BD3" w:rsidRPr="00D46E79" w:rsidRDefault="00583BD3" w:rsidP="000727E8">
            <w:pPr>
              <w:jc w:val="center"/>
              <w:rPr>
                <w:rFonts w:ascii="Garamond" w:hAnsi="Garamond" w:cs="Calibri"/>
                <w:color w:val="000000"/>
                <w:sz w:val="20"/>
                <w:szCs w:val="20"/>
              </w:rPr>
            </w:pPr>
            <w:proofErr w:type="spellStart"/>
            <w:r w:rsidRPr="00D46E79">
              <w:rPr>
                <w:rFonts w:ascii="Garamond" w:hAnsi="Garamond" w:cs="Calibri"/>
                <w:color w:val="000000"/>
                <w:sz w:val="20"/>
                <w:szCs w:val="20"/>
              </w:rPr>
              <w:t>Adj</w:t>
            </w:r>
            <w:proofErr w:type="spellEnd"/>
            <w:r w:rsidRPr="00D46E79">
              <w:rPr>
                <w:rFonts w:ascii="Garamond" w:hAnsi="Garamond" w:cs="Calibri"/>
                <w:color w:val="000000"/>
                <w:sz w:val="20"/>
                <w:szCs w:val="20"/>
              </w:rPr>
              <w:t xml:space="preserve"> R-square</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0.0636</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0.0638</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0.0635</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0.0634</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0.0636</w:t>
            </w:r>
          </w:p>
        </w:tc>
        <w:tc>
          <w:tcPr>
            <w:tcW w:w="0" w:type="auto"/>
            <w:shd w:val="clear" w:color="auto" w:fill="auto"/>
            <w:noWrap/>
            <w:vAlign w:val="center"/>
            <w:hideMark/>
          </w:tcPr>
          <w:p w:rsidR="00583BD3" w:rsidRPr="00B96787" w:rsidRDefault="00583BD3" w:rsidP="000727E8">
            <w:pPr>
              <w:jc w:val="center"/>
              <w:rPr>
                <w:rFonts w:ascii="Garamond" w:hAnsi="Garamond" w:cs="Calibri"/>
                <w:color w:val="000000"/>
                <w:sz w:val="20"/>
                <w:szCs w:val="20"/>
              </w:rPr>
            </w:pPr>
            <w:r w:rsidRPr="00B96787">
              <w:rPr>
                <w:rFonts w:ascii="Garamond" w:hAnsi="Garamond" w:cs="Calibri" w:hint="eastAsia"/>
                <w:color w:val="000000"/>
                <w:sz w:val="20"/>
                <w:szCs w:val="20"/>
              </w:rPr>
              <w:t>0.0636</w:t>
            </w:r>
          </w:p>
        </w:tc>
      </w:tr>
      <w:tr w:rsidR="00583BD3" w:rsidRPr="00D46E79" w:rsidTr="000727E8">
        <w:trPr>
          <w:trHeight w:hRule="exact" w:val="255"/>
          <w:jc w:val="center"/>
        </w:trPr>
        <w:tc>
          <w:tcPr>
            <w:tcW w:w="0" w:type="auto"/>
            <w:shd w:val="clear" w:color="auto" w:fill="auto"/>
            <w:noWrap/>
            <w:hideMark/>
          </w:tcPr>
          <w:p w:rsidR="00583BD3" w:rsidRPr="00D46E79" w:rsidRDefault="00583BD3" w:rsidP="000727E8">
            <w:pPr>
              <w:jc w:val="center"/>
              <w:rPr>
                <w:rFonts w:ascii="Garamond" w:hAnsi="Garamond" w:cs="Calibri"/>
                <w:color w:val="000000"/>
                <w:sz w:val="20"/>
                <w:szCs w:val="20"/>
              </w:rPr>
            </w:pPr>
            <w:r w:rsidRPr="00D46E79">
              <w:rPr>
                <w:rFonts w:ascii="Garamond" w:hAnsi="Garamond" w:cs="Calibri"/>
                <w:color w:val="000000"/>
                <w:sz w:val="20"/>
                <w:szCs w:val="20"/>
              </w:rPr>
              <w:t>No. of Observation</w:t>
            </w:r>
          </w:p>
        </w:tc>
        <w:tc>
          <w:tcPr>
            <w:tcW w:w="0" w:type="auto"/>
            <w:shd w:val="clear" w:color="auto" w:fill="auto"/>
            <w:noWrap/>
            <w:hideMark/>
          </w:tcPr>
          <w:p w:rsidR="00583BD3" w:rsidRPr="00D46E79" w:rsidRDefault="00583BD3" w:rsidP="000727E8">
            <w:pPr>
              <w:jc w:val="center"/>
              <w:rPr>
                <w:rFonts w:ascii="Garamond" w:hAnsi="Garamond" w:cs="Calibri"/>
                <w:color w:val="000000"/>
                <w:sz w:val="20"/>
                <w:szCs w:val="20"/>
              </w:rPr>
            </w:pPr>
            <w:r w:rsidRPr="00D46E79">
              <w:rPr>
                <w:rFonts w:ascii="Garamond" w:hAnsi="Garamond" w:cs="Calibri"/>
                <w:color w:val="000000"/>
                <w:sz w:val="20"/>
                <w:szCs w:val="20"/>
              </w:rPr>
              <w:t>6,299</w:t>
            </w:r>
          </w:p>
        </w:tc>
        <w:tc>
          <w:tcPr>
            <w:tcW w:w="0" w:type="auto"/>
            <w:shd w:val="clear" w:color="auto" w:fill="auto"/>
            <w:noWrap/>
            <w:hideMark/>
          </w:tcPr>
          <w:p w:rsidR="00583BD3" w:rsidRPr="00D46E79" w:rsidRDefault="00583BD3" w:rsidP="000727E8">
            <w:pPr>
              <w:jc w:val="center"/>
              <w:rPr>
                <w:rFonts w:ascii="Garamond" w:hAnsi="Garamond" w:cs="Calibri"/>
                <w:color w:val="000000"/>
                <w:sz w:val="20"/>
                <w:szCs w:val="20"/>
              </w:rPr>
            </w:pPr>
            <w:r w:rsidRPr="00D46E79">
              <w:rPr>
                <w:rFonts w:ascii="Garamond" w:hAnsi="Garamond" w:cs="Calibri"/>
                <w:color w:val="000000"/>
                <w:sz w:val="20"/>
                <w:szCs w:val="20"/>
              </w:rPr>
              <w:t>6,299</w:t>
            </w:r>
          </w:p>
        </w:tc>
        <w:tc>
          <w:tcPr>
            <w:tcW w:w="0" w:type="auto"/>
            <w:shd w:val="clear" w:color="auto" w:fill="auto"/>
            <w:noWrap/>
            <w:hideMark/>
          </w:tcPr>
          <w:p w:rsidR="00583BD3" w:rsidRPr="00D46E79" w:rsidRDefault="00583BD3" w:rsidP="000727E8">
            <w:pPr>
              <w:jc w:val="center"/>
              <w:rPr>
                <w:rFonts w:ascii="Garamond" w:hAnsi="Garamond" w:cs="Calibri"/>
                <w:color w:val="000000"/>
                <w:sz w:val="20"/>
                <w:szCs w:val="20"/>
              </w:rPr>
            </w:pPr>
            <w:r w:rsidRPr="00D46E79">
              <w:rPr>
                <w:rFonts w:ascii="Garamond" w:hAnsi="Garamond" w:cs="Calibri"/>
                <w:color w:val="000000"/>
                <w:sz w:val="20"/>
                <w:szCs w:val="20"/>
              </w:rPr>
              <w:t>6,299</w:t>
            </w:r>
          </w:p>
        </w:tc>
        <w:tc>
          <w:tcPr>
            <w:tcW w:w="0" w:type="auto"/>
            <w:shd w:val="clear" w:color="auto" w:fill="auto"/>
            <w:noWrap/>
            <w:hideMark/>
          </w:tcPr>
          <w:p w:rsidR="00583BD3" w:rsidRPr="00D46E79" w:rsidRDefault="00583BD3" w:rsidP="000727E8">
            <w:pPr>
              <w:jc w:val="center"/>
              <w:rPr>
                <w:rFonts w:ascii="Garamond" w:hAnsi="Garamond" w:cs="Calibri"/>
                <w:color w:val="000000"/>
                <w:sz w:val="20"/>
                <w:szCs w:val="20"/>
              </w:rPr>
            </w:pPr>
            <w:r w:rsidRPr="00D46E79">
              <w:rPr>
                <w:rFonts w:ascii="Garamond" w:hAnsi="Garamond" w:cs="Calibri"/>
                <w:color w:val="000000"/>
                <w:sz w:val="20"/>
                <w:szCs w:val="20"/>
              </w:rPr>
              <w:t>6,299</w:t>
            </w:r>
          </w:p>
        </w:tc>
        <w:tc>
          <w:tcPr>
            <w:tcW w:w="0" w:type="auto"/>
            <w:shd w:val="clear" w:color="auto" w:fill="auto"/>
            <w:noWrap/>
            <w:hideMark/>
          </w:tcPr>
          <w:p w:rsidR="00583BD3" w:rsidRPr="00D46E79" w:rsidRDefault="00583BD3" w:rsidP="000727E8">
            <w:pPr>
              <w:jc w:val="center"/>
              <w:rPr>
                <w:rFonts w:ascii="Garamond" w:hAnsi="Garamond" w:cs="Calibri"/>
                <w:color w:val="000000"/>
                <w:sz w:val="20"/>
                <w:szCs w:val="20"/>
              </w:rPr>
            </w:pPr>
            <w:r w:rsidRPr="00D46E79">
              <w:rPr>
                <w:rFonts w:ascii="Garamond" w:hAnsi="Garamond" w:cs="Calibri"/>
                <w:color w:val="000000"/>
                <w:sz w:val="20"/>
                <w:szCs w:val="20"/>
              </w:rPr>
              <w:t>6,299</w:t>
            </w:r>
          </w:p>
        </w:tc>
        <w:tc>
          <w:tcPr>
            <w:tcW w:w="0" w:type="auto"/>
            <w:shd w:val="clear" w:color="auto" w:fill="auto"/>
            <w:noWrap/>
            <w:hideMark/>
          </w:tcPr>
          <w:p w:rsidR="00583BD3" w:rsidRPr="00D46E79" w:rsidRDefault="00583BD3" w:rsidP="000727E8">
            <w:pPr>
              <w:jc w:val="center"/>
              <w:rPr>
                <w:rFonts w:ascii="Garamond" w:hAnsi="Garamond" w:cs="Calibri"/>
                <w:color w:val="000000"/>
                <w:sz w:val="20"/>
                <w:szCs w:val="20"/>
              </w:rPr>
            </w:pPr>
            <w:r w:rsidRPr="00D46E79">
              <w:rPr>
                <w:rFonts w:ascii="Garamond" w:hAnsi="Garamond" w:cs="Calibri"/>
                <w:color w:val="000000"/>
                <w:sz w:val="20"/>
                <w:szCs w:val="20"/>
              </w:rPr>
              <w:t>6,299</w:t>
            </w:r>
          </w:p>
        </w:tc>
      </w:tr>
      <w:tr w:rsidR="00583BD3" w:rsidRPr="00D46E79" w:rsidTr="000727E8">
        <w:trPr>
          <w:trHeight w:hRule="exact" w:val="255"/>
          <w:jc w:val="center"/>
        </w:trPr>
        <w:tc>
          <w:tcPr>
            <w:tcW w:w="0" w:type="auto"/>
            <w:shd w:val="clear" w:color="auto" w:fill="auto"/>
            <w:noWrap/>
            <w:hideMark/>
          </w:tcPr>
          <w:p w:rsidR="00583BD3" w:rsidRPr="00D46E79" w:rsidRDefault="00583BD3" w:rsidP="000727E8">
            <w:pPr>
              <w:jc w:val="center"/>
              <w:rPr>
                <w:rFonts w:ascii="Garamond" w:hAnsi="Garamond" w:cs="Calibri"/>
                <w:color w:val="000000"/>
                <w:sz w:val="20"/>
                <w:szCs w:val="20"/>
              </w:rPr>
            </w:pPr>
            <w:r>
              <w:rPr>
                <w:rFonts w:ascii="Garamond" w:hAnsi="Garamond" w:cs="Calibri"/>
                <w:color w:val="000000"/>
                <w:sz w:val="20"/>
                <w:szCs w:val="20"/>
              </w:rPr>
              <w:t>No. of Female CFO</w:t>
            </w:r>
          </w:p>
        </w:tc>
        <w:tc>
          <w:tcPr>
            <w:tcW w:w="0" w:type="auto"/>
            <w:shd w:val="clear" w:color="auto" w:fill="auto"/>
            <w:noWrap/>
            <w:vAlign w:val="center"/>
            <w:hideMark/>
          </w:tcPr>
          <w:p w:rsidR="00583BD3" w:rsidRPr="00D46E79" w:rsidRDefault="00583BD3" w:rsidP="000727E8">
            <w:pPr>
              <w:jc w:val="center"/>
              <w:rPr>
                <w:rFonts w:ascii="Garamond" w:hAnsi="Garamond" w:cs="Calibri"/>
                <w:color w:val="000000"/>
                <w:sz w:val="20"/>
                <w:szCs w:val="20"/>
              </w:rPr>
            </w:pPr>
            <w:r w:rsidRPr="002C652C">
              <w:rPr>
                <w:rFonts w:ascii="Garamond" w:hAnsi="Garamond" w:cs="Calibri" w:hint="eastAsia"/>
                <w:color w:val="000000"/>
                <w:sz w:val="20"/>
                <w:szCs w:val="20"/>
              </w:rPr>
              <w:t>329</w:t>
            </w:r>
          </w:p>
        </w:tc>
        <w:tc>
          <w:tcPr>
            <w:tcW w:w="0" w:type="auto"/>
            <w:shd w:val="clear" w:color="auto" w:fill="auto"/>
            <w:noWrap/>
            <w:vAlign w:val="center"/>
            <w:hideMark/>
          </w:tcPr>
          <w:p w:rsidR="00583BD3" w:rsidRPr="00D46E79" w:rsidRDefault="00583BD3" w:rsidP="000727E8">
            <w:pPr>
              <w:jc w:val="center"/>
              <w:rPr>
                <w:rFonts w:ascii="Garamond" w:hAnsi="Garamond" w:cs="Calibri"/>
                <w:color w:val="000000"/>
                <w:sz w:val="20"/>
                <w:szCs w:val="20"/>
              </w:rPr>
            </w:pPr>
            <w:r w:rsidRPr="002C652C">
              <w:rPr>
                <w:rFonts w:ascii="Garamond" w:hAnsi="Garamond" w:cs="Calibri" w:hint="eastAsia"/>
                <w:color w:val="000000"/>
                <w:sz w:val="20"/>
                <w:szCs w:val="20"/>
              </w:rPr>
              <w:t>329</w:t>
            </w:r>
          </w:p>
        </w:tc>
        <w:tc>
          <w:tcPr>
            <w:tcW w:w="0" w:type="auto"/>
            <w:shd w:val="clear" w:color="auto" w:fill="auto"/>
            <w:noWrap/>
            <w:vAlign w:val="center"/>
            <w:hideMark/>
          </w:tcPr>
          <w:p w:rsidR="00583BD3" w:rsidRPr="00D46E79" w:rsidRDefault="00583BD3" w:rsidP="000727E8">
            <w:pPr>
              <w:jc w:val="center"/>
              <w:rPr>
                <w:rFonts w:ascii="Garamond" w:hAnsi="Garamond" w:cs="Calibri"/>
                <w:color w:val="000000"/>
                <w:sz w:val="20"/>
                <w:szCs w:val="20"/>
              </w:rPr>
            </w:pPr>
            <w:r w:rsidRPr="002C652C">
              <w:rPr>
                <w:rFonts w:ascii="Garamond" w:hAnsi="Garamond" w:cs="Calibri" w:hint="eastAsia"/>
                <w:color w:val="000000"/>
                <w:sz w:val="20"/>
                <w:szCs w:val="20"/>
              </w:rPr>
              <w:t>329</w:t>
            </w:r>
          </w:p>
        </w:tc>
        <w:tc>
          <w:tcPr>
            <w:tcW w:w="0" w:type="auto"/>
            <w:shd w:val="clear" w:color="auto" w:fill="auto"/>
            <w:noWrap/>
            <w:vAlign w:val="center"/>
            <w:hideMark/>
          </w:tcPr>
          <w:p w:rsidR="00583BD3" w:rsidRPr="00D46E79" w:rsidRDefault="00583BD3" w:rsidP="000727E8">
            <w:pPr>
              <w:jc w:val="center"/>
              <w:rPr>
                <w:rFonts w:ascii="Garamond" w:hAnsi="Garamond" w:cs="Calibri"/>
                <w:color w:val="000000"/>
                <w:sz w:val="20"/>
                <w:szCs w:val="20"/>
              </w:rPr>
            </w:pPr>
            <w:r w:rsidRPr="002C652C">
              <w:rPr>
                <w:rFonts w:ascii="Garamond" w:hAnsi="Garamond" w:cs="Calibri" w:hint="eastAsia"/>
                <w:color w:val="000000"/>
                <w:sz w:val="20"/>
                <w:szCs w:val="20"/>
              </w:rPr>
              <w:t>329</w:t>
            </w:r>
          </w:p>
        </w:tc>
        <w:tc>
          <w:tcPr>
            <w:tcW w:w="0" w:type="auto"/>
            <w:shd w:val="clear" w:color="auto" w:fill="auto"/>
            <w:noWrap/>
            <w:vAlign w:val="center"/>
            <w:hideMark/>
          </w:tcPr>
          <w:p w:rsidR="00583BD3" w:rsidRPr="00D46E79" w:rsidRDefault="00583BD3" w:rsidP="000727E8">
            <w:pPr>
              <w:jc w:val="center"/>
              <w:rPr>
                <w:rFonts w:ascii="Garamond" w:hAnsi="Garamond" w:cs="Calibri"/>
                <w:color w:val="000000"/>
                <w:sz w:val="20"/>
                <w:szCs w:val="20"/>
              </w:rPr>
            </w:pPr>
            <w:r w:rsidRPr="002C652C">
              <w:rPr>
                <w:rFonts w:ascii="Garamond" w:hAnsi="Garamond" w:cs="Calibri" w:hint="eastAsia"/>
                <w:color w:val="000000"/>
                <w:sz w:val="20"/>
                <w:szCs w:val="20"/>
              </w:rPr>
              <w:t>329</w:t>
            </w:r>
          </w:p>
        </w:tc>
        <w:tc>
          <w:tcPr>
            <w:tcW w:w="0" w:type="auto"/>
            <w:shd w:val="clear" w:color="auto" w:fill="auto"/>
            <w:noWrap/>
            <w:vAlign w:val="center"/>
            <w:hideMark/>
          </w:tcPr>
          <w:p w:rsidR="00583BD3" w:rsidRPr="00D46E79" w:rsidRDefault="00583BD3" w:rsidP="000727E8">
            <w:pPr>
              <w:jc w:val="center"/>
              <w:rPr>
                <w:rFonts w:ascii="Garamond" w:hAnsi="Garamond" w:cs="Calibri"/>
                <w:color w:val="000000"/>
                <w:sz w:val="20"/>
                <w:szCs w:val="20"/>
              </w:rPr>
            </w:pPr>
            <w:r w:rsidRPr="002C652C">
              <w:rPr>
                <w:rFonts w:ascii="Garamond" w:hAnsi="Garamond" w:cs="Calibri" w:hint="eastAsia"/>
                <w:color w:val="000000"/>
                <w:sz w:val="20"/>
                <w:szCs w:val="20"/>
              </w:rPr>
              <w:t>329</w:t>
            </w:r>
          </w:p>
        </w:tc>
      </w:tr>
      <w:tr w:rsidR="00583BD3" w:rsidRPr="00D46E79" w:rsidTr="000727E8">
        <w:trPr>
          <w:trHeight w:hRule="exact" w:val="255"/>
          <w:jc w:val="center"/>
        </w:trPr>
        <w:tc>
          <w:tcPr>
            <w:tcW w:w="0" w:type="auto"/>
            <w:shd w:val="clear" w:color="auto" w:fill="auto"/>
            <w:noWrap/>
            <w:hideMark/>
          </w:tcPr>
          <w:p w:rsidR="00583BD3" w:rsidRDefault="00583BD3" w:rsidP="000727E8">
            <w:pPr>
              <w:jc w:val="center"/>
              <w:rPr>
                <w:rFonts w:ascii="Garamond" w:hAnsi="Garamond" w:cs="Calibri"/>
                <w:color w:val="000000"/>
                <w:sz w:val="20"/>
                <w:szCs w:val="20"/>
              </w:rPr>
            </w:pPr>
            <w:r>
              <w:rPr>
                <w:rFonts w:ascii="Garamond" w:hAnsi="Garamond" w:cs="Calibri"/>
                <w:color w:val="000000"/>
                <w:sz w:val="20"/>
                <w:szCs w:val="20"/>
              </w:rPr>
              <w:t>Average Leverage</w:t>
            </w:r>
          </w:p>
        </w:tc>
        <w:tc>
          <w:tcPr>
            <w:tcW w:w="0" w:type="auto"/>
            <w:shd w:val="clear" w:color="auto" w:fill="auto"/>
            <w:noWrap/>
            <w:vAlign w:val="center"/>
            <w:hideMark/>
          </w:tcPr>
          <w:p w:rsidR="00583BD3" w:rsidRPr="002C652C" w:rsidRDefault="00583BD3" w:rsidP="000727E8">
            <w:pPr>
              <w:jc w:val="center"/>
              <w:rPr>
                <w:rFonts w:ascii="Garamond" w:hAnsi="Garamond" w:cs="Calibri"/>
                <w:color w:val="000000"/>
                <w:sz w:val="20"/>
                <w:szCs w:val="20"/>
              </w:rPr>
            </w:pPr>
            <w:r w:rsidRPr="00C8367B">
              <w:rPr>
                <w:rFonts w:ascii="Garamond" w:hAnsi="Garamond" w:cs="Calibri" w:hint="eastAsia"/>
                <w:color w:val="000000"/>
                <w:sz w:val="20"/>
                <w:szCs w:val="20"/>
              </w:rPr>
              <w:t>0.2677</w:t>
            </w:r>
          </w:p>
        </w:tc>
        <w:tc>
          <w:tcPr>
            <w:tcW w:w="0" w:type="auto"/>
            <w:shd w:val="clear" w:color="auto" w:fill="auto"/>
            <w:noWrap/>
            <w:vAlign w:val="center"/>
            <w:hideMark/>
          </w:tcPr>
          <w:p w:rsidR="00583BD3" w:rsidRPr="002C652C" w:rsidRDefault="00583BD3" w:rsidP="000727E8">
            <w:pPr>
              <w:jc w:val="center"/>
              <w:rPr>
                <w:rFonts w:ascii="Garamond" w:hAnsi="Garamond" w:cs="Calibri"/>
                <w:color w:val="000000"/>
                <w:sz w:val="20"/>
                <w:szCs w:val="20"/>
              </w:rPr>
            </w:pPr>
            <w:r w:rsidRPr="00C8367B">
              <w:rPr>
                <w:rFonts w:ascii="Garamond" w:hAnsi="Garamond" w:cs="Calibri" w:hint="eastAsia"/>
                <w:color w:val="000000"/>
                <w:sz w:val="20"/>
                <w:szCs w:val="20"/>
              </w:rPr>
              <w:t>0.2677</w:t>
            </w:r>
          </w:p>
        </w:tc>
        <w:tc>
          <w:tcPr>
            <w:tcW w:w="0" w:type="auto"/>
            <w:shd w:val="clear" w:color="auto" w:fill="auto"/>
            <w:noWrap/>
            <w:vAlign w:val="center"/>
            <w:hideMark/>
          </w:tcPr>
          <w:p w:rsidR="00583BD3" w:rsidRPr="002C652C" w:rsidRDefault="00583BD3" w:rsidP="000727E8">
            <w:pPr>
              <w:jc w:val="center"/>
              <w:rPr>
                <w:rFonts w:ascii="Garamond" w:hAnsi="Garamond" w:cs="Calibri"/>
                <w:color w:val="000000"/>
                <w:sz w:val="20"/>
                <w:szCs w:val="20"/>
              </w:rPr>
            </w:pPr>
            <w:r w:rsidRPr="00C8367B">
              <w:rPr>
                <w:rFonts w:ascii="Garamond" w:hAnsi="Garamond" w:cs="Calibri" w:hint="eastAsia"/>
                <w:color w:val="000000"/>
                <w:sz w:val="20"/>
                <w:szCs w:val="20"/>
              </w:rPr>
              <w:t>0.2677</w:t>
            </w:r>
          </w:p>
        </w:tc>
        <w:tc>
          <w:tcPr>
            <w:tcW w:w="0" w:type="auto"/>
            <w:shd w:val="clear" w:color="auto" w:fill="auto"/>
            <w:noWrap/>
            <w:vAlign w:val="center"/>
            <w:hideMark/>
          </w:tcPr>
          <w:p w:rsidR="00583BD3" w:rsidRPr="002C652C" w:rsidRDefault="00583BD3" w:rsidP="000727E8">
            <w:pPr>
              <w:jc w:val="center"/>
              <w:rPr>
                <w:rFonts w:ascii="Garamond" w:hAnsi="Garamond" w:cs="Calibri"/>
                <w:color w:val="000000"/>
                <w:sz w:val="20"/>
                <w:szCs w:val="20"/>
              </w:rPr>
            </w:pPr>
            <w:r w:rsidRPr="00C8367B">
              <w:rPr>
                <w:rFonts w:ascii="Garamond" w:hAnsi="Garamond" w:cs="Calibri" w:hint="eastAsia"/>
                <w:color w:val="000000"/>
                <w:sz w:val="20"/>
                <w:szCs w:val="20"/>
              </w:rPr>
              <w:t>0.2677</w:t>
            </w:r>
          </w:p>
        </w:tc>
        <w:tc>
          <w:tcPr>
            <w:tcW w:w="0" w:type="auto"/>
            <w:shd w:val="clear" w:color="auto" w:fill="auto"/>
            <w:noWrap/>
            <w:vAlign w:val="center"/>
            <w:hideMark/>
          </w:tcPr>
          <w:p w:rsidR="00583BD3" w:rsidRPr="002C652C" w:rsidRDefault="00583BD3" w:rsidP="000727E8">
            <w:pPr>
              <w:jc w:val="center"/>
              <w:rPr>
                <w:rFonts w:ascii="Garamond" w:hAnsi="Garamond" w:cs="Calibri"/>
                <w:color w:val="000000"/>
                <w:sz w:val="20"/>
                <w:szCs w:val="20"/>
              </w:rPr>
            </w:pPr>
            <w:r w:rsidRPr="00C8367B">
              <w:rPr>
                <w:rFonts w:ascii="Garamond" w:hAnsi="Garamond" w:cs="Calibri" w:hint="eastAsia"/>
                <w:color w:val="000000"/>
                <w:sz w:val="20"/>
                <w:szCs w:val="20"/>
              </w:rPr>
              <w:t>0.2677</w:t>
            </w:r>
          </w:p>
        </w:tc>
        <w:tc>
          <w:tcPr>
            <w:tcW w:w="0" w:type="auto"/>
            <w:shd w:val="clear" w:color="auto" w:fill="auto"/>
            <w:noWrap/>
            <w:vAlign w:val="center"/>
            <w:hideMark/>
          </w:tcPr>
          <w:p w:rsidR="00583BD3" w:rsidRPr="002C652C" w:rsidRDefault="00583BD3" w:rsidP="000727E8">
            <w:pPr>
              <w:jc w:val="center"/>
              <w:rPr>
                <w:rFonts w:ascii="Garamond" w:hAnsi="Garamond" w:cs="Calibri"/>
                <w:color w:val="000000"/>
                <w:sz w:val="20"/>
                <w:szCs w:val="20"/>
              </w:rPr>
            </w:pPr>
            <w:r w:rsidRPr="00C8367B">
              <w:rPr>
                <w:rFonts w:ascii="Garamond" w:hAnsi="Garamond" w:cs="Calibri" w:hint="eastAsia"/>
                <w:color w:val="000000"/>
                <w:sz w:val="20"/>
                <w:szCs w:val="20"/>
              </w:rPr>
              <w:t>0.2677</w:t>
            </w:r>
          </w:p>
        </w:tc>
      </w:tr>
    </w:tbl>
    <w:p w:rsidR="00583BD3" w:rsidRDefault="00583BD3" w:rsidP="00583BD3">
      <w:pPr>
        <w:jc w:val="both"/>
        <w:sectPr w:rsidR="00583BD3">
          <w:pgSz w:w="11906" w:h="16838"/>
          <w:pgMar w:top="1440" w:right="1440" w:bottom="1440" w:left="1440" w:header="708" w:footer="708" w:gutter="0"/>
          <w:cols w:space="708"/>
          <w:docGrid w:linePitch="360"/>
        </w:sectPr>
      </w:pPr>
    </w:p>
    <w:p w:rsidR="00583BD3" w:rsidRDefault="00583BD3" w:rsidP="00583BD3">
      <w:pPr>
        <w:jc w:val="both"/>
        <w:rPr>
          <w:rFonts w:ascii="Garamond" w:hAnsi="Garamond"/>
          <w:sz w:val="20"/>
        </w:rPr>
      </w:pPr>
      <w:r w:rsidRPr="000E4A73">
        <w:rPr>
          <w:rFonts w:ascii="Garamond" w:hAnsi="Garamond"/>
          <w:b/>
          <w:sz w:val="20"/>
        </w:rPr>
        <w:lastRenderedPageBreak/>
        <w:t xml:space="preserve">Table </w:t>
      </w:r>
      <w:r>
        <w:rPr>
          <w:rFonts w:ascii="Garamond" w:hAnsi="Garamond"/>
          <w:b/>
          <w:sz w:val="20"/>
        </w:rPr>
        <w:t>5</w:t>
      </w:r>
      <w:r w:rsidRPr="000E4A73">
        <w:rPr>
          <w:rFonts w:ascii="Garamond" w:hAnsi="Garamond"/>
          <w:b/>
          <w:sz w:val="20"/>
        </w:rPr>
        <w:t>:</w:t>
      </w:r>
      <w:r>
        <w:rPr>
          <w:rFonts w:ascii="Garamond" w:hAnsi="Garamond"/>
          <w:b/>
          <w:sz w:val="20"/>
        </w:rPr>
        <w:t xml:space="preserve"> Controlling</w:t>
      </w:r>
      <w:r>
        <w:rPr>
          <w:rFonts w:ascii="Garamond" w:hAnsi="Garamond"/>
          <w:sz w:val="20"/>
        </w:rPr>
        <w:t xml:space="preserve"> </w:t>
      </w:r>
      <w:r>
        <w:rPr>
          <w:rFonts w:ascii="Garamond" w:hAnsi="Garamond"/>
          <w:b/>
          <w:sz w:val="20"/>
        </w:rPr>
        <w:t xml:space="preserve">for </w:t>
      </w:r>
      <w:r w:rsidRPr="00D0508D">
        <w:rPr>
          <w:rFonts w:ascii="Garamond" w:hAnsi="Garamond"/>
          <w:b/>
          <w:sz w:val="20"/>
        </w:rPr>
        <w:t xml:space="preserve">female CEO effect on </w:t>
      </w:r>
      <w:r>
        <w:rPr>
          <w:rFonts w:ascii="Garamond" w:hAnsi="Garamond"/>
          <w:b/>
          <w:sz w:val="20"/>
        </w:rPr>
        <w:t>leverage</w:t>
      </w:r>
      <w:r w:rsidRPr="00D0508D">
        <w:rPr>
          <w:rFonts w:ascii="Garamond" w:hAnsi="Garamond"/>
          <w:b/>
          <w:sz w:val="20"/>
        </w:rPr>
        <w:t>.</w:t>
      </w:r>
      <w:r w:rsidRPr="000E4A73">
        <w:rPr>
          <w:rFonts w:ascii="Garamond" w:hAnsi="Garamond"/>
          <w:sz w:val="20"/>
        </w:rPr>
        <w:t xml:space="preserve">  </w:t>
      </w:r>
    </w:p>
    <w:p w:rsidR="00583BD3" w:rsidRDefault="00583BD3" w:rsidP="00583BD3">
      <w:pPr>
        <w:jc w:val="both"/>
      </w:pPr>
      <w:r w:rsidRPr="000E4A73">
        <w:rPr>
          <w:rFonts w:ascii="Garamond" w:hAnsi="Garamond"/>
          <w:sz w:val="20"/>
        </w:rPr>
        <w:t>This table presents the regression results for</w:t>
      </w:r>
      <w:r>
        <w:rPr>
          <w:rFonts w:ascii="Garamond" w:hAnsi="Garamond"/>
          <w:sz w:val="20"/>
        </w:rPr>
        <w:t xml:space="preserve"> the effect of</w:t>
      </w:r>
      <w:r w:rsidRPr="000E4A73">
        <w:rPr>
          <w:rFonts w:ascii="Garamond" w:hAnsi="Garamond"/>
          <w:sz w:val="20"/>
        </w:rPr>
        <w:t xml:space="preserve"> female CF</w:t>
      </w:r>
      <w:r>
        <w:rPr>
          <w:rFonts w:ascii="Garamond" w:hAnsi="Garamond"/>
          <w:sz w:val="20"/>
        </w:rPr>
        <w:t>O and female CEO</w:t>
      </w:r>
      <w:r w:rsidRPr="000E4A73">
        <w:rPr>
          <w:rFonts w:ascii="Garamond" w:hAnsi="Garamond"/>
          <w:sz w:val="20"/>
        </w:rPr>
        <w:t xml:space="preserve"> </w:t>
      </w:r>
      <w:r>
        <w:rPr>
          <w:rFonts w:ascii="Garamond" w:hAnsi="Garamond"/>
          <w:sz w:val="20"/>
        </w:rPr>
        <w:t>on</w:t>
      </w:r>
      <w:r w:rsidRPr="000E4A73">
        <w:rPr>
          <w:rFonts w:ascii="Garamond" w:hAnsi="Garamond"/>
          <w:sz w:val="20"/>
        </w:rPr>
        <w:t xml:space="preserve"> </w:t>
      </w:r>
      <w:r>
        <w:rPr>
          <w:rFonts w:ascii="Garamond" w:hAnsi="Garamond"/>
          <w:sz w:val="20"/>
        </w:rPr>
        <w:t xml:space="preserve">leverage.  </w:t>
      </w:r>
      <w:r w:rsidRPr="000E4A73">
        <w:rPr>
          <w:rFonts w:ascii="Garamond" w:hAnsi="Garamond"/>
          <w:sz w:val="20"/>
        </w:rPr>
        <w:t xml:space="preserve">Variable definitions are provided in </w:t>
      </w:r>
      <w:r>
        <w:rPr>
          <w:rFonts w:ascii="Garamond" w:hAnsi="Garamond"/>
          <w:sz w:val="20"/>
        </w:rPr>
        <w:t>the a</w:t>
      </w:r>
      <w:r w:rsidRPr="000E4A73">
        <w:rPr>
          <w:rFonts w:ascii="Garamond" w:hAnsi="Garamond"/>
          <w:sz w:val="20"/>
        </w:rPr>
        <w:t xml:space="preserve">ppendix. </w:t>
      </w:r>
      <w:proofErr w:type="gramStart"/>
      <w:r>
        <w:rPr>
          <w:rFonts w:ascii="Garamond" w:hAnsi="Garamond"/>
          <w:i/>
          <w:color w:val="000000" w:themeColor="text1"/>
          <w:sz w:val="20"/>
        </w:rPr>
        <w:t>t</w:t>
      </w:r>
      <w:r w:rsidRPr="0027464C">
        <w:rPr>
          <w:rFonts w:ascii="Garamond" w:hAnsi="Garamond"/>
          <w:color w:val="000000" w:themeColor="text1"/>
          <w:sz w:val="20"/>
        </w:rPr>
        <w:t>-statistics</w:t>
      </w:r>
      <w:proofErr w:type="gramEnd"/>
      <w:r w:rsidRPr="0027464C">
        <w:rPr>
          <w:rFonts w:ascii="Garamond" w:hAnsi="Garamond"/>
          <w:color w:val="000000" w:themeColor="text1"/>
          <w:sz w:val="20"/>
        </w:rPr>
        <w:t xml:space="preserve"> are reported in parentheses and ***, ** and * indicate significance at the 1%, 5% and 10% level respectively. Standard errors are clustered at firm level</w:t>
      </w:r>
      <w:r>
        <w:rPr>
          <w:rFonts w:ascii="Garamond" w:hAnsi="Garamond"/>
          <w:color w:val="000000" w:themeColor="text1"/>
          <w:sz w:val="20"/>
        </w:rPr>
        <w:t xml:space="preserve">. </w:t>
      </w:r>
    </w:p>
    <w:tbl>
      <w:tblPr>
        <w:tblW w:w="0" w:type="auto"/>
        <w:tblInd w:w="-743" w:type="dxa"/>
        <w:tblBorders>
          <w:top w:val="single" w:sz="4" w:space="0" w:color="auto"/>
          <w:bottom w:val="single" w:sz="4" w:space="0" w:color="auto"/>
        </w:tblBorders>
        <w:tblLook w:val="04A0"/>
      </w:tblPr>
      <w:tblGrid>
        <w:gridCol w:w="2978"/>
        <w:gridCol w:w="1275"/>
        <w:gridCol w:w="1134"/>
        <w:gridCol w:w="1134"/>
        <w:gridCol w:w="1134"/>
        <w:gridCol w:w="1060"/>
        <w:gridCol w:w="1208"/>
      </w:tblGrid>
      <w:tr w:rsidR="00583BD3" w:rsidRPr="006C4823" w:rsidTr="000727E8">
        <w:trPr>
          <w:trHeight w:val="20"/>
        </w:trPr>
        <w:tc>
          <w:tcPr>
            <w:tcW w:w="2978" w:type="dxa"/>
            <w:tcBorders>
              <w:top w:val="single" w:sz="4" w:space="0" w:color="auto"/>
              <w:bottom w:val="single" w:sz="4" w:space="0" w:color="auto"/>
            </w:tcBorders>
            <w:shd w:val="clear" w:color="auto" w:fill="auto"/>
            <w:noWrap/>
            <w:vAlign w:val="bottom"/>
            <w:hideMark/>
          </w:tcPr>
          <w:p w:rsidR="00583BD3" w:rsidRPr="006C4823" w:rsidRDefault="00583BD3" w:rsidP="000727E8">
            <w:pPr>
              <w:rPr>
                <w:rFonts w:ascii="Garamond" w:hAnsi="Garamond"/>
                <w:sz w:val="20"/>
                <w:szCs w:val="20"/>
              </w:rPr>
            </w:pPr>
          </w:p>
        </w:tc>
        <w:tc>
          <w:tcPr>
            <w:tcW w:w="1275" w:type="dxa"/>
            <w:tcBorders>
              <w:top w:val="single" w:sz="4" w:space="0" w:color="auto"/>
              <w:bottom w:val="single" w:sz="4" w:space="0" w:color="auto"/>
            </w:tcBorders>
            <w:shd w:val="clear" w:color="auto" w:fill="auto"/>
            <w:noWrap/>
            <w:hideMark/>
          </w:tcPr>
          <w:p w:rsidR="00583BD3" w:rsidRPr="006C4823" w:rsidRDefault="00583BD3" w:rsidP="000727E8">
            <w:pPr>
              <w:jc w:val="center"/>
              <w:rPr>
                <w:rFonts w:ascii="Garamond" w:hAnsi="Garamond" w:cs="Calibri"/>
                <w:color w:val="000000"/>
                <w:sz w:val="20"/>
                <w:szCs w:val="20"/>
              </w:rPr>
            </w:pPr>
            <w:r w:rsidRPr="006C4823">
              <w:rPr>
                <w:rFonts w:ascii="Garamond" w:hAnsi="Garamond" w:cs="Calibri"/>
                <w:color w:val="000000"/>
                <w:sz w:val="20"/>
                <w:szCs w:val="20"/>
              </w:rPr>
              <w:t>(1)</w:t>
            </w:r>
          </w:p>
        </w:tc>
        <w:tc>
          <w:tcPr>
            <w:tcW w:w="1134" w:type="dxa"/>
            <w:tcBorders>
              <w:top w:val="single" w:sz="4" w:space="0" w:color="auto"/>
              <w:bottom w:val="single" w:sz="4" w:space="0" w:color="auto"/>
            </w:tcBorders>
            <w:shd w:val="clear" w:color="auto" w:fill="auto"/>
            <w:noWrap/>
            <w:hideMark/>
          </w:tcPr>
          <w:p w:rsidR="00583BD3" w:rsidRPr="006C4823" w:rsidRDefault="00583BD3" w:rsidP="000727E8">
            <w:pPr>
              <w:jc w:val="center"/>
              <w:rPr>
                <w:rFonts w:ascii="Garamond" w:hAnsi="Garamond" w:cs="Calibri"/>
                <w:color w:val="000000"/>
                <w:sz w:val="20"/>
                <w:szCs w:val="20"/>
              </w:rPr>
            </w:pPr>
            <w:r w:rsidRPr="006C4823">
              <w:rPr>
                <w:rFonts w:ascii="Garamond" w:hAnsi="Garamond" w:cs="Calibri"/>
                <w:color w:val="000000"/>
                <w:sz w:val="20"/>
                <w:szCs w:val="20"/>
              </w:rPr>
              <w:t>(2)</w:t>
            </w:r>
          </w:p>
        </w:tc>
        <w:tc>
          <w:tcPr>
            <w:tcW w:w="1134" w:type="dxa"/>
            <w:tcBorders>
              <w:top w:val="single" w:sz="4" w:space="0" w:color="auto"/>
              <w:bottom w:val="single" w:sz="4" w:space="0" w:color="auto"/>
            </w:tcBorders>
            <w:shd w:val="clear" w:color="auto" w:fill="auto"/>
            <w:noWrap/>
            <w:hideMark/>
          </w:tcPr>
          <w:p w:rsidR="00583BD3" w:rsidRPr="006C4823" w:rsidRDefault="00583BD3" w:rsidP="000727E8">
            <w:pPr>
              <w:jc w:val="center"/>
              <w:rPr>
                <w:rFonts w:ascii="Garamond" w:hAnsi="Garamond" w:cs="Calibri"/>
                <w:color w:val="000000"/>
                <w:sz w:val="20"/>
                <w:szCs w:val="20"/>
              </w:rPr>
            </w:pPr>
            <w:r w:rsidRPr="006C4823">
              <w:rPr>
                <w:rFonts w:ascii="Garamond" w:hAnsi="Garamond" w:cs="Calibri"/>
                <w:color w:val="000000"/>
                <w:sz w:val="20"/>
                <w:szCs w:val="20"/>
              </w:rPr>
              <w:t>(3)</w:t>
            </w:r>
          </w:p>
        </w:tc>
        <w:tc>
          <w:tcPr>
            <w:tcW w:w="1134" w:type="dxa"/>
            <w:tcBorders>
              <w:top w:val="single" w:sz="4" w:space="0" w:color="auto"/>
              <w:bottom w:val="single" w:sz="4" w:space="0" w:color="auto"/>
            </w:tcBorders>
            <w:shd w:val="clear" w:color="auto" w:fill="auto"/>
            <w:noWrap/>
            <w:hideMark/>
          </w:tcPr>
          <w:p w:rsidR="00583BD3" w:rsidRPr="006C4823" w:rsidRDefault="00583BD3" w:rsidP="000727E8">
            <w:pPr>
              <w:jc w:val="center"/>
              <w:rPr>
                <w:rFonts w:ascii="Garamond" w:hAnsi="Garamond" w:cs="Calibri"/>
                <w:color w:val="000000"/>
                <w:sz w:val="20"/>
                <w:szCs w:val="20"/>
              </w:rPr>
            </w:pPr>
            <w:r w:rsidRPr="006C4823">
              <w:rPr>
                <w:rFonts w:ascii="Garamond" w:hAnsi="Garamond" w:cs="Calibri"/>
                <w:color w:val="000000"/>
                <w:sz w:val="20"/>
                <w:szCs w:val="20"/>
              </w:rPr>
              <w:t>(4)</w:t>
            </w:r>
          </w:p>
        </w:tc>
        <w:tc>
          <w:tcPr>
            <w:tcW w:w="1060" w:type="dxa"/>
            <w:tcBorders>
              <w:top w:val="single" w:sz="4" w:space="0" w:color="auto"/>
              <w:bottom w:val="single" w:sz="4" w:space="0" w:color="auto"/>
            </w:tcBorders>
            <w:shd w:val="clear" w:color="auto" w:fill="auto"/>
            <w:noWrap/>
            <w:hideMark/>
          </w:tcPr>
          <w:p w:rsidR="00583BD3" w:rsidRPr="006C4823" w:rsidRDefault="00583BD3" w:rsidP="000727E8">
            <w:pPr>
              <w:rPr>
                <w:rFonts w:ascii="Garamond" w:hAnsi="Garamond" w:cs="Calibri"/>
                <w:color w:val="000000"/>
                <w:sz w:val="20"/>
                <w:szCs w:val="20"/>
              </w:rPr>
            </w:pPr>
            <w:r w:rsidRPr="006C4823">
              <w:rPr>
                <w:rFonts w:ascii="Garamond" w:hAnsi="Garamond" w:cs="Calibri"/>
                <w:color w:val="000000"/>
                <w:sz w:val="20"/>
                <w:szCs w:val="20"/>
              </w:rPr>
              <w:t>(5)</w:t>
            </w:r>
          </w:p>
        </w:tc>
        <w:tc>
          <w:tcPr>
            <w:tcW w:w="1208" w:type="dxa"/>
            <w:tcBorders>
              <w:top w:val="single" w:sz="4" w:space="0" w:color="auto"/>
              <w:bottom w:val="single" w:sz="4" w:space="0" w:color="auto"/>
            </w:tcBorders>
            <w:shd w:val="clear" w:color="auto" w:fill="auto"/>
            <w:noWrap/>
            <w:hideMark/>
          </w:tcPr>
          <w:p w:rsidR="00583BD3" w:rsidRPr="006C4823" w:rsidRDefault="00583BD3" w:rsidP="000727E8">
            <w:pPr>
              <w:rPr>
                <w:rFonts w:ascii="Garamond" w:hAnsi="Garamond" w:cs="Calibri"/>
                <w:color w:val="000000"/>
                <w:sz w:val="20"/>
                <w:szCs w:val="20"/>
              </w:rPr>
            </w:pPr>
            <w:r w:rsidRPr="006C4823">
              <w:rPr>
                <w:rFonts w:ascii="Garamond" w:hAnsi="Garamond" w:cs="Calibri"/>
                <w:color w:val="000000"/>
                <w:sz w:val="20"/>
                <w:szCs w:val="20"/>
              </w:rPr>
              <w:t>(6)</w:t>
            </w:r>
          </w:p>
        </w:tc>
      </w:tr>
      <w:tr w:rsidR="00583BD3" w:rsidRPr="00C07CF2" w:rsidTr="000727E8">
        <w:trPr>
          <w:trHeight w:val="20"/>
        </w:trPr>
        <w:tc>
          <w:tcPr>
            <w:tcW w:w="2978" w:type="dxa"/>
            <w:tcBorders>
              <w:top w:val="single" w:sz="4" w:space="0" w:color="auto"/>
            </w:tcBorders>
            <w:shd w:val="clear" w:color="auto" w:fill="auto"/>
            <w:noWrap/>
            <w:hideMark/>
          </w:tcPr>
          <w:p w:rsidR="00583BD3" w:rsidRPr="0062470B" w:rsidRDefault="00583BD3" w:rsidP="000727E8">
            <w:pPr>
              <w:jc w:val="center"/>
              <w:rPr>
                <w:rFonts w:ascii="Garamond" w:hAnsi="Garamond" w:cs="Calibri"/>
                <w:color w:val="FF0000"/>
                <w:sz w:val="18"/>
                <w:szCs w:val="18"/>
                <w:vertAlign w:val="subscript"/>
              </w:rPr>
            </w:pPr>
            <w:r w:rsidRPr="00162C53">
              <w:rPr>
                <w:rFonts w:ascii="Garamond" w:hAnsi="Garamond" w:cs="Calibri"/>
                <w:color w:val="000000" w:themeColor="text1"/>
                <w:sz w:val="20"/>
                <w:szCs w:val="20"/>
              </w:rPr>
              <w:t>CFO Female Dummy</w:t>
            </w:r>
            <w:r w:rsidRPr="0062470B">
              <w:rPr>
                <w:rFonts w:ascii="Garamond" w:hAnsi="Garamond" w:cs="Calibri"/>
                <w:color w:val="000000"/>
                <w:sz w:val="18"/>
                <w:szCs w:val="18"/>
                <w:vertAlign w:val="subscript"/>
              </w:rPr>
              <w:t>t-1</w:t>
            </w:r>
          </w:p>
        </w:tc>
        <w:tc>
          <w:tcPr>
            <w:tcW w:w="1275" w:type="dxa"/>
            <w:tcBorders>
              <w:top w:val="single" w:sz="4" w:space="0" w:color="auto"/>
            </w:tcBorders>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-0.0417**</w:t>
            </w:r>
          </w:p>
        </w:tc>
        <w:tc>
          <w:tcPr>
            <w:tcW w:w="1134" w:type="dxa"/>
            <w:tcBorders>
              <w:top w:val="single" w:sz="4" w:space="0" w:color="auto"/>
            </w:tcBorders>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-0.0416**</w:t>
            </w:r>
          </w:p>
        </w:tc>
        <w:tc>
          <w:tcPr>
            <w:tcW w:w="1134" w:type="dxa"/>
            <w:tcBorders>
              <w:top w:val="single" w:sz="4" w:space="0" w:color="auto"/>
            </w:tcBorders>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-0.0419**</w:t>
            </w:r>
          </w:p>
        </w:tc>
        <w:tc>
          <w:tcPr>
            <w:tcW w:w="1134" w:type="dxa"/>
            <w:tcBorders>
              <w:top w:val="single" w:sz="4" w:space="0" w:color="auto"/>
            </w:tcBorders>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-0.0417**</w:t>
            </w:r>
          </w:p>
        </w:tc>
        <w:tc>
          <w:tcPr>
            <w:tcW w:w="1060" w:type="dxa"/>
            <w:tcBorders>
              <w:top w:val="single" w:sz="4" w:space="0" w:color="auto"/>
            </w:tcBorders>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-0.0417**</w:t>
            </w:r>
          </w:p>
        </w:tc>
        <w:tc>
          <w:tcPr>
            <w:tcW w:w="1208" w:type="dxa"/>
            <w:tcBorders>
              <w:top w:val="single" w:sz="4" w:space="0" w:color="auto"/>
            </w:tcBorders>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-0.0442**</w:t>
            </w:r>
          </w:p>
        </w:tc>
      </w:tr>
      <w:tr w:rsidR="00583BD3" w:rsidRPr="00C07CF2" w:rsidTr="000727E8">
        <w:trPr>
          <w:trHeight w:val="20"/>
        </w:trPr>
        <w:tc>
          <w:tcPr>
            <w:tcW w:w="2978" w:type="dxa"/>
            <w:shd w:val="clear" w:color="auto" w:fill="auto"/>
            <w:noWrap/>
            <w:hideMark/>
          </w:tcPr>
          <w:p w:rsidR="00583BD3" w:rsidRPr="00D14B9E" w:rsidRDefault="00583BD3" w:rsidP="000727E8">
            <w:pPr>
              <w:jc w:val="center"/>
              <w:rPr>
                <w:rFonts w:ascii="Garamond" w:hAnsi="Garamond" w:cs="Calibri"/>
                <w:color w:val="000000"/>
                <w:sz w:val="18"/>
                <w:szCs w:val="18"/>
              </w:rPr>
            </w:pPr>
          </w:p>
        </w:tc>
        <w:tc>
          <w:tcPr>
            <w:tcW w:w="1275"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(-2.49)</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(-2.50)</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(-2.50)</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(-2.49)</w:t>
            </w:r>
          </w:p>
        </w:tc>
        <w:tc>
          <w:tcPr>
            <w:tcW w:w="1060"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(-2.51)</w:t>
            </w:r>
          </w:p>
        </w:tc>
        <w:tc>
          <w:tcPr>
            <w:tcW w:w="1208"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(-2.55)</w:t>
            </w:r>
          </w:p>
        </w:tc>
      </w:tr>
      <w:tr w:rsidR="00583BD3" w:rsidRPr="00C07CF2" w:rsidTr="000727E8">
        <w:trPr>
          <w:trHeight w:val="20"/>
        </w:trPr>
        <w:tc>
          <w:tcPr>
            <w:tcW w:w="2978" w:type="dxa"/>
            <w:shd w:val="clear" w:color="auto" w:fill="auto"/>
            <w:noWrap/>
            <w:hideMark/>
          </w:tcPr>
          <w:p w:rsidR="00583BD3" w:rsidRPr="00905DE4" w:rsidRDefault="00583BD3" w:rsidP="000727E8">
            <w:pPr>
              <w:jc w:val="center"/>
              <w:rPr>
                <w:rFonts w:ascii="Garamond" w:hAnsi="Garamond" w:cs="Calibri"/>
                <w:color w:val="000000" w:themeColor="text1"/>
                <w:sz w:val="20"/>
                <w:szCs w:val="20"/>
              </w:rPr>
            </w:pPr>
            <w:r w:rsidRPr="00162C53">
              <w:rPr>
                <w:rFonts w:ascii="Garamond" w:hAnsi="Garamond" w:cs="Calibri"/>
                <w:color w:val="000000" w:themeColor="text1"/>
                <w:sz w:val="20"/>
                <w:szCs w:val="20"/>
              </w:rPr>
              <w:t>CEO Female Dummy</w:t>
            </w:r>
            <w:r w:rsidRPr="0062470B">
              <w:rPr>
                <w:rFonts w:ascii="Garamond" w:hAnsi="Garamond" w:cs="Calibri"/>
                <w:color w:val="000000"/>
                <w:sz w:val="18"/>
                <w:szCs w:val="18"/>
                <w:vertAlign w:val="subscript"/>
              </w:rPr>
              <w:t>t-1</w:t>
            </w:r>
          </w:p>
        </w:tc>
        <w:tc>
          <w:tcPr>
            <w:tcW w:w="1275"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0.0124</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0.00795</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0.0130</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0.0125</w:t>
            </w:r>
          </w:p>
        </w:tc>
        <w:tc>
          <w:tcPr>
            <w:tcW w:w="1060"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0.00870</w:t>
            </w:r>
          </w:p>
        </w:tc>
        <w:tc>
          <w:tcPr>
            <w:tcW w:w="1208"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0.0104</w:t>
            </w:r>
          </w:p>
        </w:tc>
      </w:tr>
      <w:tr w:rsidR="00583BD3" w:rsidRPr="00C07CF2" w:rsidTr="000727E8">
        <w:trPr>
          <w:trHeight w:val="20"/>
        </w:trPr>
        <w:tc>
          <w:tcPr>
            <w:tcW w:w="2978" w:type="dxa"/>
            <w:shd w:val="clear" w:color="auto" w:fill="auto"/>
            <w:noWrap/>
            <w:hideMark/>
          </w:tcPr>
          <w:p w:rsidR="00583BD3" w:rsidRPr="00905DE4" w:rsidRDefault="00583BD3" w:rsidP="000727E8">
            <w:pPr>
              <w:jc w:val="center"/>
              <w:rPr>
                <w:rFonts w:ascii="Garamond" w:hAnsi="Garamond" w:cs="Calibri"/>
                <w:color w:val="000000" w:themeColor="text1"/>
                <w:sz w:val="20"/>
                <w:szCs w:val="20"/>
              </w:rPr>
            </w:pPr>
          </w:p>
        </w:tc>
        <w:tc>
          <w:tcPr>
            <w:tcW w:w="1275"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(0.50)</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(0.31)</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(0.52)</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(0.50)</w:t>
            </w:r>
          </w:p>
        </w:tc>
        <w:tc>
          <w:tcPr>
            <w:tcW w:w="1060"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(0.34)</w:t>
            </w:r>
          </w:p>
        </w:tc>
        <w:tc>
          <w:tcPr>
            <w:tcW w:w="1208"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(0.41)</w:t>
            </w:r>
          </w:p>
        </w:tc>
      </w:tr>
      <w:tr w:rsidR="00583BD3" w:rsidRPr="00C07CF2" w:rsidTr="000727E8">
        <w:trPr>
          <w:trHeight w:val="20"/>
        </w:trPr>
        <w:tc>
          <w:tcPr>
            <w:tcW w:w="2978" w:type="dxa"/>
            <w:shd w:val="clear" w:color="auto" w:fill="auto"/>
            <w:noWrap/>
            <w:hideMark/>
          </w:tcPr>
          <w:p w:rsidR="00583BD3" w:rsidRPr="00162C53" w:rsidRDefault="00583BD3" w:rsidP="000727E8">
            <w:pPr>
              <w:jc w:val="center"/>
              <w:rPr>
                <w:rFonts w:ascii="Garamond" w:hAnsi="Garamond" w:cs="Calibri"/>
                <w:color w:val="000000" w:themeColor="text1"/>
                <w:sz w:val="20"/>
                <w:szCs w:val="20"/>
              </w:rPr>
            </w:pPr>
            <w:r w:rsidRPr="00162C53">
              <w:rPr>
                <w:rFonts w:ascii="Garamond" w:hAnsi="Garamond" w:cs="Calibri"/>
                <w:color w:val="000000" w:themeColor="text1"/>
                <w:sz w:val="20"/>
                <w:szCs w:val="20"/>
              </w:rPr>
              <w:t>Board Gender Diversity</w:t>
            </w:r>
            <w:r w:rsidRPr="00162C53">
              <w:rPr>
                <w:rFonts w:ascii="Garamond" w:hAnsi="Garamond" w:cs="Calibri"/>
                <w:color w:val="000000"/>
                <w:sz w:val="20"/>
                <w:szCs w:val="20"/>
                <w:vertAlign w:val="subscript"/>
              </w:rPr>
              <w:t>t-1</w:t>
            </w:r>
          </w:p>
        </w:tc>
        <w:tc>
          <w:tcPr>
            <w:tcW w:w="1275" w:type="dxa"/>
            <w:shd w:val="clear" w:color="auto" w:fill="auto"/>
            <w:noWrap/>
            <w:vAlign w:val="center"/>
            <w:hideMark/>
          </w:tcPr>
          <w:p w:rsidR="00583BD3" w:rsidRPr="00C07CF2" w:rsidRDefault="00583BD3" w:rsidP="000727E8">
            <w:pPr>
              <w:rPr>
                <w:rFonts w:ascii="Garamond" w:hAnsi="Garamond"/>
                <w:color w:val="000000"/>
                <w:sz w:val="20"/>
                <w:szCs w:val="20"/>
              </w:rPr>
            </w:pP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0.0438</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p>
        </w:tc>
        <w:tc>
          <w:tcPr>
            <w:tcW w:w="1060"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0.0418</w:t>
            </w:r>
          </w:p>
        </w:tc>
        <w:tc>
          <w:tcPr>
            <w:tcW w:w="1208" w:type="dxa"/>
            <w:shd w:val="clear" w:color="auto" w:fill="auto"/>
            <w:noWrap/>
            <w:vAlign w:val="center"/>
            <w:hideMark/>
          </w:tcPr>
          <w:p w:rsidR="00583BD3" w:rsidRPr="00C07CF2" w:rsidRDefault="00583BD3" w:rsidP="000727E8">
            <w:pPr>
              <w:rPr>
                <w:rFonts w:ascii="Garamond" w:hAnsi="Garamond"/>
                <w:color w:val="000000"/>
                <w:sz w:val="20"/>
                <w:szCs w:val="20"/>
              </w:rPr>
            </w:pPr>
          </w:p>
        </w:tc>
      </w:tr>
      <w:tr w:rsidR="00583BD3" w:rsidRPr="00C07CF2" w:rsidTr="000727E8">
        <w:trPr>
          <w:trHeight w:val="20"/>
        </w:trPr>
        <w:tc>
          <w:tcPr>
            <w:tcW w:w="2978" w:type="dxa"/>
            <w:shd w:val="clear" w:color="auto" w:fill="auto"/>
            <w:noWrap/>
            <w:hideMark/>
          </w:tcPr>
          <w:p w:rsidR="00583BD3" w:rsidRPr="00162C53" w:rsidRDefault="00583BD3" w:rsidP="000727E8">
            <w:pPr>
              <w:jc w:val="center"/>
              <w:rPr>
                <w:rFonts w:ascii="Garamond" w:hAnsi="Garamond" w:cs="Calibri"/>
                <w:color w:val="000000" w:themeColor="text1"/>
                <w:sz w:val="20"/>
                <w:szCs w:val="20"/>
              </w:rPr>
            </w:pPr>
          </w:p>
        </w:tc>
        <w:tc>
          <w:tcPr>
            <w:tcW w:w="1275" w:type="dxa"/>
            <w:shd w:val="clear" w:color="auto" w:fill="auto"/>
            <w:noWrap/>
            <w:vAlign w:val="center"/>
            <w:hideMark/>
          </w:tcPr>
          <w:p w:rsidR="00583BD3" w:rsidRPr="00C07CF2" w:rsidRDefault="00583BD3" w:rsidP="000727E8">
            <w:pPr>
              <w:rPr>
                <w:rFonts w:ascii="Garamond" w:hAnsi="Garamond"/>
                <w:color w:val="000000"/>
                <w:sz w:val="20"/>
                <w:szCs w:val="20"/>
              </w:rPr>
            </w:pP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(0.93)</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p>
        </w:tc>
        <w:tc>
          <w:tcPr>
            <w:tcW w:w="1060"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(0.89)</w:t>
            </w:r>
          </w:p>
        </w:tc>
        <w:tc>
          <w:tcPr>
            <w:tcW w:w="1208" w:type="dxa"/>
            <w:shd w:val="clear" w:color="auto" w:fill="auto"/>
            <w:noWrap/>
            <w:vAlign w:val="center"/>
            <w:hideMark/>
          </w:tcPr>
          <w:p w:rsidR="00583BD3" w:rsidRPr="00C07CF2" w:rsidRDefault="00583BD3" w:rsidP="000727E8">
            <w:pPr>
              <w:rPr>
                <w:rFonts w:ascii="Garamond" w:hAnsi="Garamond"/>
                <w:color w:val="000000"/>
                <w:sz w:val="20"/>
                <w:szCs w:val="20"/>
              </w:rPr>
            </w:pPr>
          </w:p>
        </w:tc>
      </w:tr>
      <w:tr w:rsidR="00583BD3" w:rsidRPr="00C07CF2" w:rsidTr="000727E8">
        <w:trPr>
          <w:trHeight w:val="20"/>
        </w:trPr>
        <w:tc>
          <w:tcPr>
            <w:tcW w:w="2978" w:type="dxa"/>
            <w:shd w:val="clear" w:color="auto" w:fill="auto"/>
            <w:noWrap/>
            <w:hideMark/>
          </w:tcPr>
          <w:p w:rsidR="00583BD3" w:rsidRPr="00162C53" w:rsidRDefault="00583BD3" w:rsidP="000727E8">
            <w:pPr>
              <w:jc w:val="center"/>
              <w:rPr>
                <w:rFonts w:ascii="Garamond" w:hAnsi="Garamond" w:cs="Calibri"/>
                <w:color w:val="000000" w:themeColor="text1"/>
                <w:sz w:val="20"/>
                <w:szCs w:val="20"/>
              </w:rPr>
            </w:pPr>
            <w:r w:rsidRPr="00162C53">
              <w:rPr>
                <w:rFonts w:ascii="Garamond" w:hAnsi="Garamond" w:cs="Calibri"/>
                <w:color w:val="000000" w:themeColor="text1"/>
                <w:sz w:val="20"/>
                <w:szCs w:val="20"/>
              </w:rPr>
              <w:t>Board Nationality Diversity</w:t>
            </w:r>
            <w:r w:rsidRPr="00162C53">
              <w:rPr>
                <w:rFonts w:ascii="Garamond" w:hAnsi="Garamond" w:cs="Calibri"/>
                <w:color w:val="000000"/>
                <w:sz w:val="20"/>
                <w:szCs w:val="20"/>
                <w:vertAlign w:val="subscript"/>
              </w:rPr>
              <w:t>t-1</w:t>
            </w:r>
          </w:p>
        </w:tc>
        <w:tc>
          <w:tcPr>
            <w:tcW w:w="1275" w:type="dxa"/>
            <w:shd w:val="clear" w:color="auto" w:fill="auto"/>
            <w:noWrap/>
            <w:vAlign w:val="center"/>
            <w:hideMark/>
          </w:tcPr>
          <w:p w:rsidR="00583BD3" w:rsidRPr="00C07CF2" w:rsidRDefault="00583BD3" w:rsidP="000727E8">
            <w:pPr>
              <w:rPr>
                <w:rFonts w:ascii="Garamond" w:hAnsi="Garamond"/>
                <w:color w:val="000000"/>
                <w:sz w:val="20"/>
                <w:szCs w:val="20"/>
              </w:rPr>
            </w:pP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0.0185</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p>
        </w:tc>
        <w:tc>
          <w:tcPr>
            <w:tcW w:w="1060"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0.0159</w:t>
            </w:r>
          </w:p>
        </w:tc>
        <w:tc>
          <w:tcPr>
            <w:tcW w:w="1208" w:type="dxa"/>
            <w:shd w:val="clear" w:color="auto" w:fill="auto"/>
            <w:noWrap/>
            <w:vAlign w:val="center"/>
            <w:hideMark/>
          </w:tcPr>
          <w:p w:rsidR="00583BD3" w:rsidRPr="00C07CF2" w:rsidRDefault="00583BD3" w:rsidP="000727E8">
            <w:pPr>
              <w:rPr>
                <w:rFonts w:ascii="Garamond" w:hAnsi="Garamond"/>
                <w:color w:val="000000"/>
                <w:sz w:val="20"/>
                <w:szCs w:val="20"/>
              </w:rPr>
            </w:pPr>
          </w:p>
        </w:tc>
      </w:tr>
      <w:tr w:rsidR="00583BD3" w:rsidRPr="00C07CF2" w:rsidTr="000727E8">
        <w:trPr>
          <w:trHeight w:val="20"/>
        </w:trPr>
        <w:tc>
          <w:tcPr>
            <w:tcW w:w="2978" w:type="dxa"/>
            <w:shd w:val="clear" w:color="auto" w:fill="auto"/>
            <w:noWrap/>
            <w:hideMark/>
          </w:tcPr>
          <w:p w:rsidR="00583BD3" w:rsidRPr="00162C53" w:rsidRDefault="00583BD3" w:rsidP="000727E8">
            <w:pPr>
              <w:jc w:val="center"/>
              <w:rPr>
                <w:rFonts w:ascii="Garamond" w:hAnsi="Garamond" w:cs="Calibri"/>
                <w:color w:val="000000" w:themeColor="text1"/>
                <w:sz w:val="20"/>
                <w:szCs w:val="20"/>
              </w:rPr>
            </w:pPr>
          </w:p>
        </w:tc>
        <w:tc>
          <w:tcPr>
            <w:tcW w:w="1275" w:type="dxa"/>
            <w:shd w:val="clear" w:color="auto" w:fill="auto"/>
            <w:noWrap/>
            <w:vAlign w:val="center"/>
            <w:hideMark/>
          </w:tcPr>
          <w:p w:rsidR="00583BD3" w:rsidRPr="00C07CF2" w:rsidRDefault="00583BD3" w:rsidP="000727E8">
            <w:pPr>
              <w:rPr>
                <w:rFonts w:ascii="Garamond" w:hAnsi="Garamond"/>
                <w:color w:val="000000"/>
                <w:sz w:val="20"/>
                <w:szCs w:val="20"/>
              </w:rPr>
            </w:pP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(0.48)</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p>
        </w:tc>
        <w:tc>
          <w:tcPr>
            <w:tcW w:w="1060"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(0.41)</w:t>
            </w:r>
          </w:p>
        </w:tc>
        <w:tc>
          <w:tcPr>
            <w:tcW w:w="1208" w:type="dxa"/>
            <w:shd w:val="clear" w:color="auto" w:fill="auto"/>
            <w:noWrap/>
            <w:vAlign w:val="center"/>
            <w:hideMark/>
          </w:tcPr>
          <w:p w:rsidR="00583BD3" w:rsidRPr="00C07CF2" w:rsidRDefault="00583BD3" w:rsidP="000727E8">
            <w:pPr>
              <w:rPr>
                <w:rFonts w:ascii="Garamond" w:hAnsi="Garamond"/>
                <w:color w:val="000000"/>
                <w:sz w:val="20"/>
                <w:szCs w:val="20"/>
              </w:rPr>
            </w:pPr>
          </w:p>
        </w:tc>
      </w:tr>
      <w:tr w:rsidR="00583BD3" w:rsidRPr="00C07CF2" w:rsidTr="000727E8">
        <w:trPr>
          <w:trHeight w:val="20"/>
        </w:trPr>
        <w:tc>
          <w:tcPr>
            <w:tcW w:w="2978" w:type="dxa"/>
            <w:tcBorders>
              <w:bottom w:val="nil"/>
            </w:tcBorders>
            <w:shd w:val="clear" w:color="auto" w:fill="auto"/>
            <w:noWrap/>
            <w:hideMark/>
          </w:tcPr>
          <w:p w:rsidR="00583BD3" w:rsidRPr="00162C53" w:rsidRDefault="00583BD3" w:rsidP="000727E8">
            <w:pPr>
              <w:jc w:val="center"/>
              <w:rPr>
                <w:rFonts w:ascii="Garamond" w:hAnsi="Garamond" w:cs="Calibri"/>
                <w:color w:val="000000" w:themeColor="text1"/>
                <w:sz w:val="20"/>
                <w:szCs w:val="20"/>
              </w:rPr>
            </w:pPr>
            <w:r w:rsidRPr="00162C53">
              <w:rPr>
                <w:rFonts w:ascii="Garamond" w:hAnsi="Garamond" w:cs="Calibri"/>
                <w:color w:val="000000" w:themeColor="text1"/>
                <w:sz w:val="20"/>
                <w:szCs w:val="20"/>
              </w:rPr>
              <w:t>Board Age Diversity</w:t>
            </w:r>
            <w:r w:rsidRPr="00162C53">
              <w:rPr>
                <w:rFonts w:ascii="Garamond" w:hAnsi="Garamond" w:cs="Calibri"/>
                <w:color w:val="000000"/>
                <w:sz w:val="20"/>
                <w:szCs w:val="20"/>
                <w:vertAlign w:val="subscript"/>
              </w:rPr>
              <w:t>t-1</w:t>
            </w:r>
          </w:p>
        </w:tc>
        <w:tc>
          <w:tcPr>
            <w:tcW w:w="1275" w:type="dxa"/>
            <w:tcBorders>
              <w:bottom w:val="nil"/>
            </w:tcBorders>
            <w:shd w:val="clear" w:color="auto" w:fill="auto"/>
            <w:noWrap/>
            <w:vAlign w:val="center"/>
            <w:hideMark/>
          </w:tcPr>
          <w:p w:rsidR="00583BD3" w:rsidRPr="00C07CF2" w:rsidRDefault="00583BD3" w:rsidP="000727E8">
            <w:pPr>
              <w:rPr>
                <w:rFonts w:ascii="Garamond" w:hAnsi="Garamond"/>
                <w:color w:val="000000"/>
                <w:sz w:val="20"/>
                <w:szCs w:val="20"/>
              </w:rPr>
            </w:pPr>
          </w:p>
        </w:tc>
        <w:tc>
          <w:tcPr>
            <w:tcW w:w="1134" w:type="dxa"/>
            <w:tcBorders>
              <w:bottom w:val="nil"/>
            </w:tcBorders>
            <w:shd w:val="clear" w:color="auto" w:fill="auto"/>
            <w:noWrap/>
            <w:vAlign w:val="center"/>
            <w:hideMark/>
          </w:tcPr>
          <w:p w:rsidR="00583BD3" w:rsidRPr="00C07CF2" w:rsidRDefault="00583BD3" w:rsidP="000727E8">
            <w:pPr>
              <w:rPr>
                <w:rFonts w:ascii="Garamond" w:hAnsi="Garamond"/>
                <w:color w:val="000000"/>
                <w:sz w:val="20"/>
                <w:szCs w:val="20"/>
              </w:rPr>
            </w:pPr>
          </w:p>
        </w:tc>
        <w:tc>
          <w:tcPr>
            <w:tcW w:w="1134" w:type="dxa"/>
            <w:tcBorders>
              <w:bottom w:val="nil"/>
            </w:tcBorders>
            <w:shd w:val="clear" w:color="auto" w:fill="auto"/>
            <w:noWrap/>
            <w:vAlign w:val="center"/>
            <w:hideMark/>
          </w:tcPr>
          <w:p w:rsidR="00583BD3" w:rsidRPr="00C07CF2" w:rsidRDefault="00583BD3" w:rsidP="000727E8">
            <w:pPr>
              <w:rPr>
                <w:rFonts w:ascii="Garamond" w:hAnsi="Garamond"/>
                <w:color w:val="000000"/>
                <w:sz w:val="20"/>
                <w:szCs w:val="20"/>
              </w:rPr>
            </w:pPr>
          </w:p>
        </w:tc>
        <w:tc>
          <w:tcPr>
            <w:tcW w:w="1134" w:type="dxa"/>
            <w:tcBorders>
              <w:bottom w:val="nil"/>
            </w:tcBorders>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-0.00145</w:t>
            </w:r>
          </w:p>
        </w:tc>
        <w:tc>
          <w:tcPr>
            <w:tcW w:w="1060" w:type="dxa"/>
            <w:tcBorders>
              <w:bottom w:val="nil"/>
            </w:tcBorders>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-0.000966</w:t>
            </w:r>
          </w:p>
        </w:tc>
        <w:tc>
          <w:tcPr>
            <w:tcW w:w="1208" w:type="dxa"/>
            <w:tcBorders>
              <w:bottom w:val="nil"/>
            </w:tcBorders>
            <w:shd w:val="clear" w:color="auto" w:fill="auto"/>
            <w:noWrap/>
            <w:vAlign w:val="center"/>
            <w:hideMark/>
          </w:tcPr>
          <w:p w:rsidR="00583BD3" w:rsidRPr="00C07CF2" w:rsidRDefault="00583BD3" w:rsidP="000727E8">
            <w:pPr>
              <w:rPr>
                <w:rFonts w:ascii="Garamond" w:hAnsi="Garamond"/>
                <w:color w:val="000000"/>
                <w:sz w:val="20"/>
                <w:szCs w:val="20"/>
              </w:rPr>
            </w:pPr>
          </w:p>
        </w:tc>
      </w:tr>
      <w:tr w:rsidR="00583BD3" w:rsidRPr="00C07CF2" w:rsidTr="000727E8">
        <w:trPr>
          <w:trHeight w:val="20"/>
        </w:trPr>
        <w:tc>
          <w:tcPr>
            <w:tcW w:w="2978" w:type="dxa"/>
            <w:tcBorders>
              <w:top w:val="nil"/>
              <w:bottom w:val="nil"/>
            </w:tcBorders>
            <w:shd w:val="clear" w:color="auto" w:fill="auto"/>
            <w:noWrap/>
            <w:hideMark/>
          </w:tcPr>
          <w:p w:rsidR="00583BD3" w:rsidRPr="00162C53" w:rsidRDefault="00583BD3" w:rsidP="000727E8">
            <w:pPr>
              <w:jc w:val="center"/>
              <w:rPr>
                <w:rFonts w:ascii="Garamond" w:hAnsi="Garamond" w:cs="Calibri"/>
                <w:color w:val="000000" w:themeColor="text1"/>
                <w:sz w:val="20"/>
                <w:szCs w:val="20"/>
              </w:rPr>
            </w:pPr>
          </w:p>
        </w:tc>
        <w:tc>
          <w:tcPr>
            <w:tcW w:w="1275" w:type="dxa"/>
            <w:tcBorders>
              <w:top w:val="nil"/>
              <w:bottom w:val="nil"/>
            </w:tcBorders>
            <w:shd w:val="clear" w:color="auto" w:fill="auto"/>
            <w:noWrap/>
            <w:vAlign w:val="center"/>
            <w:hideMark/>
          </w:tcPr>
          <w:p w:rsidR="00583BD3" w:rsidRPr="00C07CF2" w:rsidRDefault="00583BD3" w:rsidP="000727E8">
            <w:pPr>
              <w:rPr>
                <w:rFonts w:ascii="Garamond" w:hAnsi="Garamond"/>
                <w:color w:val="000000"/>
                <w:sz w:val="20"/>
                <w:szCs w:val="20"/>
              </w:rPr>
            </w:pPr>
          </w:p>
        </w:tc>
        <w:tc>
          <w:tcPr>
            <w:tcW w:w="1134" w:type="dxa"/>
            <w:tcBorders>
              <w:top w:val="nil"/>
              <w:bottom w:val="nil"/>
            </w:tcBorders>
            <w:shd w:val="clear" w:color="auto" w:fill="auto"/>
            <w:noWrap/>
            <w:vAlign w:val="center"/>
            <w:hideMark/>
          </w:tcPr>
          <w:p w:rsidR="00583BD3" w:rsidRPr="00C07CF2" w:rsidRDefault="00583BD3" w:rsidP="000727E8">
            <w:pPr>
              <w:rPr>
                <w:rFonts w:ascii="Garamond" w:hAnsi="Garamond"/>
                <w:color w:val="000000"/>
                <w:sz w:val="20"/>
                <w:szCs w:val="20"/>
              </w:rPr>
            </w:pPr>
          </w:p>
        </w:tc>
        <w:tc>
          <w:tcPr>
            <w:tcW w:w="1134" w:type="dxa"/>
            <w:tcBorders>
              <w:top w:val="nil"/>
              <w:bottom w:val="nil"/>
            </w:tcBorders>
            <w:shd w:val="clear" w:color="auto" w:fill="auto"/>
            <w:noWrap/>
            <w:vAlign w:val="center"/>
            <w:hideMark/>
          </w:tcPr>
          <w:p w:rsidR="00583BD3" w:rsidRPr="00C07CF2" w:rsidRDefault="00583BD3" w:rsidP="000727E8">
            <w:pPr>
              <w:rPr>
                <w:rFonts w:ascii="Garamond" w:hAnsi="Garamond"/>
                <w:color w:val="000000"/>
                <w:sz w:val="20"/>
                <w:szCs w:val="20"/>
              </w:rPr>
            </w:pPr>
          </w:p>
        </w:tc>
        <w:tc>
          <w:tcPr>
            <w:tcW w:w="1134" w:type="dxa"/>
            <w:tcBorders>
              <w:top w:val="nil"/>
              <w:bottom w:val="nil"/>
            </w:tcBorders>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(-0.10)</w:t>
            </w:r>
          </w:p>
        </w:tc>
        <w:tc>
          <w:tcPr>
            <w:tcW w:w="1060" w:type="dxa"/>
            <w:tcBorders>
              <w:top w:val="nil"/>
              <w:bottom w:val="nil"/>
            </w:tcBorders>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(-0.07)</w:t>
            </w:r>
          </w:p>
        </w:tc>
        <w:tc>
          <w:tcPr>
            <w:tcW w:w="1208" w:type="dxa"/>
            <w:tcBorders>
              <w:top w:val="nil"/>
              <w:bottom w:val="nil"/>
            </w:tcBorders>
            <w:shd w:val="clear" w:color="auto" w:fill="auto"/>
            <w:noWrap/>
            <w:vAlign w:val="center"/>
            <w:hideMark/>
          </w:tcPr>
          <w:p w:rsidR="00583BD3" w:rsidRPr="00C07CF2" w:rsidRDefault="00583BD3" w:rsidP="000727E8">
            <w:pPr>
              <w:rPr>
                <w:rFonts w:ascii="Garamond" w:hAnsi="Garamond"/>
                <w:color w:val="000000"/>
                <w:sz w:val="20"/>
                <w:szCs w:val="20"/>
              </w:rPr>
            </w:pPr>
          </w:p>
        </w:tc>
      </w:tr>
      <w:tr w:rsidR="00583BD3" w:rsidRPr="00C07CF2" w:rsidTr="000727E8">
        <w:trPr>
          <w:trHeight w:val="20"/>
        </w:trPr>
        <w:tc>
          <w:tcPr>
            <w:tcW w:w="2978" w:type="dxa"/>
            <w:tcBorders>
              <w:top w:val="nil"/>
            </w:tcBorders>
            <w:shd w:val="clear" w:color="auto" w:fill="auto"/>
            <w:noWrap/>
            <w:hideMark/>
          </w:tcPr>
          <w:p w:rsidR="00583BD3" w:rsidRPr="00162C53" w:rsidRDefault="00583BD3" w:rsidP="000727E8">
            <w:pPr>
              <w:jc w:val="center"/>
              <w:rPr>
                <w:rFonts w:ascii="Garamond" w:hAnsi="Garamond" w:cs="Calibri"/>
                <w:color w:val="000000" w:themeColor="text1"/>
                <w:sz w:val="20"/>
                <w:szCs w:val="20"/>
              </w:rPr>
            </w:pPr>
            <w:r w:rsidRPr="00162C53">
              <w:rPr>
                <w:rFonts w:ascii="Garamond" w:hAnsi="Garamond" w:cs="Calibri"/>
                <w:color w:val="000000" w:themeColor="text1"/>
                <w:sz w:val="20"/>
                <w:szCs w:val="20"/>
              </w:rPr>
              <w:t>Board Aggregate Diversity</w:t>
            </w:r>
            <w:r w:rsidRPr="00162C53">
              <w:rPr>
                <w:rFonts w:ascii="Garamond" w:hAnsi="Garamond" w:cs="Calibri"/>
                <w:color w:val="000000"/>
                <w:sz w:val="20"/>
                <w:szCs w:val="20"/>
                <w:vertAlign w:val="subscript"/>
              </w:rPr>
              <w:t>t-1</w:t>
            </w:r>
          </w:p>
        </w:tc>
        <w:tc>
          <w:tcPr>
            <w:tcW w:w="1275" w:type="dxa"/>
            <w:tcBorders>
              <w:top w:val="nil"/>
            </w:tcBorders>
            <w:shd w:val="clear" w:color="auto" w:fill="auto"/>
            <w:noWrap/>
            <w:vAlign w:val="center"/>
            <w:hideMark/>
          </w:tcPr>
          <w:p w:rsidR="00583BD3" w:rsidRPr="00C07CF2" w:rsidRDefault="00583BD3" w:rsidP="000727E8">
            <w:pPr>
              <w:rPr>
                <w:rFonts w:ascii="Garamond" w:hAnsi="Garamond"/>
                <w:color w:val="000000"/>
                <w:sz w:val="20"/>
                <w:szCs w:val="20"/>
              </w:rPr>
            </w:pPr>
          </w:p>
        </w:tc>
        <w:tc>
          <w:tcPr>
            <w:tcW w:w="1134" w:type="dxa"/>
            <w:tcBorders>
              <w:top w:val="nil"/>
            </w:tcBorders>
            <w:shd w:val="clear" w:color="auto" w:fill="auto"/>
            <w:noWrap/>
            <w:vAlign w:val="center"/>
            <w:hideMark/>
          </w:tcPr>
          <w:p w:rsidR="00583BD3" w:rsidRPr="00C07CF2" w:rsidRDefault="00583BD3" w:rsidP="000727E8">
            <w:pPr>
              <w:rPr>
                <w:rFonts w:ascii="Garamond" w:hAnsi="Garamond"/>
                <w:color w:val="000000"/>
                <w:sz w:val="20"/>
                <w:szCs w:val="20"/>
              </w:rPr>
            </w:pPr>
          </w:p>
        </w:tc>
        <w:tc>
          <w:tcPr>
            <w:tcW w:w="1134" w:type="dxa"/>
            <w:tcBorders>
              <w:top w:val="nil"/>
            </w:tcBorders>
            <w:shd w:val="clear" w:color="auto" w:fill="auto"/>
            <w:noWrap/>
            <w:vAlign w:val="center"/>
            <w:hideMark/>
          </w:tcPr>
          <w:p w:rsidR="00583BD3" w:rsidRPr="00C07CF2" w:rsidRDefault="00583BD3" w:rsidP="000727E8">
            <w:pPr>
              <w:rPr>
                <w:rFonts w:ascii="Garamond" w:hAnsi="Garamond"/>
                <w:color w:val="000000"/>
                <w:sz w:val="20"/>
                <w:szCs w:val="20"/>
              </w:rPr>
            </w:pPr>
          </w:p>
        </w:tc>
        <w:tc>
          <w:tcPr>
            <w:tcW w:w="1134" w:type="dxa"/>
            <w:tcBorders>
              <w:top w:val="nil"/>
            </w:tcBorders>
            <w:shd w:val="clear" w:color="auto" w:fill="auto"/>
            <w:noWrap/>
            <w:vAlign w:val="center"/>
            <w:hideMark/>
          </w:tcPr>
          <w:p w:rsidR="00583BD3" w:rsidRPr="00C07CF2" w:rsidRDefault="00583BD3" w:rsidP="000727E8">
            <w:pPr>
              <w:rPr>
                <w:rFonts w:ascii="Garamond" w:hAnsi="Garamond"/>
                <w:color w:val="000000"/>
                <w:sz w:val="20"/>
                <w:szCs w:val="20"/>
              </w:rPr>
            </w:pPr>
          </w:p>
        </w:tc>
        <w:tc>
          <w:tcPr>
            <w:tcW w:w="1060" w:type="dxa"/>
            <w:tcBorders>
              <w:top w:val="nil"/>
            </w:tcBorders>
            <w:shd w:val="clear" w:color="auto" w:fill="auto"/>
            <w:noWrap/>
            <w:vAlign w:val="center"/>
            <w:hideMark/>
          </w:tcPr>
          <w:p w:rsidR="00583BD3" w:rsidRPr="00C07CF2" w:rsidRDefault="00583BD3" w:rsidP="000727E8">
            <w:pPr>
              <w:rPr>
                <w:rFonts w:ascii="Garamond" w:hAnsi="Garamond"/>
                <w:color w:val="000000"/>
                <w:sz w:val="20"/>
                <w:szCs w:val="20"/>
              </w:rPr>
            </w:pPr>
          </w:p>
        </w:tc>
        <w:tc>
          <w:tcPr>
            <w:tcW w:w="1208" w:type="dxa"/>
            <w:tcBorders>
              <w:top w:val="nil"/>
            </w:tcBorders>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0.00195</w:t>
            </w:r>
          </w:p>
        </w:tc>
      </w:tr>
      <w:tr w:rsidR="00583BD3" w:rsidRPr="00C07CF2" w:rsidTr="000727E8">
        <w:trPr>
          <w:trHeight w:val="20"/>
        </w:trPr>
        <w:tc>
          <w:tcPr>
            <w:tcW w:w="2978" w:type="dxa"/>
            <w:shd w:val="clear" w:color="auto" w:fill="auto"/>
            <w:noWrap/>
            <w:hideMark/>
          </w:tcPr>
          <w:p w:rsidR="00583BD3" w:rsidRPr="00162C53" w:rsidRDefault="00583BD3" w:rsidP="000727E8">
            <w:pPr>
              <w:jc w:val="center"/>
              <w:rPr>
                <w:rFonts w:ascii="Garamond" w:hAnsi="Garamond" w:cs="Calibri"/>
                <w:color w:val="000000"/>
                <w:sz w:val="20"/>
                <w:szCs w:val="20"/>
              </w:rPr>
            </w:pPr>
          </w:p>
        </w:tc>
        <w:tc>
          <w:tcPr>
            <w:tcW w:w="1275" w:type="dxa"/>
            <w:shd w:val="clear" w:color="auto" w:fill="auto"/>
            <w:noWrap/>
            <w:vAlign w:val="center"/>
            <w:hideMark/>
          </w:tcPr>
          <w:p w:rsidR="00583BD3" w:rsidRPr="00C07CF2" w:rsidRDefault="00583BD3" w:rsidP="000727E8">
            <w:pPr>
              <w:rPr>
                <w:rFonts w:ascii="Garamond" w:hAnsi="Garamond"/>
                <w:color w:val="000000"/>
                <w:sz w:val="20"/>
                <w:szCs w:val="20"/>
              </w:rPr>
            </w:pP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p>
        </w:tc>
        <w:tc>
          <w:tcPr>
            <w:tcW w:w="1060" w:type="dxa"/>
            <w:shd w:val="clear" w:color="auto" w:fill="auto"/>
            <w:noWrap/>
            <w:vAlign w:val="center"/>
            <w:hideMark/>
          </w:tcPr>
          <w:p w:rsidR="00583BD3" w:rsidRPr="00C07CF2" w:rsidRDefault="00583BD3" w:rsidP="000727E8">
            <w:pPr>
              <w:rPr>
                <w:rFonts w:ascii="Garamond" w:hAnsi="Garamond"/>
                <w:color w:val="000000"/>
                <w:sz w:val="20"/>
                <w:szCs w:val="20"/>
              </w:rPr>
            </w:pPr>
          </w:p>
        </w:tc>
        <w:tc>
          <w:tcPr>
            <w:tcW w:w="1208"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(0.65)</w:t>
            </w:r>
          </w:p>
        </w:tc>
      </w:tr>
      <w:tr w:rsidR="00583BD3" w:rsidRPr="00C07CF2" w:rsidTr="000727E8">
        <w:trPr>
          <w:trHeight w:val="20"/>
        </w:trPr>
        <w:tc>
          <w:tcPr>
            <w:tcW w:w="2978" w:type="dxa"/>
            <w:shd w:val="clear" w:color="auto" w:fill="auto"/>
            <w:noWrap/>
            <w:hideMark/>
          </w:tcPr>
          <w:p w:rsidR="00583BD3" w:rsidRPr="00162C53" w:rsidRDefault="00583BD3" w:rsidP="000727E8">
            <w:pPr>
              <w:jc w:val="center"/>
              <w:rPr>
                <w:rFonts w:ascii="Garamond" w:hAnsi="Garamond" w:cs="Calibri"/>
                <w:color w:val="000000"/>
                <w:sz w:val="20"/>
                <w:szCs w:val="20"/>
              </w:rPr>
            </w:pPr>
            <w:proofErr w:type="spellStart"/>
            <w:r w:rsidRPr="00162C53">
              <w:rPr>
                <w:rFonts w:ascii="Garamond" w:hAnsi="Garamond" w:cs="Calibri"/>
                <w:color w:val="000000"/>
                <w:sz w:val="20"/>
                <w:szCs w:val="20"/>
              </w:rPr>
              <w:t>Ln</w:t>
            </w:r>
            <w:proofErr w:type="spellEnd"/>
            <w:r w:rsidRPr="00162C53">
              <w:rPr>
                <w:rFonts w:ascii="Garamond" w:hAnsi="Garamond" w:cs="Calibri"/>
                <w:color w:val="000000"/>
                <w:sz w:val="20"/>
                <w:szCs w:val="20"/>
              </w:rPr>
              <w:t>(number of directors)</w:t>
            </w:r>
            <w:r w:rsidRPr="00162C53">
              <w:rPr>
                <w:rFonts w:ascii="Garamond" w:hAnsi="Garamond" w:cs="Calibri"/>
                <w:color w:val="000000"/>
                <w:sz w:val="20"/>
                <w:szCs w:val="20"/>
                <w:vertAlign w:val="subscript"/>
              </w:rPr>
              <w:t>t-1</w:t>
            </w:r>
          </w:p>
        </w:tc>
        <w:tc>
          <w:tcPr>
            <w:tcW w:w="1275"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0.0249</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0.0244</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0.0238</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0.0251</w:t>
            </w:r>
          </w:p>
        </w:tc>
        <w:tc>
          <w:tcPr>
            <w:tcW w:w="1060"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0.0236</w:t>
            </w:r>
          </w:p>
        </w:tc>
        <w:tc>
          <w:tcPr>
            <w:tcW w:w="1208"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0.0233</w:t>
            </w:r>
          </w:p>
        </w:tc>
      </w:tr>
      <w:tr w:rsidR="00583BD3" w:rsidRPr="00C07CF2" w:rsidTr="000727E8">
        <w:trPr>
          <w:trHeight w:val="20"/>
        </w:trPr>
        <w:tc>
          <w:tcPr>
            <w:tcW w:w="2978" w:type="dxa"/>
            <w:shd w:val="clear" w:color="auto" w:fill="auto"/>
            <w:noWrap/>
            <w:hideMark/>
          </w:tcPr>
          <w:p w:rsidR="00583BD3" w:rsidRPr="00162C53" w:rsidRDefault="00583BD3" w:rsidP="000727E8">
            <w:pPr>
              <w:jc w:val="center"/>
              <w:rPr>
                <w:rFonts w:ascii="Garamond" w:hAnsi="Garamond" w:cs="Calibri"/>
                <w:color w:val="000000"/>
                <w:sz w:val="20"/>
                <w:szCs w:val="20"/>
              </w:rPr>
            </w:pPr>
          </w:p>
        </w:tc>
        <w:tc>
          <w:tcPr>
            <w:tcW w:w="1275"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(1.36)</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(1.33)</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(1.29)</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(1.36)</w:t>
            </w:r>
          </w:p>
        </w:tc>
        <w:tc>
          <w:tcPr>
            <w:tcW w:w="1060"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(1.26)</w:t>
            </w:r>
          </w:p>
        </w:tc>
        <w:tc>
          <w:tcPr>
            <w:tcW w:w="1208"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(1.25)</w:t>
            </w:r>
          </w:p>
        </w:tc>
      </w:tr>
      <w:tr w:rsidR="00583BD3" w:rsidRPr="00C07CF2" w:rsidTr="000727E8">
        <w:trPr>
          <w:trHeight w:val="20"/>
        </w:trPr>
        <w:tc>
          <w:tcPr>
            <w:tcW w:w="2978" w:type="dxa"/>
            <w:shd w:val="clear" w:color="auto" w:fill="auto"/>
            <w:noWrap/>
            <w:hideMark/>
          </w:tcPr>
          <w:p w:rsidR="00583BD3" w:rsidRPr="00162C53" w:rsidRDefault="00583BD3" w:rsidP="000727E8">
            <w:pPr>
              <w:jc w:val="center"/>
              <w:rPr>
                <w:rFonts w:ascii="Garamond" w:hAnsi="Garamond" w:cs="Calibri"/>
                <w:color w:val="000000"/>
                <w:sz w:val="20"/>
                <w:szCs w:val="20"/>
              </w:rPr>
            </w:pPr>
            <w:r w:rsidRPr="00162C53">
              <w:rPr>
                <w:rFonts w:ascii="Garamond" w:hAnsi="Garamond" w:cs="Calibri"/>
                <w:color w:val="000000"/>
                <w:sz w:val="20"/>
                <w:szCs w:val="20"/>
              </w:rPr>
              <w:t>Board independence</w:t>
            </w:r>
            <w:r w:rsidRPr="00162C53">
              <w:rPr>
                <w:rFonts w:ascii="Garamond" w:hAnsi="Garamond" w:cs="Calibri"/>
                <w:color w:val="000000"/>
                <w:sz w:val="20"/>
                <w:szCs w:val="20"/>
                <w:vertAlign w:val="subscript"/>
              </w:rPr>
              <w:t>t-1</w:t>
            </w:r>
          </w:p>
        </w:tc>
        <w:tc>
          <w:tcPr>
            <w:tcW w:w="1275"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0.0359</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0.0325</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0.0362</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0.0358</w:t>
            </w:r>
          </w:p>
        </w:tc>
        <w:tc>
          <w:tcPr>
            <w:tcW w:w="1060"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0.0329</w:t>
            </w:r>
          </w:p>
        </w:tc>
        <w:tc>
          <w:tcPr>
            <w:tcW w:w="1208"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0.0351</w:t>
            </w:r>
          </w:p>
        </w:tc>
      </w:tr>
      <w:tr w:rsidR="00583BD3" w:rsidRPr="00C07CF2" w:rsidTr="000727E8">
        <w:trPr>
          <w:trHeight w:val="20"/>
        </w:trPr>
        <w:tc>
          <w:tcPr>
            <w:tcW w:w="2978" w:type="dxa"/>
            <w:shd w:val="clear" w:color="auto" w:fill="auto"/>
            <w:noWrap/>
            <w:hideMark/>
          </w:tcPr>
          <w:p w:rsidR="00583BD3" w:rsidRPr="00162C53" w:rsidRDefault="00583BD3" w:rsidP="000727E8">
            <w:pPr>
              <w:jc w:val="center"/>
              <w:rPr>
                <w:rFonts w:ascii="Garamond" w:hAnsi="Garamond" w:cs="Calibri"/>
                <w:color w:val="000000"/>
                <w:sz w:val="20"/>
                <w:szCs w:val="20"/>
              </w:rPr>
            </w:pPr>
          </w:p>
        </w:tc>
        <w:tc>
          <w:tcPr>
            <w:tcW w:w="1275"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(1.36)</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(1.22)</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(1.37)</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(1.35)</w:t>
            </w:r>
          </w:p>
        </w:tc>
        <w:tc>
          <w:tcPr>
            <w:tcW w:w="1060"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(1.22)</w:t>
            </w:r>
          </w:p>
        </w:tc>
        <w:tc>
          <w:tcPr>
            <w:tcW w:w="1208"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(1.34)</w:t>
            </w:r>
          </w:p>
        </w:tc>
      </w:tr>
      <w:tr w:rsidR="00583BD3" w:rsidRPr="00C07CF2" w:rsidTr="000727E8">
        <w:trPr>
          <w:trHeight w:val="20"/>
        </w:trPr>
        <w:tc>
          <w:tcPr>
            <w:tcW w:w="2978" w:type="dxa"/>
            <w:shd w:val="clear" w:color="auto" w:fill="auto"/>
            <w:noWrap/>
            <w:hideMark/>
          </w:tcPr>
          <w:p w:rsidR="00583BD3" w:rsidRPr="00162C53" w:rsidRDefault="00583BD3" w:rsidP="000727E8">
            <w:pPr>
              <w:jc w:val="center"/>
              <w:rPr>
                <w:rFonts w:ascii="Garamond" w:hAnsi="Garamond" w:cs="Calibri"/>
                <w:color w:val="000000"/>
                <w:sz w:val="20"/>
                <w:szCs w:val="20"/>
              </w:rPr>
            </w:pPr>
            <w:r w:rsidRPr="00162C53">
              <w:rPr>
                <w:rFonts w:ascii="Garamond" w:hAnsi="Garamond" w:cs="Calibri"/>
                <w:color w:val="000000"/>
                <w:sz w:val="20"/>
                <w:szCs w:val="20"/>
              </w:rPr>
              <w:t>Tobin's Q</w:t>
            </w:r>
            <w:r w:rsidRPr="00162C53">
              <w:rPr>
                <w:rFonts w:ascii="Garamond" w:hAnsi="Garamond" w:cs="Calibri"/>
                <w:color w:val="000000"/>
                <w:sz w:val="20"/>
                <w:szCs w:val="20"/>
                <w:vertAlign w:val="subscript"/>
              </w:rPr>
              <w:t>t-1</w:t>
            </w:r>
          </w:p>
        </w:tc>
        <w:tc>
          <w:tcPr>
            <w:tcW w:w="1275"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-0.0144***</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-0.0145***</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-0.0145***</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-0.0144***</w:t>
            </w:r>
          </w:p>
        </w:tc>
        <w:tc>
          <w:tcPr>
            <w:tcW w:w="1060"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-0.0145***</w:t>
            </w:r>
          </w:p>
        </w:tc>
        <w:tc>
          <w:tcPr>
            <w:tcW w:w="1208"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-0.0145***</w:t>
            </w:r>
          </w:p>
        </w:tc>
      </w:tr>
      <w:tr w:rsidR="00583BD3" w:rsidRPr="00C07CF2" w:rsidTr="000727E8">
        <w:trPr>
          <w:trHeight w:val="20"/>
        </w:trPr>
        <w:tc>
          <w:tcPr>
            <w:tcW w:w="2978" w:type="dxa"/>
            <w:shd w:val="clear" w:color="auto" w:fill="auto"/>
            <w:noWrap/>
            <w:hideMark/>
          </w:tcPr>
          <w:p w:rsidR="00583BD3" w:rsidRPr="00162C53" w:rsidRDefault="00583BD3" w:rsidP="000727E8">
            <w:pPr>
              <w:jc w:val="center"/>
              <w:rPr>
                <w:rFonts w:ascii="Garamond" w:hAnsi="Garamond" w:cs="Calibri"/>
                <w:color w:val="000000"/>
                <w:sz w:val="20"/>
                <w:szCs w:val="20"/>
              </w:rPr>
            </w:pPr>
          </w:p>
        </w:tc>
        <w:tc>
          <w:tcPr>
            <w:tcW w:w="1275"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(-4.09)</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(-4.12)</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(-4.12)</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(-4.09)</w:t>
            </w:r>
          </w:p>
        </w:tc>
        <w:tc>
          <w:tcPr>
            <w:tcW w:w="1060"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(-4.14)</w:t>
            </w:r>
          </w:p>
        </w:tc>
        <w:tc>
          <w:tcPr>
            <w:tcW w:w="1208"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(-4.11)</w:t>
            </w:r>
          </w:p>
        </w:tc>
      </w:tr>
      <w:tr w:rsidR="00583BD3" w:rsidRPr="00C07CF2" w:rsidTr="000727E8">
        <w:trPr>
          <w:trHeight w:val="20"/>
        </w:trPr>
        <w:tc>
          <w:tcPr>
            <w:tcW w:w="2978" w:type="dxa"/>
            <w:shd w:val="clear" w:color="auto" w:fill="auto"/>
            <w:noWrap/>
            <w:hideMark/>
          </w:tcPr>
          <w:p w:rsidR="00583BD3" w:rsidRPr="00162C53" w:rsidRDefault="00583BD3" w:rsidP="000727E8">
            <w:pPr>
              <w:jc w:val="center"/>
              <w:rPr>
                <w:rFonts w:ascii="Garamond" w:hAnsi="Garamond" w:cs="Calibri"/>
                <w:color w:val="000000"/>
                <w:sz w:val="20"/>
                <w:szCs w:val="20"/>
              </w:rPr>
            </w:pPr>
            <w:r w:rsidRPr="00162C53">
              <w:rPr>
                <w:rFonts w:ascii="Garamond" w:hAnsi="Garamond" w:cs="Calibri"/>
                <w:color w:val="000000"/>
                <w:sz w:val="20"/>
                <w:szCs w:val="20"/>
              </w:rPr>
              <w:t>Industry-</w:t>
            </w:r>
            <w:proofErr w:type="spellStart"/>
            <w:r w:rsidRPr="00162C53">
              <w:rPr>
                <w:rFonts w:ascii="Garamond" w:hAnsi="Garamond" w:cs="Calibri"/>
                <w:color w:val="000000"/>
                <w:sz w:val="20"/>
                <w:szCs w:val="20"/>
              </w:rPr>
              <w:t>Adj</w:t>
            </w:r>
            <w:proofErr w:type="spellEnd"/>
            <w:r w:rsidRPr="00162C53">
              <w:rPr>
                <w:rFonts w:ascii="Garamond" w:hAnsi="Garamond" w:cs="Calibri"/>
                <w:color w:val="000000"/>
                <w:sz w:val="20"/>
                <w:szCs w:val="20"/>
              </w:rPr>
              <w:t xml:space="preserve"> ROA</w:t>
            </w:r>
            <w:r w:rsidRPr="00162C53">
              <w:rPr>
                <w:rFonts w:ascii="Garamond" w:hAnsi="Garamond" w:cs="Calibri"/>
                <w:color w:val="000000"/>
                <w:sz w:val="20"/>
                <w:szCs w:val="20"/>
                <w:vertAlign w:val="subscript"/>
              </w:rPr>
              <w:t>t-1</w:t>
            </w:r>
          </w:p>
        </w:tc>
        <w:tc>
          <w:tcPr>
            <w:tcW w:w="1275"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-0.00629**</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-0.00624**</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-0.00630**</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-0.00629**</w:t>
            </w:r>
          </w:p>
        </w:tc>
        <w:tc>
          <w:tcPr>
            <w:tcW w:w="1060"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-0.00625**</w:t>
            </w:r>
          </w:p>
        </w:tc>
        <w:tc>
          <w:tcPr>
            <w:tcW w:w="1208"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-0.00627**</w:t>
            </w:r>
          </w:p>
        </w:tc>
      </w:tr>
      <w:tr w:rsidR="00583BD3" w:rsidRPr="00C07CF2" w:rsidTr="000727E8">
        <w:trPr>
          <w:trHeight w:val="20"/>
        </w:trPr>
        <w:tc>
          <w:tcPr>
            <w:tcW w:w="2978" w:type="dxa"/>
            <w:shd w:val="clear" w:color="auto" w:fill="auto"/>
            <w:noWrap/>
            <w:hideMark/>
          </w:tcPr>
          <w:p w:rsidR="00583BD3" w:rsidRPr="00162C53" w:rsidRDefault="00583BD3" w:rsidP="000727E8">
            <w:pPr>
              <w:jc w:val="center"/>
              <w:rPr>
                <w:rFonts w:ascii="Garamond" w:hAnsi="Garamond" w:cs="Calibri"/>
                <w:color w:val="000000"/>
                <w:sz w:val="20"/>
                <w:szCs w:val="20"/>
              </w:rPr>
            </w:pPr>
          </w:p>
        </w:tc>
        <w:tc>
          <w:tcPr>
            <w:tcW w:w="1275"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(-2.20)</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(-2.19)</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(-2.21)</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(-2.20)</w:t>
            </w:r>
          </w:p>
        </w:tc>
        <w:tc>
          <w:tcPr>
            <w:tcW w:w="1060"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(-2.19)</w:t>
            </w:r>
          </w:p>
        </w:tc>
        <w:tc>
          <w:tcPr>
            <w:tcW w:w="1208"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(-2.20)</w:t>
            </w:r>
          </w:p>
        </w:tc>
      </w:tr>
      <w:tr w:rsidR="00583BD3" w:rsidRPr="00C07CF2" w:rsidTr="000727E8">
        <w:trPr>
          <w:trHeight w:val="20"/>
        </w:trPr>
        <w:tc>
          <w:tcPr>
            <w:tcW w:w="2978" w:type="dxa"/>
            <w:shd w:val="clear" w:color="auto" w:fill="auto"/>
            <w:noWrap/>
            <w:hideMark/>
          </w:tcPr>
          <w:p w:rsidR="00583BD3" w:rsidRPr="00162C53" w:rsidRDefault="00583BD3" w:rsidP="000727E8">
            <w:pPr>
              <w:jc w:val="center"/>
              <w:rPr>
                <w:rFonts w:ascii="Garamond" w:hAnsi="Garamond" w:cs="Calibri"/>
                <w:color w:val="000000"/>
                <w:sz w:val="20"/>
                <w:szCs w:val="20"/>
              </w:rPr>
            </w:pPr>
            <w:r w:rsidRPr="00162C53">
              <w:rPr>
                <w:rFonts w:ascii="Garamond" w:hAnsi="Garamond" w:cs="Calibri"/>
                <w:color w:val="000000"/>
                <w:sz w:val="20"/>
                <w:szCs w:val="20"/>
              </w:rPr>
              <w:t>CEO is Chairman dummy</w:t>
            </w:r>
            <w:r w:rsidRPr="00162C53">
              <w:rPr>
                <w:rFonts w:ascii="Garamond" w:hAnsi="Garamond" w:cs="Calibri"/>
                <w:color w:val="000000"/>
                <w:sz w:val="20"/>
                <w:szCs w:val="20"/>
                <w:vertAlign w:val="subscript"/>
              </w:rPr>
              <w:t>t-1</w:t>
            </w:r>
          </w:p>
        </w:tc>
        <w:tc>
          <w:tcPr>
            <w:tcW w:w="1275"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0.00892</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0.00915</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0.00900</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0.00896</w:t>
            </w:r>
          </w:p>
        </w:tc>
        <w:tc>
          <w:tcPr>
            <w:tcW w:w="1060"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0.00924</w:t>
            </w:r>
          </w:p>
        </w:tc>
        <w:tc>
          <w:tcPr>
            <w:tcW w:w="1208"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0.00891</w:t>
            </w:r>
          </w:p>
        </w:tc>
      </w:tr>
      <w:tr w:rsidR="00583BD3" w:rsidRPr="00C07CF2" w:rsidTr="000727E8">
        <w:trPr>
          <w:trHeight w:val="20"/>
        </w:trPr>
        <w:tc>
          <w:tcPr>
            <w:tcW w:w="2978" w:type="dxa"/>
            <w:shd w:val="clear" w:color="auto" w:fill="auto"/>
            <w:noWrap/>
            <w:hideMark/>
          </w:tcPr>
          <w:p w:rsidR="00583BD3" w:rsidRPr="00162C53" w:rsidRDefault="00583BD3" w:rsidP="000727E8">
            <w:pPr>
              <w:jc w:val="center"/>
              <w:rPr>
                <w:rFonts w:ascii="Garamond" w:hAnsi="Garamond" w:cs="Calibri"/>
                <w:color w:val="000000"/>
                <w:sz w:val="20"/>
                <w:szCs w:val="20"/>
              </w:rPr>
            </w:pPr>
          </w:p>
        </w:tc>
        <w:tc>
          <w:tcPr>
            <w:tcW w:w="1275"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(0.90)</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(0.93)</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(0.91)</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(0.90)</w:t>
            </w:r>
          </w:p>
        </w:tc>
        <w:tc>
          <w:tcPr>
            <w:tcW w:w="1060"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(0.94)</w:t>
            </w:r>
          </w:p>
        </w:tc>
        <w:tc>
          <w:tcPr>
            <w:tcW w:w="1208"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(0.90)</w:t>
            </w:r>
          </w:p>
        </w:tc>
      </w:tr>
      <w:tr w:rsidR="00583BD3" w:rsidRPr="00C07CF2" w:rsidTr="000727E8">
        <w:trPr>
          <w:trHeight w:val="20"/>
        </w:trPr>
        <w:tc>
          <w:tcPr>
            <w:tcW w:w="2978" w:type="dxa"/>
            <w:shd w:val="clear" w:color="auto" w:fill="auto"/>
            <w:noWrap/>
            <w:hideMark/>
          </w:tcPr>
          <w:p w:rsidR="00583BD3" w:rsidRPr="00162C53" w:rsidRDefault="00583BD3" w:rsidP="000727E8">
            <w:pPr>
              <w:jc w:val="center"/>
              <w:rPr>
                <w:rFonts w:ascii="Garamond" w:hAnsi="Garamond" w:cs="Calibri"/>
                <w:color w:val="000000"/>
                <w:sz w:val="20"/>
                <w:szCs w:val="20"/>
              </w:rPr>
            </w:pPr>
            <w:proofErr w:type="spellStart"/>
            <w:r w:rsidRPr="00162C53">
              <w:rPr>
                <w:rFonts w:ascii="Garamond" w:hAnsi="Garamond" w:cs="Calibri"/>
                <w:color w:val="000000"/>
                <w:sz w:val="20"/>
                <w:szCs w:val="20"/>
              </w:rPr>
              <w:t>Ln</w:t>
            </w:r>
            <w:proofErr w:type="spellEnd"/>
            <w:r w:rsidRPr="00162C53">
              <w:rPr>
                <w:rFonts w:ascii="Garamond" w:hAnsi="Garamond" w:cs="Calibri"/>
                <w:color w:val="000000"/>
                <w:sz w:val="20"/>
                <w:szCs w:val="20"/>
              </w:rPr>
              <w:t>(market-to-book)</w:t>
            </w:r>
            <w:r w:rsidRPr="00162C53">
              <w:rPr>
                <w:rFonts w:ascii="Garamond" w:hAnsi="Garamond" w:cs="Calibri"/>
                <w:color w:val="000000"/>
                <w:sz w:val="20"/>
                <w:szCs w:val="20"/>
                <w:vertAlign w:val="subscript"/>
              </w:rPr>
              <w:t>t-1</w:t>
            </w:r>
          </w:p>
        </w:tc>
        <w:tc>
          <w:tcPr>
            <w:tcW w:w="1275"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0.0491***</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0.0492***</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0.0492***</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0.0491***</w:t>
            </w:r>
          </w:p>
        </w:tc>
        <w:tc>
          <w:tcPr>
            <w:tcW w:w="1060"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0.0493***</w:t>
            </w:r>
          </w:p>
        </w:tc>
        <w:tc>
          <w:tcPr>
            <w:tcW w:w="1208"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0.0491***</w:t>
            </w:r>
          </w:p>
        </w:tc>
      </w:tr>
      <w:tr w:rsidR="00583BD3" w:rsidRPr="00C07CF2" w:rsidTr="000727E8">
        <w:trPr>
          <w:trHeight w:val="20"/>
        </w:trPr>
        <w:tc>
          <w:tcPr>
            <w:tcW w:w="2978" w:type="dxa"/>
            <w:shd w:val="clear" w:color="auto" w:fill="auto"/>
            <w:noWrap/>
            <w:hideMark/>
          </w:tcPr>
          <w:p w:rsidR="00583BD3" w:rsidRPr="00162C53" w:rsidRDefault="00583BD3" w:rsidP="000727E8">
            <w:pPr>
              <w:jc w:val="center"/>
              <w:rPr>
                <w:rFonts w:ascii="Garamond" w:hAnsi="Garamond" w:cs="Calibri"/>
                <w:color w:val="000000"/>
                <w:sz w:val="20"/>
                <w:szCs w:val="20"/>
              </w:rPr>
            </w:pPr>
          </w:p>
        </w:tc>
        <w:tc>
          <w:tcPr>
            <w:tcW w:w="1275"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(6.39)</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(6.41)</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(6.40)</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(6.40)</w:t>
            </w:r>
          </w:p>
        </w:tc>
        <w:tc>
          <w:tcPr>
            <w:tcW w:w="1060"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(6.43)</w:t>
            </w:r>
          </w:p>
        </w:tc>
        <w:tc>
          <w:tcPr>
            <w:tcW w:w="1208"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(6.38)</w:t>
            </w:r>
          </w:p>
        </w:tc>
      </w:tr>
      <w:tr w:rsidR="00583BD3" w:rsidRPr="00C07CF2" w:rsidTr="000727E8">
        <w:trPr>
          <w:trHeight w:val="20"/>
        </w:trPr>
        <w:tc>
          <w:tcPr>
            <w:tcW w:w="2978" w:type="dxa"/>
            <w:shd w:val="clear" w:color="auto" w:fill="auto"/>
            <w:noWrap/>
            <w:hideMark/>
          </w:tcPr>
          <w:p w:rsidR="00583BD3" w:rsidRPr="00162C53" w:rsidRDefault="00583BD3" w:rsidP="000727E8">
            <w:pPr>
              <w:jc w:val="center"/>
              <w:rPr>
                <w:rFonts w:ascii="Garamond" w:hAnsi="Garamond" w:cs="Calibri"/>
                <w:color w:val="000000"/>
                <w:sz w:val="20"/>
                <w:szCs w:val="20"/>
              </w:rPr>
            </w:pPr>
            <w:r w:rsidRPr="00162C53">
              <w:rPr>
                <w:rFonts w:ascii="Garamond" w:hAnsi="Garamond" w:cs="Calibri"/>
                <w:color w:val="000000"/>
                <w:sz w:val="20"/>
                <w:szCs w:val="20"/>
              </w:rPr>
              <w:t>Capital expenditure</w:t>
            </w:r>
            <w:r w:rsidRPr="00162C53">
              <w:rPr>
                <w:rFonts w:ascii="Garamond" w:hAnsi="Garamond" w:cs="Calibri"/>
                <w:color w:val="000000"/>
                <w:sz w:val="20"/>
                <w:szCs w:val="20"/>
                <w:vertAlign w:val="subscript"/>
              </w:rPr>
              <w:t>t-1</w:t>
            </w:r>
          </w:p>
        </w:tc>
        <w:tc>
          <w:tcPr>
            <w:tcW w:w="1275"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0.144**</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0.143**</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0.145**</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0.144**</w:t>
            </w:r>
          </w:p>
        </w:tc>
        <w:tc>
          <w:tcPr>
            <w:tcW w:w="1060"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0.144**</w:t>
            </w:r>
          </w:p>
        </w:tc>
        <w:tc>
          <w:tcPr>
            <w:tcW w:w="1208"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0.144**</w:t>
            </w:r>
          </w:p>
        </w:tc>
      </w:tr>
      <w:tr w:rsidR="00583BD3" w:rsidRPr="00C07CF2" w:rsidTr="000727E8">
        <w:trPr>
          <w:trHeight w:val="20"/>
        </w:trPr>
        <w:tc>
          <w:tcPr>
            <w:tcW w:w="2978" w:type="dxa"/>
            <w:shd w:val="clear" w:color="auto" w:fill="auto"/>
            <w:noWrap/>
            <w:hideMark/>
          </w:tcPr>
          <w:p w:rsidR="00583BD3" w:rsidRPr="00162C53" w:rsidRDefault="00583BD3" w:rsidP="000727E8">
            <w:pPr>
              <w:jc w:val="center"/>
              <w:rPr>
                <w:rFonts w:ascii="Garamond" w:hAnsi="Garamond" w:cs="Calibri"/>
                <w:color w:val="000000"/>
                <w:sz w:val="20"/>
                <w:szCs w:val="20"/>
              </w:rPr>
            </w:pPr>
          </w:p>
        </w:tc>
        <w:tc>
          <w:tcPr>
            <w:tcW w:w="1275"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(2.09)</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(2.07)</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(2.11)</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(2.09)</w:t>
            </w:r>
          </w:p>
        </w:tc>
        <w:tc>
          <w:tcPr>
            <w:tcW w:w="1060"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(2.09)</w:t>
            </w:r>
          </w:p>
        </w:tc>
        <w:tc>
          <w:tcPr>
            <w:tcW w:w="1208"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(2.09)</w:t>
            </w:r>
          </w:p>
        </w:tc>
      </w:tr>
      <w:tr w:rsidR="00583BD3" w:rsidRPr="00C07CF2" w:rsidTr="000727E8">
        <w:trPr>
          <w:trHeight w:val="20"/>
        </w:trPr>
        <w:tc>
          <w:tcPr>
            <w:tcW w:w="2978" w:type="dxa"/>
            <w:shd w:val="clear" w:color="auto" w:fill="auto"/>
            <w:noWrap/>
            <w:hideMark/>
          </w:tcPr>
          <w:p w:rsidR="00583BD3" w:rsidRPr="00162C53" w:rsidRDefault="00583BD3" w:rsidP="000727E8">
            <w:pPr>
              <w:jc w:val="center"/>
              <w:rPr>
                <w:rFonts w:ascii="Garamond" w:hAnsi="Garamond" w:cs="Calibri"/>
                <w:color w:val="000000"/>
                <w:sz w:val="20"/>
                <w:szCs w:val="20"/>
              </w:rPr>
            </w:pPr>
            <w:proofErr w:type="spellStart"/>
            <w:r w:rsidRPr="00162C53">
              <w:rPr>
                <w:rFonts w:ascii="Garamond" w:hAnsi="Garamond" w:cs="Calibri"/>
                <w:color w:val="000000"/>
                <w:sz w:val="20"/>
                <w:szCs w:val="20"/>
              </w:rPr>
              <w:t>Ln</w:t>
            </w:r>
            <w:proofErr w:type="spellEnd"/>
            <w:r w:rsidRPr="00162C53">
              <w:rPr>
                <w:rFonts w:ascii="Garamond" w:hAnsi="Garamond" w:cs="Calibri"/>
                <w:color w:val="000000"/>
                <w:sz w:val="20"/>
                <w:szCs w:val="20"/>
              </w:rPr>
              <w:t>(total assets)</w:t>
            </w:r>
            <w:r w:rsidRPr="00162C53">
              <w:rPr>
                <w:rFonts w:ascii="Garamond" w:hAnsi="Garamond" w:cs="Calibri"/>
                <w:color w:val="000000"/>
                <w:sz w:val="20"/>
                <w:szCs w:val="20"/>
                <w:vertAlign w:val="subscript"/>
              </w:rPr>
              <w:t>t-1</w:t>
            </w:r>
          </w:p>
        </w:tc>
        <w:tc>
          <w:tcPr>
            <w:tcW w:w="1275"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0.0388***</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0.0389***</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0.0388***</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0.0388***</w:t>
            </w:r>
          </w:p>
        </w:tc>
        <w:tc>
          <w:tcPr>
            <w:tcW w:w="1060"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0.0389***</w:t>
            </w:r>
          </w:p>
        </w:tc>
        <w:tc>
          <w:tcPr>
            <w:tcW w:w="1208"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0.0387***</w:t>
            </w:r>
          </w:p>
        </w:tc>
      </w:tr>
      <w:tr w:rsidR="00583BD3" w:rsidRPr="00C07CF2" w:rsidTr="000727E8">
        <w:trPr>
          <w:trHeight w:val="20"/>
        </w:trPr>
        <w:tc>
          <w:tcPr>
            <w:tcW w:w="2978" w:type="dxa"/>
            <w:shd w:val="clear" w:color="auto" w:fill="auto"/>
            <w:noWrap/>
            <w:hideMark/>
          </w:tcPr>
          <w:p w:rsidR="00583BD3" w:rsidRPr="00162C53" w:rsidRDefault="00583BD3" w:rsidP="000727E8">
            <w:pPr>
              <w:jc w:val="center"/>
              <w:rPr>
                <w:rFonts w:ascii="Garamond" w:hAnsi="Garamond" w:cs="Calibri"/>
                <w:color w:val="000000"/>
                <w:sz w:val="20"/>
                <w:szCs w:val="20"/>
              </w:rPr>
            </w:pPr>
          </w:p>
        </w:tc>
        <w:tc>
          <w:tcPr>
            <w:tcW w:w="1275"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(5.11)</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(5.14)</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(5.13)</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(5.12)</w:t>
            </w:r>
          </w:p>
        </w:tc>
        <w:tc>
          <w:tcPr>
            <w:tcW w:w="1060"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(5.15)</w:t>
            </w:r>
          </w:p>
        </w:tc>
        <w:tc>
          <w:tcPr>
            <w:tcW w:w="1208"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(5.11)</w:t>
            </w:r>
          </w:p>
        </w:tc>
      </w:tr>
      <w:tr w:rsidR="00583BD3" w:rsidRPr="00C07CF2" w:rsidTr="000727E8">
        <w:trPr>
          <w:trHeight w:val="20"/>
        </w:trPr>
        <w:tc>
          <w:tcPr>
            <w:tcW w:w="2978" w:type="dxa"/>
            <w:shd w:val="clear" w:color="auto" w:fill="auto"/>
            <w:noWrap/>
            <w:hideMark/>
          </w:tcPr>
          <w:p w:rsidR="00583BD3" w:rsidRPr="00162C53" w:rsidRDefault="00583BD3" w:rsidP="000727E8">
            <w:pPr>
              <w:jc w:val="center"/>
              <w:rPr>
                <w:rFonts w:ascii="Garamond" w:hAnsi="Garamond" w:cs="Calibri"/>
                <w:color w:val="000000"/>
                <w:sz w:val="20"/>
                <w:szCs w:val="20"/>
              </w:rPr>
            </w:pPr>
            <w:proofErr w:type="spellStart"/>
            <w:r w:rsidRPr="00162C53">
              <w:rPr>
                <w:rFonts w:ascii="Garamond" w:hAnsi="Garamond" w:cs="Calibri"/>
                <w:color w:val="000000"/>
                <w:sz w:val="20"/>
                <w:szCs w:val="20"/>
              </w:rPr>
              <w:t>Ln</w:t>
            </w:r>
            <w:proofErr w:type="spellEnd"/>
            <w:r w:rsidRPr="00162C53">
              <w:rPr>
                <w:rFonts w:ascii="Garamond" w:hAnsi="Garamond" w:cs="Calibri"/>
                <w:color w:val="000000"/>
                <w:sz w:val="20"/>
                <w:szCs w:val="20"/>
              </w:rPr>
              <w:t>(firm age)</w:t>
            </w:r>
            <w:r w:rsidRPr="00162C53">
              <w:rPr>
                <w:rFonts w:ascii="Garamond" w:hAnsi="Garamond" w:cs="Calibri"/>
                <w:color w:val="000000"/>
                <w:sz w:val="20"/>
                <w:szCs w:val="20"/>
                <w:vertAlign w:val="subscript"/>
              </w:rPr>
              <w:t>t-1</w:t>
            </w:r>
          </w:p>
        </w:tc>
        <w:tc>
          <w:tcPr>
            <w:tcW w:w="1275"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0.00489</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0.00535</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0.00519</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0.00492</w:t>
            </w:r>
          </w:p>
        </w:tc>
        <w:tc>
          <w:tcPr>
            <w:tcW w:w="1060"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0.00562</w:t>
            </w:r>
          </w:p>
        </w:tc>
        <w:tc>
          <w:tcPr>
            <w:tcW w:w="1208"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0.00509</w:t>
            </w:r>
          </w:p>
        </w:tc>
      </w:tr>
      <w:tr w:rsidR="00583BD3" w:rsidRPr="00C07CF2" w:rsidTr="000727E8">
        <w:trPr>
          <w:trHeight w:val="20"/>
        </w:trPr>
        <w:tc>
          <w:tcPr>
            <w:tcW w:w="2978" w:type="dxa"/>
            <w:shd w:val="clear" w:color="auto" w:fill="auto"/>
            <w:noWrap/>
            <w:hideMark/>
          </w:tcPr>
          <w:p w:rsidR="00583BD3" w:rsidRPr="00162C53" w:rsidRDefault="00583BD3" w:rsidP="000727E8">
            <w:pPr>
              <w:jc w:val="center"/>
              <w:rPr>
                <w:rFonts w:ascii="Garamond" w:hAnsi="Garamond" w:cs="Calibri"/>
                <w:color w:val="000000"/>
                <w:sz w:val="20"/>
                <w:szCs w:val="20"/>
              </w:rPr>
            </w:pPr>
          </w:p>
        </w:tc>
        <w:tc>
          <w:tcPr>
            <w:tcW w:w="1275"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(0.52)</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(0.57)</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(0.55)</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(0.53)</w:t>
            </w:r>
          </w:p>
        </w:tc>
        <w:tc>
          <w:tcPr>
            <w:tcW w:w="1060"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(0.60)</w:t>
            </w:r>
          </w:p>
        </w:tc>
        <w:tc>
          <w:tcPr>
            <w:tcW w:w="1208"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(0.54)</w:t>
            </w:r>
          </w:p>
        </w:tc>
      </w:tr>
      <w:tr w:rsidR="00583BD3" w:rsidRPr="00C07CF2" w:rsidTr="000727E8">
        <w:trPr>
          <w:trHeight w:val="20"/>
        </w:trPr>
        <w:tc>
          <w:tcPr>
            <w:tcW w:w="2978" w:type="dxa"/>
            <w:shd w:val="clear" w:color="auto" w:fill="auto"/>
            <w:noWrap/>
            <w:hideMark/>
          </w:tcPr>
          <w:p w:rsidR="00583BD3" w:rsidRPr="00162C53" w:rsidRDefault="00583BD3" w:rsidP="000727E8">
            <w:pPr>
              <w:jc w:val="center"/>
              <w:rPr>
                <w:rFonts w:ascii="Garamond" w:hAnsi="Garamond" w:cs="Calibri"/>
                <w:color w:val="000000"/>
                <w:sz w:val="20"/>
                <w:szCs w:val="20"/>
              </w:rPr>
            </w:pPr>
            <w:r w:rsidRPr="00162C53">
              <w:rPr>
                <w:rFonts w:ascii="Garamond" w:hAnsi="Garamond" w:cs="Calibri"/>
                <w:color w:val="000000"/>
                <w:sz w:val="20"/>
                <w:szCs w:val="20"/>
              </w:rPr>
              <w:t>CFO British Dummy</w:t>
            </w:r>
            <w:r w:rsidRPr="00162C53">
              <w:rPr>
                <w:rFonts w:ascii="Garamond" w:hAnsi="Garamond" w:cs="Calibri"/>
                <w:color w:val="000000"/>
                <w:sz w:val="20"/>
                <w:szCs w:val="20"/>
                <w:vertAlign w:val="subscript"/>
              </w:rPr>
              <w:t>t-1</w:t>
            </w:r>
          </w:p>
        </w:tc>
        <w:tc>
          <w:tcPr>
            <w:tcW w:w="1275"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0.0241</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0.0242</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0.0238</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0.0240</w:t>
            </w:r>
          </w:p>
        </w:tc>
        <w:tc>
          <w:tcPr>
            <w:tcW w:w="1060"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0.0239</w:t>
            </w:r>
          </w:p>
        </w:tc>
        <w:tc>
          <w:tcPr>
            <w:tcW w:w="1208"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0.0258</w:t>
            </w:r>
          </w:p>
        </w:tc>
      </w:tr>
      <w:tr w:rsidR="00583BD3" w:rsidRPr="00C07CF2" w:rsidTr="000727E8">
        <w:trPr>
          <w:trHeight w:val="20"/>
        </w:trPr>
        <w:tc>
          <w:tcPr>
            <w:tcW w:w="2978" w:type="dxa"/>
            <w:shd w:val="clear" w:color="auto" w:fill="auto"/>
            <w:noWrap/>
            <w:hideMark/>
          </w:tcPr>
          <w:p w:rsidR="00583BD3" w:rsidRPr="00162C53" w:rsidRDefault="00583BD3" w:rsidP="000727E8">
            <w:pPr>
              <w:jc w:val="center"/>
              <w:rPr>
                <w:rFonts w:ascii="Garamond" w:hAnsi="Garamond" w:cs="Calibri"/>
                <w:color w:val="000000"/>
                <w:sz w:val="20"/>
                <w:szCs w:val="20"/>
              </w:rPr>
            </w:pPr>
          </w:p>
        </w:tc>
        <w:tc>
          <w:tcPr>
            <w:tcW w:w="1275"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(1.15)</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(1.16)</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(1.14)</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(1.15)</w:t>
            </w:r>
          </w:p>
        </w:tc>
        <w:tc>
          <w:tcPr>
            <w:tcW w:w="1060"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(1.14)</w:t>
            </w:r>
          </w:p>
        </w:tc>
        <w:tc>
          <w:tcPr>
            <w:tcW w:w="1208"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(1.21)</w:t>
            </w:r>
          </w:p>
        </w:tc>
      </w:tr>
      <w:tr w:rsidR="00583BD3" w:rsidRPr="00C07CF2" w:rsidTr="000727E8">
        <w:trPr>
          <w:trHeight w:val="20"/>
        </w:trPr>
        <w:tc>
          <w:tcPr>
            <w:tcW w:w="2978" w:type="dxa"/>
            <w:shd w:val="clear" w:color="auto" w:fill="auto"/>
            <w:noWrap/>
            <w:hideMark/>
          </w:tcPr>
          <w:p w:rsidR="00583BD3" w:rsidRPr="00162C53" w:rsidRDefault="00583BD3" w:rsidP="000727E8">
            <w:pPr>
              <w:jc w:val="center"/>
              <w:rPr>
                <w:rFonts w:ascii="Garamond" w:hAnsi="Garamond" w:cs="Calibri"/>
                <w:color w:val="000000"/>
                <w:sz w:val="20"/>
                <w:szCs w:val="20"/>
              </w:rPr>
            </w:pPr>
            <w:proofErr w:type="spellStart"/>
            <w:r w:rsidRPr="00162C53">
              <w:rPr>
                <w:rFonts w:ascii="Garamond" w:hAnsi="Garamond" w:cs="Calibri"/>
                <w:color w:val="000000"/>
                <w:sz w:val="20"/>
                <w:szCs w:val="20"/>
              </w:rPr>
              <w:t>Ln</w:t>
            </w:r>
            <w:proofErr w:type="spellEnd"/>
            <w:r w:rsidRPr="00162C53">
              <w:rPr>
                <w:rFonts w:ascii="Garamond" w:hAnsi="Garamond" w:cs="Calibri"/>
                <w:color w:val="000000"/>
                <w:sz w:val="20"/>
                <w:szCs w:val="20"/>
              </w:rPr>
              <w:t>(CFO tenure)</w:t>
            </w:r>
            <w:r w:rsidRPr="00162C53">
              <w:rPr>
                <w:rFonts w:ascii="Garamond" w:hAnsi="Garamond" w:cs="Calibri"/>
                <w:color w:val="000000"/>
                <w:sz w:val="20"/>
                <w:szCs w:val="20"/>
                <w:vertAlign w:val="subscript"/>
              </w:rPr>
              <w:t>t-1</w:t>
            </w:r>
          </w:p>
        </w:tc>
        <w:tc>
          <w:tcPr>
            <w:tcW w:w="1275"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0.00221</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0.00237</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0.00219</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0.00221</w:t>
            </w:r>
          </w:p>
        </w:tc>
        <w:tc>
          <w:tcPr>
            <w:tcW w:w="1060"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0.00235</w:t>
            </w:r>
          </w:p>
        </w:tc>
        <w:tc>
          <w:tcPr>
            <w:tcW w:w="1208"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0.00225</w:t>
            </w:r>
          </w:p>
        </w:tc>
      </w:tr>
      <w:tr w:rsidR="00583BD3" w:rsidRPr="00C07CF2" w:rsidTr="000727E8">
        <w:trPr>
          <w:trHeight w:val="20"/>
        </w:trPr>
        <w:tc>
          <w:tcPr>
            <w:tcW w:w="2978" w:type="dxa"/>
            <w:shd w:val="clear" w:color="auto" w:fill="auto"/>
            <w:noWrap/>
            <w:hideMark/>
          </w:tcPr>
          <w:p w:rsidR="00583BD3" w:rsidRPr="00162C53" w:rsidRDefault="00583BD3" w:rsidP="000727E8">
            <w:pPr>
              <w:jc w:val="center"/>
              <w:rPr>
                <w:rFonts w:ascii="Garamond" w:hAnsi="Garamond" w:cs="Calibri"/>
                <w:color w:val="000000"/>
                <w:sz w:val="20"/>
                <w:szCs w:val="20"/>
              </w:rPr>
            </w:pPr>
          </w:p>
        </w:tc>
        <w:tc>
          <w:tcPr>
            <w:tcW w:w="1275"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(0.71)</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(0.76)</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(0.71)</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(0.72)</w:t>
            </w:r>
          </w:p>
        </w:tc>
        <w:tc>
          <w:tcPr>
            <w:tcW w:w="1060"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(0.76)</w:t>
            </w:r>
          </w:p>
        </w:tc>
        <w:tc>
          <w:tcPr>
            <w:tcW w:w="1208"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(0.73)</w:t>
            </w:r>
          </w:p>
        </w:tc>
      </w:tr>
      <w:tr w:rsidR="00583BD3" w:rsidRPr="00C07CF2" w:rsidTr="000727E8">
        <w:trPr>
          <w:trHeight w:val="20"/>
        </w:trPr>
        <w:tc>
          <w:tcPr>
            <w:tcW w:w="2978" w:type="dxa"/>
            <w:shd w:val="clear" w:color="auto" w:fill="auto"/>
            <w:noWrap/>
            <w:hideMark/>
          </w:tcPr>
          <w:p w:rsidR="00583BD3" w:rsidRPr="00162C53" w:rsidRDefault="00583BD3" w:rsidP="000727E8">
            <w:pPr>
              <w:jc w:val="center"/>
              <w:rPr>
                <w:rFonts w:ascii="Garamond" w:hAnsi="Garamond" w:cs="Calibri"/>
                <w:color w:val="000000"/>
                <w:sz w:val="20"/>
                <w:szCs w:val="20"/>
              </w:rPr>
            </w:pPr>
            <w:proofErr w:type="spellStart"/>
            <w:r w:rsidRPr="00162C53">
              <w:rPr>
                <w:rFonts w:ascii="Garamond" w:hAnsi="Garamond" w:cs="Calibri"/>
                <w:color w:val="000000"/>
                <w:sz w:val="20"/>
                <w:szCs w:val="20"/>
              </w:rPr>
              <w:t>Ln</w:t>
            </w:r>
            <w:proofErr w:type="spellEnd"/>
            <w:r w:rsidRPr="00162C53">
              <w:rPr>
                <w:rFonts w:ascii="Garamond" w:hAnsi="Garamond" w:cs="Calibri"/>
                <w:color w:val="000000"/>
                <w:sz w:val="20"/>
                <w:szCs w:val="20"/>
              </w:rPr>
              <w:t>(CFO age)</w:t>
            </w:r>
            <w:r w:rsidRPr="00162C53">
              <w:rPr>
                <w:rFonts w:ascii="Garamond" w:hAnsi="Garamond" w:cs="Calibri"/>
                <w:color w:val="000000"/>
                <w:sz w:val="20"/>
                <w:szCs w:val="20"/>
                <w:vertAlign w:val="subscript"/>
              </w:rPr>
              <w:t>t-1</w:t>
            </w:r>
          </w:p>
        </w:tc>
        <w:tc>
          <w:tcPr>
            <w:tcW w:w="1275"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-0.0169</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-0.0172</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-0.0172</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-0.0169</w:t>
            </w:r>
          </w:p>
        </w:tc>
        <w:tc>
          <w:tcPr>
            <w:tcW w:w="1060"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-0.0175</w:t>
            </w:r>
          </w:p>
        </w:tc>
        <w:tc>
          <w:tcPr>
            <w:tcW w:w="1208"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-0.0119</w:t>
            </w:r>
          </w:p>
        </w:tc>
      </w:tr>
      <w:tr w:rsidR="00583BD3" w:rsidRPr="00C07CF2" w:rsidTr="000727E8">
        <w:trPr>
          <w:trHeight w:val="20"/>
        </w:trPr>
        <w:tc>
          <w:tcPr>
            <w:tcW w:w="2978" w:type="dxa"/>
            <w:shd w:val="clear" w:color="auto" w:fill="auto"/>
            <w:noWrap/>
            <w:hideMark/>
          </w:tcPr>
          <w:p w:rsidR="00583BD3" w:rsidRPr="00162C53" w:rsidRDefault="00583BD3" w:rsidP="000727E8">
            <w:pPr>
              <w:jc w:val="center"/>
              <w:rPr>
                <w:rFonts w:ascii="Garamond" w:hAnsi="Garamond" w:cs="Calibri"/>
                <w:color w:val="000000"/>
                <w:sz w:val="20"/>
                <w:szCs w:val="20"/>
              </w:rPr>
            </w:pPr>
          </w:p>
        </w:tc>
        <w:tc>
          <w:tcPr>
            <w:tcW w:w="1275"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(-0.48)</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(-0.49)</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(-0.49)</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(-0.48)</w:t>
            </w:r>
          </w:p>
        </w:tc>
        <w:tc>
          <w:tcPr>
            <w:tcW w:w="1060"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(-0.50)</w:t>
            </w:r>
          </w:p>
        </w:tc>
        <w:tc>
          <w:tcPr>
            <w:tcW w:w="1208"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(-0.33)</w:t>
            </w:r>
          </w:p>
        </w:tc>
      </w:tr>
      <w:tr w:rsidR="00583BD3" w:rsidRPr="00C07CF2" w:rsidTr="000727E8">
        <w:trPr>
          <w:trHeight w:val="20"/>
        </w:trPr>
        <w:tc>
          <w:tcPr>
            <w:tcW w:w="2978" w:type="dxa"/>
            <w:shd w:val="clear" w:color="auto" w:fill="auto"/>
            <w:noWrap/>
            <w:hideMark/>
          </w:tcPr>
          <w:p w:rsidR="00583BD3" w:rsidRPr="00162C53" w:rsidRDefault="00583BD3" w:rsidP="000727E8">
            <w:pPr>
              <w:jc w:val="center"/>
              <w:rPr>
                <w:rFonts w:ascii="Garamond" w:hAnsi="Garamond" w:cs="Calibri"/>
                <w:color w:val="000000"/>
                <w:sz w:val="20"/>
                <w:szCs w:val="20"/>
              </w:rPr>
            </w:pPr>
            <w:proofErr w:type="spellStart"/>
            <w:r w:rsidRPr="00162C53">
              <w:rPr>
                <w:rFonts w:ascii="Garamond" w:hAnsi="Garamond" w:cs="Calibri"/>
                <w:color w:val="000000"/>
                <w:sz w:val="20"/>
                <w:szCs w:val="20"/>
              </w:rPr>
              <w:t>Ln</w:t>
            </w:r>
            <w:proofErr w:type="spellEnd"/>
            <w:r w:rsidRPr="00162C53">
              <w:rPr>
                <w:rFonts w:ascii="Garamond" w:hAnsi="Garamond" w:cs="Calibri"/>
                <w:color w:val="000000"/>
                <w:sz w:val="20"/>
                <w:szCs w:val="20"/>
              </w:rPr>
              <w:t>(CFO network size)</w:t>
            </w:r>
            <w:r w:rsidRPr="00162C53">
              <w:rPr>
                <w:rFonts w:ascii="Garamond" w:hAnsi="Garamond" w:cs="Calibri"/>
                <w:color w:val="000000"/>
                <w:sz w:val="20"/>
                <w:szCs w:val="20"/>
                <w:vertAlign w:val="subscript"/>
              </w:rPr>
              <w:t>t-1</w:t>
            </w:r>
          </w:p>
        </w:tc>
        <w:tc>
          <w:tcPr>
            <w:tcW w:w="1275"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-0.00108</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-0.000957</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-0.00117</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-0.00109</w:t>
            </w:r>
          </w:p>
        </w:tc>
        <w:tc>
          <w:tcPr>
            <w:tcW w:w="1060"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-0.00104</w:t>
            </w:r>
          </w:p>
        </w:tc>
        <w:tc>
          <w:tcPr>
            <w:tcW w:w="1208"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-0.00106</w:t>
            </w:r>
          </w:p>
        </w:tc>
      </w:tr>
      <w:tr w:rsidR="00583BD3" w:rsidRPr="00C07CF2" w:rsidTr="000727E8">
        <w:trPr>
          <w:trHeight w:val="20"/>
        </w:trPr>
        <w:tc>
          <w:tcPr>
            <w:tcW w:w="2978" w:type="dxa"/>
            <w:shd w:val="clear" w:color="auto" w:fill="auto"/>
            <w:noWrap/>
            <w:hideMark/>
          </w:tcPr>
          <w:p w:rsidR="00583BD3" w:rsidRPr="00162C53" w:rsidRDefault="00583BD3" w:rsidP="000727E8">
            <w:pPr>
              <w:jc w:val="center"/>
              <w:rPr>
                <w:rFonts w:ascii="Garamond" w:hAnsi="Garamond" w:cs="Calibri"/>
                <w:color w:val="000000"/>
                <w:sz w:val="20"/>
                <w:szCs w:val="20"/>
              </w:rPr>
            </w:pPr>
          </w:p>
        </w:tc>
        <w:tc>
          <w:tcPr>
            <w:tcW w:w="1275"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(-0.35)</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(-0.31)</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(-0.38)</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(-0.35)</w:t>
            </w:r>
          </w:p>
        </w:tc>
        <w:tc>
          <w:tcPr>
            <w:tcW w:w="1060"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(-0.34)</w:t>
            </w:r>
          </w:p>
        </w:tc>
        <w:tc>
          <w:tcPr>
            <w:tcW w:w="1208"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(-0.34)</w:t>
            </w:r>
          </w:p>
        </w:tc>
      </w:tr>
      <w:tr w:rsidR="00583BD3" w:rsidRPr="00C07CF2" w:rsidTr="000727E8">
        <w:trPr>
          <w:trHeight w:val="20"/>
        </w:trPr>
        <w:tc>
          <w:tcPr>
            <w:tcW w:w="2978" w:type="dxa"/>
            <w:shd w:val="clear" w:color="auto" w:fill="auto"/>
            <w:noWrap/>
            <w:hideMark/>
          </w:tcPr>
          <w:p w:rsidR="00583BD3" w:rsidRPr="00162C53" w:rsidRDefault="00583BD3" w:rsidP="000727E8">
            <w:pPr>
              <w:jc w:val="center"/>
              <w:rPr>
                <w:rFonts w:ascii="Garamond" w:hAnsi="Garamond" w:cs="Calibri"/>
                <w:color w:val="000000"/>
                <w:sz w:val="20"/>
                <w:szCs w:val="20"/>
              </w:rPr>
            </w:pPr>
            <w:proofErr w:type="spellStart"/>
            <w:r w:rsidRPr="00162C53">
              <w:rPr>
                <w:rFonts w:ascii="Garamond" w:hAnsi="Garamond" w:cs="Calibri"/>
                <w:color w:val="000000"/>
                <w:sz w:val="20"/>
                <w:szCs w:val="20"/>
              </w:rPr>
              <w:t>Ln</w:t>
            </w:r>
            <w:proofErr w:type="spellEnd"/>
            <w:r w:rsidRPr="00162C53">
              <w:rPr>
                <w:rFonts w:ascii="Garamond" w:hAnsi="Garamond" w:cs="Calibri"/>
                <w:color w:val="000000"/>
                <w:sz w:val="20"/>
                <w:szCs w:val="20"/>
              </w:rPr>
              <w:t>(CFO total compensation)</w:t>
            </w:r>
            <w:r w:rsidRPr="00162C53">
              <w:rPr>
                <w:rFonts w:ascii="Garamond" w:hAnsi="Garamond" w:cs="Calibri"/>
                <w:color w:val="000000"/>
                <w:sz w:val="20"/>
                <w:szCs w:val="20"/>
                <w:vertAlign w:val="subscript"/>
              </w:rPr>
              <w:t>t-1</w:t>
            </w:r>
          </w:p>
        </w:tc>
        <w:tc>
          <w:tcPr>
            <w:tcW w:w="1275"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-0.0139***</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-0.0140***</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-0.0139***</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-0.0139***</w:t>
            </w:r>
          </w:p>
        </w:tc>
        <w:tc>
          <w:tcPr>
            <w:tcW w:w="1060"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-0.0139***</w:t>
            </w:r>
          </w:p>
        </w:tc>
        <w:tc>
          <w:tcPr>
            <w:tcW w:w="1208"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-0.0139***</w:t>
            </w:r>
          </w:p>
        </w:tc>
      </w:tr>
      <w:tr w:rsidR="00583BD3" w:rsidRPr="00C07CF2" w:rsidTr="000727E8">
        <w:trPr>
          <w:trHeight w:val="20"/>
        </w:trPr>
        <w:tc>
          <w:tcPr>
            <w:tcW w:w="2978" w:type="dxa"/>
            <w:tcBorders>
              <w:bottom w:val="nil"/>
            </w:tcBorders>
            <w:shd w:val="clear" w:color="auto" w:fill="auto"/>
            <w:noWrap/>
            <w:vAlign w:val="bottom"/>
            <w:hideMark/>
          </w:tcPr>
          <w:p w:rsidR="00583BD3" w:rsidRPr="00162C53" w:rsidRDefault="00583BD3" w:rsidP="000727E8">
            <w:pPr>
              <w:rPr>
                <w:rFonts w:ascii="Garamond" w:hAnsi="Garamond" w:cs="Calibri"/>
                <w:color w:val="000000"/>
                <w:sz w:val="20"/>
                <w:szCs w:val="20"/>
              </w:rPr>
            </w:pPr>
          </w:p>
        </w:tc>
        <w:tc>
          <w:tcPr>
            <w:tcW w:w="1275" w:type="dxa"/>
            <w:tcBorders>
              <w:bottom w:val="nil"/>
            </w:tcBorders>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(-3.41)</w:t>
            </w:r>
          </w:p>
        </w:tc>
        <w:tc>
          <w:tcPr>
            <w:tcW w:w="1134" w:type="dxa"/>
            <w:tcBorders>
              <w:bottom w:val="nil"/>
            </w:tcBorders>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(-3.42)</w:t>
            </w:r>
          </w:p>
        </w:tc>
        <w:tc>
          <w:tcPr>
            <w:tcW w:w="1134" w:type="dxa"/>
            <w:tcBorders>
              <w:bottom w:val="nil"/>
            </w:tcBorders>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(-3.40)</w:t>
            </w:r>
          </w:p>
        </w:tc>
        <w:tc>
          <w:tcPr>
            <w:tcW w:w="1134" w:type="dxa"/>
            <w:tcBorders>
              <w:bottom w:val="nil"/>
            </w:tcBorders>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(-3.41)</w:t>
            </w:r>
          </w:p>
        </w:tc>
        <w:tc>
          <w:tcPr>
            <w:tcW w:w="1060" w:type="dxa"/>
            <w:tcBorders>
              <w:bottom w:val="nil"/>
            </w:tcBorders>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(-3.41)</w:t>
            </w:r>
          </w:p>
        </w:tc>
        <w:tc>
          <w:tcPr>
            <w:tcW w:w="1208" w:type="dxa"/>
            <w:tcBorders>
              <w:bottom w:val="nil"/>
            </w:tcBorders>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(-3.41)</w:t>
            </w:r>
          </w:p>
        </w:tc>
      </w:tr>
      <w:tr w:rsidR="00583BD3" w:rsidRPr="00C07CF2" w:rsidTr="000727E8">
        <w:trPr>
          <w:trHeight w:val="20"/>
        </w:trPr>
        <w:tc>
          <w:tcPr>
            <w:tcW w:w="2978" w:type="dxa"/>
            <w:tcBorders>
              <w:top w:val="nil"/>
              <w:bottom w:val="nil"/>
            </w:tcBorders>
            <w:shd w:val="clear" w:color="auto" w:fill="auto"/>
            <w:noWrap/>
            <w:vAlign w:val="bottom"/>
            <w:hideMark/>
          </w:tcPr>
          <w:p w:rsidR="00583BD3" w:rsidRPr="00162C53" w:rsidRDefault="00583BD3" w:rsidP="000727E8">
            <w:pPr>
              <w:jc w:val="center"/>
              <w:rPr>
                <w:rFonts w:ascii="Garamond" w:hAnsi="Garamond" w:cs="Calibri"/>
                <w:color w:val="000000"/>
                <w:sz w:val="20"/>
                <w:szCs w:val="20"/>
              </w:rPr>
            </w:pPr>
            <w:r w:rsidRPr="00162C53">
              <w:rPr>
                <w:rFonts w:ascii="Garamond" w:hAnsi="Garamond" w:cs="Calibri"/>
                <w:color w:val="000000"/>
                <w:sz w:val="20"/>
                <w:szCs w:val="20"/>
              </w:rPr>
              <w:t>Constant</w:t>
            </w:r>
          </w:p>
        </w:tc>
        <w:tc>
          <w:tcPr>
            <w:tcW w:w="1275" w:type="dxa"/>
            <w:tcBorders>
              <w:top w:val="nil"/>
              <w:bottom w:val="nil"/>
            </w:tcBorders>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-0.180</w:t>
            </w:r>
          </w:p>
        </w:tc>
        <w:tc>
          <w:tcPr>
            <w:tcW w:w="1134" w:type="dxa"/>
            <w:tcBorders>
              <w:top w:val="nil"/>
              <w:bottom w:val="nil"/>
            </w:tcBorders>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-0.179</w:t>
            </w:r>
          </w:p>
        </w:tc>
        <w:tc>
          <w:tcPr>
            <w:tcW w:w="1134" w:type="dxa"/>
            <w:tcBorders>
              <w:top w:val="nil"/>
              <w:bottom w:val="nil"/>
            </w:tcBorders>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-0.176</w:t>
            </w:r>
          </w:p>
        </w:tc>
        <w:tc>
          <w:tcPr>
            <w:tcW w:w="1134" w:type="dxa"/>
            <w:tcBorders>
              <w:top w:val="nil"/>
              <w:bottom w:val="nil"/>
            </w:tcBorders>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-0.180</w:t>
            </w:r>
          </w:p>
        </w:tc>
        <w:tc>
          <w:tcPr>
            <w:tcW w:w="1060" w:type="dxa"/>
            <w:tcBorders>
              <w:top w:val="nil"/>
              <w:bottom w:val="nil"/>
            </w:tcBorders>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-0.176</w:t>
            </w:r>
          </w:p>
        </w:tc>
        <w:tc>
          <w:tcPr>
            <w:tcW w:w="1208" w:type="dxa"/>
            <w:tcBorders>
              <w:top w:val="nil"/>
              <w:bottom w:val="nil"/>
            </w:tcBorders>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-0.195</w:t>
            </w:r>
          </w:p>
        </w:tc>
      </w:tr>
      <w:tr w:rsidR="00583BD3" w:rsidRPr="00C07CF2" w:rsidTr="000727E8">
        <w:trPr>
          <w:trHeight w:val="20"/>
        </w:trPr>
        <w:tc>
          <w:tcPr>
            <w:tcW w:w="2978" w:type="dxa"/>
            <w:tcBorders>
              <w:top w:val="nil"/>
              <w:bottom w:val="single" w:sz="4" w:space="0" w:color="auto"/>
            </w:tcBorders>
            <w:shd w:val="clear" w:color="auto" w:fill="auto"/>
            <w:noWrap/>
            <w:vAlign w:val="bottom"/>
            <w:hideMark/>
          </w:tcPr>
          <w:p w:rsidR="00583BD3" w:rsidRPr="006C4823" w:rsidRDefault="00583BD3" w:rsidP="000727E8">
            <w:pPr>
              <w:rPr>
                <w:rFonts w:ascii="Garamond" w:hAnsi="Garamond" w:cs="Calibri"/>
                <w:color w:val="000000"/>
                <w:sz w:val="20"/>
                <w:szCs w:val="20"/>
              </w:rPr>
            </w:pPr>
          </w:p>
        </w:tc>
        <w:tc>
          <w:tcPr>
            <w:tcW w:w="1275" w:type="dxa"/>
            <w:tcBorders>
              <w:top w:val="nil"/>
              <w:bottom w:val="single" w:sz="4" w:space="0" w:color="auto"/>
            </w:tcBorders>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(-1.09)</w:t>
            </w:r>
          </w:p>
        </w:tc>
        <w:tc>
          <w:tcPr>
            <w:tcW w:w="1134" w:type="dxa"/>
            <w:tcBorders>
              <w:top w:val="nil"/>
              <w:bottom w:val="single" w:sz="4" w:space="0" w:color="auto"/>
            </w:tcBorders>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(-1.09)</w:t>
            </w:r>
          </w:p>
        </w:tc>
        <w:tc>
          <w:tcPr>
            <w:tcW w:w="1134" w:type="dxa"/>
            <w:tcBorders>
              <w:top w:val="nil"/>
              <w:bottom w:val="single" w:sz="4" w:space="0" w:color="auto"/>
            </w:tcBorders>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(-1.06)</w:t>
            </w:r>
          </w:p>
        </w:tc>
        <w:tc>
          <w:tcPr>
            <w:tcW w:w="1134" w:type="dxa"/>
            <w:tcBorders>
              <w:top w:val="nil"/>
              <w:bottom w:val="single" w:sz="4" w:space="0" w:color="auto"/>
            </w:tcBorders>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(-1.09)</w:t>
            </w:r>
          </w:p>
        </w:tc>
        <w:tc>
          <w:tcPr>
            <w:tcW w:w="1060" w:type="dxa"/>
            <w:tcBorders>
              <w:top w:val="nil"/>
              <w:bottom w:val="single" w:sz="4" w:space="0" w:color="auto"/>
            </w:tcBorders>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(-1.07)</w:t>
            </w:r>
          </w:p>
        </w:tc>
        <w:tc>
          <w:tcPr>
            <w:tcW w:w="1208" w:type="dxa"/>
            <w:tcBorders>
              <w:top w:val="nil"/>
              <w:bottom w:val="single" w:sz="4" w:space="0" w:color="auto"/>
            </w:tcBorders>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(-1.17)</w:t>
            </w:r>
          </w:p>
        </w:tc>
      </w:tr>
      <w:tr w:rsidR="00583BD3" w:rsidRPr="006C4823" w:rsidTr="000727E8">
        <w:trPr>
          <w:trHeight w:val="20"/>
        </w:trPr>
        <w:tc>
          <w:tcPr>
            <w:tcW w:w="2978" w:type="dxa"/>
            <w:tcBorders>
              <w:top w:val="single" w:sz="4" w:space="0" w:color="auto"/>
              <w:bottom w:val="nil"/>
            </w:tcBorders>
            <w:shd w:val="clear" w:color="auto" w:fill="auto"/>
            <w:noWrap/>
            <w:vAlign w:val="bottom"/>
            <w:hideMark/>
          </w:tcPr>
          <w:p w:rsidR="00583BD3" w:rsidRPr="006C4823" w:rsidRDefault="00583BD3" w:rsidP="000727E8">
            <w:pPr>
              <w:jc w:val="center"/>
              <w:rPr>
                <w:rFonts w:ascii="Garamond" w:hAnsi="Garamond" w:cs="Calibri"/>
                <w:color w:val="000000"/>
                <w:sz w:val="20"/>
                <w:szCs w:val="20"/>
              </w:rPr>
            </w:pPr>
            <w:r w:rsidRPr="006C4823">
              <w:rPr>
                <w:rFonts w:ascii="Garamond" w:hAnsi="Garamond" w:cs="Calibri"/>
                <w:color w:val="000000"/>
                <w:sz w:val="20"/>
                <w:szCs w:val="20"/>
              </w:rPr>
              <w:t>Year Fixed Effects</w:t>
            </w:r>
          </w:p>
        </w:tc>
        <w:tc>
          <w:tcPr>
            <w:tcW w:w="1275" w:type="dxa"/>
            <w:tcBorders>
              <w:top w:val="single" w:sz="4" w:space="0" w:color="auto"/>
              <w:bottom w:val="nil"/>
            </w:tcBorders>
            <w:shd w:val="clear" w:color="auto" w:fill="auto"/>
            <w:noWrap/>
            <w:vAlign w:val="bottom"/>
            <w:hideMark/>
          </w:tcPr>
          <w:p w:rsidR="00583BD3" w:rsidRPr="006C4823" w:rsidRDefault="00583BD3" w:rsidP="000727E8">
            <w:pPr>
              <w:rPr>
                <w:rFonts w:ascii="Garamond" w:hAnsi="Garamond" w:cs="Calibri"/>
                <w:color w:val="000000"/>
                <w:sz w:val="20"/>
                <w:szCs w:val="20"/>
              </w:rPr>
            </w:pPr>
            <w:r w:rsidRPr="006C4823">
              <w:rPr>
                <w:rFonts w:ascii="Garamond" w:hAnsi="Garamond" w:cs="Calibri"/>
                <w:color w:val="000000"/>
                <w:sz w:val="20"/>
                <w:szCs w:val="20"/>
              </w:rPr>
              <w:t>Yes</w:t>
            </w:r>
          </w:p>
        </w:tc>
        <w:tc>
          <w:tcPr>
            <w:tcW w:w="1134" w:type="dxa"/>
            <w:tcBorders>
              <w:top w:val="single" w:sz="4" w:space="0" w:color="auto"/>
              <w:bottom w:val="nil"/>
            </w:tcBorders>
            <w:shd w:val="clear" w:color="auto" w:fill="auto"/>
            <w:noWrap/>
            <w:vAlign w:val="bottom"/>
            <w:hideMark/>
          </w:tcPr>
          <w:p w:rsidR="00583BD3" w:rsidRPr="006C4823" w:rsidRDefault="00583BD3" w:rsidP="000727E8">
            <w:pPr>
              <w:rPr>
                <w:rFonts w:ascii="Garamond" w:hAnsi="Garamond" w:cs="Calibri"/>
                <w:color w:val="000000"/>
                <w:sz w:val="20"/>
                <w:szCs w:val="20"/>
              </w:rPr>
            </w:pPr>
            <w:r w:rsidRPr="006C4823">
              <w:rPr>
                <w:rFonts w:ascii="Garamond" w:hAnsi="Garamond" w:cs="Calibri"/>
                <w:color w:val="000000"/>
                <w:sz w:val="20"/>
                <w:szCs w:val="20"/>
              </w:rPr>
              <w:t>Yes</w:t>
            </w:r>
          </w:p>
        </w:tc>
        <w:tc>
          <w:tcPr>
            <w:tcW w:w="1134" w:type="dxa"/>
            <w:tcBorders>
              <w:top w:val="single" w:sz="4" w:space="0" w:color="auto"/>
              <w:bottom w:val="nil"/>
            </w:tcBorders>
            <w:shd w:val="clear" w:color="auto" w:fill="auto"/>
            <w:noWrap/>
            <w:vAlign w:val="bottom"/>
            <w:hideMark/>
          </w:tcPr>
          <w:p w:rsidR="00583BD3" w:rsidRPr="006C4823" w:rsidRDefault="00583BD3" w:rsidP="000727E8">
            <w:pPr>
              <w:rPr>
                <w:rFonts w:ascii="Garamond" w:hAnsi="Garamond" w:cs="Calibri"/>
                <w:color w:val="000000"/>
                <w:sz w:val="20"/>
                <w:szCs w:val="20"/>
              </w:rPr>
            </w:pPr>
            <w:r w:rsidRPr="006C4823">
              <w:rPr>
                <w:rFonts w:ascii="Garamond" w:hAnsi="Garamond" w:cs="Calibri"/>
                <w:color w:val="000000"/>
                <w:sz w:val="20"/>
                <w:szCs w:val="20"/>
              </w:rPr>
              <w:t>Yes</w:t>
            </w:r>
          </w:p>
        </w:tc>
        <w:tc>
          <w:tcPr>
            <w:tcW w:w="1134" w:type="dxa"/>
            <w:tcBorders>
              <w:top w:val="single" w:sz="4" w:space="0" w:color="auto"/>
              <w:bottom w:val="nil"/>
            </w:tcBorders>
            <w:shd w:val="clear" w:color="auto" w:fill="auto"/>
            <w:noWrap/>
            <w:vAlign w:val="bottom"/>
            <w:hideMark/>
          </w:tcPr>
          <w:p w:rsidR="00583BD3" w:rsidRPr="006C4823" w:rsidRDefault="00583BD3" w:rsidP="000727E8">
            <w:pPr>
              <w:rPr>
                <w:rFonts w:ascii="Garamond" w:hAnsi="Garamond" w:cs="Calibri"/>
                <w:color w:val="000000"/>
                <w:sz w:val="20"/>
                <w:szCs w:val="20"/>
              </w:rPr>
            </w:pPr>
            <w:r w:rsidRPr="006C4823">
              <w:rPr>
                <w:rFonts w:ascii="Garamond" w:hAnsi="Garamond" w:cs="Calibri"/>
                <w:color w:val="000000"/>
                <w:sz w:val="20"/>
                <w:szCs w:val="20"/>
              </w:rPr>
              <w:t>Yes</w:t>
            </w:r>
          </w:p>
        </w:tc>
        <w:tc>
          <w:tcPr>
            <w:tcW w:w="1060" w:type="dxa"/>
            <w:tcBorders>
              <w:top w:val="single" w:sz="4" w:space="0" w:color="auto"/>
              <w:bottom w:val="nil"/>
            </w:tcBorders>
            <w:shd w:val="clear" w:color="auto" w:fill="auto"/>
            <w:noWrap/>
            <w:vAlign w:val="center"/>
            <w:hideMark/>
          </w:tcPr>
          <w:p w:rsidR="00583BD3" w:rsidRPr="006C4823" w:rsidRDefault="00583BD3" w:rsidP="000727E8">
            <w:pPr>
              <w:rPr>
                <w:rFonts w:ascii="Garamond" w:hAnsi="Garamond" w:cs="Calibri"/>
                <w:color w:val="000000"/>
                <w:sz w:val="20"/>
                <w:szCs w:val="20"/>
              </w:rPr>
            </w:pPr>
            <w:r w:rsidRPr="006C4823">
              <w:rPr>
                <w:rFonts w:ascii="Garamond" w:hAnsi="Garamond" w:cs="Calibri"/>
                <w:color w:val="000000"/>
                <w:sz w:val="20"/>
                <w:szCs w:val="20"/>
              </w:rPr>
              <w:t>Yes</w:t>
            </w:r>
          </w:p>
        </w:tc>
        <w:tc>
          <w:tcPr>
            <w:tcW w:w="1208" w:type="dxa"/>
            <w:tcBorders>
              <w:top w:val="single" w:sz="4" w:space="0" w:color="auto"/>
              <w:bottom w:val="nil"/>
            </w:tcBorders>
            <w:shd w:val="clear" w:color="auto" w:fill="auto"/>
            <w:noWrap/>
            <w:vAlign w:val="bottom"/>
            <w:hideMark/>
          </w:tcPr>
          <w:p w:rsidR="00583BD3" w:rsidRPr="006C4823" w:rsidRDefault="00583BD3" w:rsidP="000727E8">
            <w:pPr>
              <w:rPr>
                <w:rFonts w:ascii="Garamond" w:hAnsi="Garamond" w:cs="Calibri"/>
                <w:color w:val="000000"/>
                <w:sz w:val="20"/>
                <w:szCs w:val="20"/>
              </w:rPr>
            </w:pPr>
            <w:r w:rsidRPr="006C4823">
              <w:rPr>
                <w:rFonts w:ascii="Garamond" w:hAnsi="Garamond" w:cs="Calibri"/>
                <w:color w:val="000000"/>
                <w:sz w:val="20"/>
                <w:szCs w:val="20"/>
              </w:rPr>
              <w:t>Yes</w:t>
            </w:r>
          </w:p>
        </w:tc>
      </w:tr>
      <w:tr w:rsidR="00583BD3" w:rsidRPr="006C4823" w:rsidTr="000727E8">
        <w:trPr>
          <w:trHeight w:val="20"/>
        </w:trPr>
        <w:tc>
          <w:tcPr>
            <w:tcW w:w="2978" w:type="dxa"/>
            <w:tcBorders>
              <w:top w:val="nil"/>
            </w:tcBorders>
            <w:shd w:val="clear" w:color="auto" w:fill="auto"/>
            <w:noWrap/>
            <w:vAlign w:val="bottom"/>
            <w:hideMark/>
          </w:tcPr>
          <w:p w:rsidR="00583BD3" w:rsidRPr="006C4823" w:rsidRDefault="00583BD3" w:rsidP="000727E8">
            <w:pPr>
              <w:jc w:val="center"/>
              <w:rPr>
                <w:rFonts w:ascii="Garamond" w:hAnsi="Garamond" w:cs="Calibri"/>
                <w:color w:val="000000"/>
                <w:sz w:val="20"/>
                <w:szCs w:val="20"/>
              </w:rPr>
            </w:pPr>
            <w:r w:rsidRPr="006C4823">
              <w:rPr>
                <w:rFonts w:ascii="Garamond" w:hAnsi="Garamond" w:cs="Calibri"/>
                <w:color w:val="000000"/>
                <w:sz w:val="20"/>
                <w:szCs w:val="20"/>
                <w:lang w:val="en-US"/>
              </w:rPr>
              <w:t>Firm</w:t>
            </w:r>
            <w:r w:rsidRPr="006C4823">
              <w:rPr>
                <w:rFonts w:ascii="Garamond" w:hAnsi="Garamond" w:cs="Calibri"/>
                <w:color w:val="000000"/>
                <w:sz w:val="20"/>
                <w:szCs w:val="20"/>
              </w:rPr>
              <w:t xml:space="preserve"> Fixed Effects</w:t>
            </w:r>
          </w:p>
        </w:tc>
        <w:tc>
          <w:tcPr>
            <w:tcW w:w="1275" w:type="dxa"/>
            <w:tcBorders>
              <w:top w:val="nil"/>
            </w:tcBorders>
            <w:shd w:val="clear" w:color="auto" w:fill="auto"/>
            <w:noWrap/>
            <w:vAlign w:val="bottom"/>
            <w:hideMark/>
          </w:tcPr>
          <w:p w:rsidR="00583BD3" w:rsidRPr="006C4823" w:rsidRDefault="00583BD3" w:rsidP="000727E8">
            <w:pPr>
              <w:rPr>
                <w:rFonts w:ascii="Garamond" w:hAnsi="Garamond" w:cs="Calibri"/>
                <w:color w:val="000000"/>
                <w:sz w:val="20"/>
                <w:szCs w:val="20"/>
              </w:rPr>
            </w:pPr>
            <w:r w:rsidRPr="006C4823">
              <w:rPr>
                <w:rFonts w:ascii="Garamond" w:hAnsi="Garamond" w:cs="Calibri"/>
                <w:color w:val="000000"/>
                <w:sz w:val="20"/>
                <w:szCs w:val="20"/>
              </w:rPr>
              <w:t>Yes</w:t>
            </w:r>
          </w:p>
        </w:tc>
        <w:tc>
          <w:tcPr>
            <w:tcW w:w="1134" w:type="dxa"/>
            <w:tcBorders>
              <w:top w:val="nil"/>
            </w:tcBorders>
            <w:shd w:val="clear" w:color="auto" w:fill="auto"/>
            <w:noWrap/>
            <w:vAlign w:val="bottom"/>
            <w:hideMark/>
          </w:tcPr>
          <w:p w:rsidR="00583BD3" w:rsidRPr="006C4823" w:rsidRDefault="00583BD3" w:rsidP="000727E8">
            <w:pPr>
              <w:rPr>
                <w:rFonts w:ascii="Garamond" w:hAnsi="Garamond" w:cs="Calibri"/>
                <w:color w:val="000000"/>
                <w:sz w:val="20"/>
                <w:szCs w:val="20"/>
              </w:rPr>
            </w:pPr>
            <w:r w:rsidRPr="006C4823">
              <w:rPr>
                <w:rFonts w:ascii="Garamond" w:hAnsi="Garamond" w:cs="Calibri"/>
                <w:color w:val="000000"/>
                <w:sz w:val="20"/>
                <w:szCs w:val="20"/>
              </w:rPr>
              <w:t>Yes</w:t>
            </w:r>
          </w:p>
        </w:tc>
        <w:tc>
          <w:tcPr>
            <w:tcW w:w="1134" w:type="dxa"/>
            <w:tcBorders>
              <w:top w:val="nil"/>
            </w:tcBorders>
            <w:shd w:val="clear" w:color="auto" w:fill="auto"/>
            <w:noWrap/>
            <w:vAlign w:val="bottom"/>
            <w:hideMark/>
          </w:tcPr>
          <w:p w:rsidR="00583BD3" w:rsidRPr="006C4823" w:rsidRDefault="00583BD3" w:rsidP="000727E8">
            <w:pPr>
              <w:rPr>
                <w:rFonts w:ascii="Garamond" w:hAnsi="Garamond" w:cs="Calibri"/>
                <w:color w:val="000000"/>
                <w:sz w:val="20"/>
                <w:szCs w:val="20"/>
              </w:rPr>
            </w:pPr>
            <w:r w:rsidRPr="006C4823">
              <w:rPr>
                <w:rFonts w:ascii="Garamond" w:hAnsi="Garamond" w:cs="Calibri"/>
                <w:color w:val="000000"/>
                <w:sz w:val="20"/>
                <w:szCs w:val="20"/>
              </w:rPr>
              <w:t>Yes</w:t>
            </w:r>
          </w:p>
        </w:tc>
        <w:tc>
          <w:tcPr>
            <w:tcW w:w="1134" w:type="dxa"/>
            <w:tcBorders>
              <w:top w:val="nil"/>
            </w:tcBorders>
            <w:shd w:val="clear" w:color="auto" w:fill="auto"/>
            <w:noWrap/>
            <w:vAlign w:val="bottom"/>
            <w:hideMark/>
          </w:tcPr>
          <w:p w:rsidR="00583BD3" w:rsidRPr="006C4823" w:rsidRDefault="00583BD3" w:rsidP="000727E8">
            <w:pPr>
              <w:rPr>
                <w:rFonts w:ascii="Garamond" w:hAnsi="Garamond" w:cs="Calibri"/>
                <w:color w:val="000000"/>
                <w:sz w:val="20"/>
                <w:szCs w:val="20"/>
              </w:rPr>
            </w:pPr>
            <w:r w:rsidRPr="006C4823">
              <w:rPr>
                <w:rFonts w:ascii="Garamond" w:hAnsi="Garamond" w:cs="Calibri"/>
                <w:color w:val="000000"/>
                <w:sz w:val="20"/>
                <w:szCs w:val="20"/>
              </w:rPr>
              <w:t>Yes</w:t>
            </w:r>
          </w:p>
        </w:tc>
        <w:tc>
          <w:tcPr>
            <w:tcW w:w="1060" w:type="dxa"/>
            <w:tcBorders>
              <w:top w:val="nil"/>
            </w:tcBorders>
            <w:shd w:val="clear" w:color="auto" w:fill="auto"/>
            <w:noWrap/>
            <w:vAlign w:val="center"/>
            <w:hideMark/>
          </w:tcPr>
          <w:p w:rsidR="00583BD3" w:rsidRPr="006C4823" w:rsidRDefault="00583BD3" w:rsidP="000727E8">
            <w:pPr>
              <w:rPr>
                <w:rFonts w:ascii="Garamond" w:hAnsi="Garamond" w:cs="Calibri"/>
                <w:color w:val="000000"/>
                <w:sz w:val="20"/>
                <w:szCs w:val="20"/>
              </w:rPr>
            </w:pPr>
            <w:r w:rsidRPr="006C4823">
              <w:rPr>
                <w:rFonts w:ascii="Garamond" w:hAnsi="Garamond" w:cs="Calibri"/>
                <w:color w:val="000000"/>
                <w:sz w:val="20"/>
                <w:szCs w:val="20"/>
              </w:rPr>
              <w:t>Yes</w:t>
            </w:r>
          </w:p>
        </w:tc>
        <w:tc>
          <w:tcPr>
            <w:tcW w:w="1208" w:type="dxa"/>
            <w:tcBorders>
              <w:top w:val="nil"/>
            </w:tcBorders>
            <w:shd w:val="clear" w:color="auto" w:fill="auto"/>
            <w:noWrap/>
            <w:vAlign w:val="bottom"/>
            <w:hideMark/>
          </w:tcPr>
          <w:p w:rsidR="00583BD3" w:rsidRPr="006C4823" w:rsidRDefault="00583BD3" w:rsidP="000727E8">
            <w:pPr>
              <w:rPr>
                <w:rFonts w:ascii="Garamond" w:hAnsi="Garamond" w:cs="Calibri"/>
                <w:color w:val="000000"/>
                <w:sz w:val="20"/>
                <w:szCs w:val="20"/>
              </w:rPr>
            </w:pPr>
            <w:r w:rsidRPr="006C4823">
              <w:rPr>
                <w:rFonts w:ascii="Garamond" w:hAnsi="Garamond" w:cs="Calibri"/>
                <w:color w:val="000000"/>
                <w:sz w:val="20"/>
                <w:szCs w:val="20"/>
              </w:rPr>
              <w:t>Yes</w:t>
            </w:r>
          </w:p>
        </w:tc>
      </w:tr>
      <w:tr w:rsidR="00583BD3" w:rsidRPr="006C4823" w:rsidTr="000727E8">
        <w:trPr>
          <w:trHeight w:val="20"/>
        </w:trPr>
        <w:tc>
          <w:tcPr>
            <w:tcW w:w="2978" w:type="dxa"/>
            <w:shd w:val="clear" w:color="auto" w:fill="auto"/>
            <w:noWrap/>
            <w:vAlign w:val="bottom"/>
            <w:hideMark/>
          </w:tcPr>
          <w:p w:rsidR="00583BD3" w:rsidRPr="006C4823" w:rsidRDefault="00583BD3" w:rsidP="000727E8">
            <w:pPr>
              <w:jc w:val="center"/>
              <w:rPr>
                <w:rFonts w:ascii="Garamond" w:hAnsi="Garamond" w:cs="Calibri"/>
                <w:color w:val="000000"/>
                <w:sz w:val="20"/>
                <w:szCs w:val="20"/>
              </w:rPr>
            </w:pPr>
            <w:proofErr w:type="spellStart"/>
            <w:r w:rsidRPr="006C4823">
              <w:rPr>
                <w:rFonts w:ascii="Garamond" w:hAnsi="Garamond" w:cs="Calibri"/>
                <w:color w:val="000000"/>
                <w:sz w:val="20"/>
                <w:szCs w:val="20"/>
              </w:rPr>
              <w:t>Adj</w:t>
            </w:r>
            <w:proofErr w:type="spellEnd"/>
            <w:r w:rsidRPr="006C4823">
              <w:rPr>
                <w:rFonts w:ascii="Garamond" w:hAnsi="Garamond" w:cs="Calibri"/>
                <w:color w:val="000000"/>
                <w:sz w:val="20"/>
                <w:szCs w:val="20"/>
              </w:rPr>
              <w:t xml:space="preserve"> R-square</w:t>
            </w:r>
          </w:p>
        </w:tc>
        <w:tc>
          <w:tcPr>
            <w:tcW w:w="1275"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0.0635</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0.0637</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0.0635</w:t>
            </w:r>
          </w:p>
        </w:tc>
        <w:tc>
          <w:tcPr>
            <w:tcW w:w="1134"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0.0633</w:t>
            </w:r>
          </w:p>
        </w:tc>
        <w:tc>
          <w:tcPr>
            <w:tcW w:w="1060"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0.0635</w:t>
            </w:r>
          </w:p>
        </w:tc>
        <w:tc>
          <w:tcPr>
            <w:tcW w:w="1208" w:type="dxa"/>
            <w:shd w:val="clear" w:color="auto" w:fill="auto"/>
            <w:noWrap/>
            <w:vAlign w:val="center"/>
            <w:hideMark/>
          </w:tcPr>
          <w:p w:rsidR="00583BD3" w:rsidRPr="00C07CF2" w:rsidRDefault="00583BD3" w:rsidP="000727E8">
            <w:pPr>
              <w:rPr>
                <w:rFonts w:ascii="Garamond" w:hAnsi="Garamond"/>
                <w:color w:val="000000"/>
                <w:sz w:val="20"/>
                <w:szCs w:val="20"/>
              </w:rPr>
            </w:pPr>
            <w:r w:rsidRPr="00C07CF2">
              <w:rPr>
                <w:rFonts w:ascii="Garamond" w:hAnsi="Garamond" w:hint="eastAsia"/>
                <w:color w:val="000000"/>
                <w:sz w:val="20"/>
                <w:szCs w:val="20"/>
              </w:rPr>
              <w:t>0.0635</w:t>
            </w:r>
          </w:p>
        </w:tc>
      </w:tr>
      <w:tr w:rsidR="00583BD3" w:rsidRPr="006C4823" w:rsidTr="000727E8">
        <w:trPr>
          <w:trHeight w:val="20"/>
        </w:trPr>
        <w:tc>
          <w:tcPr>
            <w:tcW w:w="2978" w:type="dxa"/>
            <w:shd w:val="clear" w:color="auto" w:fill="auto"/>
            <w:noWrap/>
            <w:vAlign w:val="bottom"/>
            <w:hideMark/>
          </w:tcPr>
          <w:p w:rsidR="00583BD3" w:rsidRPr="006C4823" w:rsidRDefault="00583BD3" w:rsidP="000727E8">
            <w:pPr>
              <w:jc w:val="center"/>
              <w:rPr>
                <w:rFonts w:ascii="Garamond" w:hAnsi="Garamond" w:cs="Calibri"/>
                <w:color w:val="000000"/>
                <w:sz w:val="20"/>
                <w:szCs w:val="20"/>
              </w:rPr>
            </w:pPr>
            <w:r w:rsidRPr="006C4823">
              <w:rPr>
                <w:rFonts w:ascii="Garamond" w:hAnsi="Garamond" w:cs="Calibri"/>
                <w:color w:val="000000"/>
                <w:sz w:val="20"/>
                <w:szCs w:val="20"/>
              </w:rPr>
              <w:t>No. of Observation</w:t>
            </w:r>
          </w:p>
        </w:tc>
        <w:tc>
          <w:tcPr>
            <w:tcW w:w="1275" w:type="dxa"/>
            <w:shd w:val="clear" w:color="auto" w:fill="auto"/>
            <w:noWrap/>
            <w:vAlign w:val="bottom"/>
            <w:hideMark/>
          </w:tcPr>
          <w:p w:rsidR="00583BD3" w:rsidRPr="006C4823" w:rsidRDefault="00583BD3" w:rsidP="000727E8">
            <w:pPr>
              <w:rPr>
                <w:rFonts w:ascii="Garamond" w:hAnsi="Garamond" w:cs="Calibri"/>
                <w:color w:val="000000"/>
                <w:sz w:val="20"/>
                <w:szCs w:val="20"/>
              </w:rPr>
            </w:pPr>
            <w:r w:rsidRPr="006C4823">
              <w:rPr>
                <w:rFonts w:ascii="Garamond" w:hAnsi="Garamond"/>
                <w:color w:val="000000"/>
                <w:sz w:val="20"/>
                <w:szCs w:val="20"/>
              </w:rPr>
              <w:t>6,299</w:t>
            </w:r>
          </w:p>
        </w:tc>
        <w:tc>
          <w:tcPr>
            <w:tcW w:w="1134" w:type="dxa"/>
            <w:shd w:val="clear" w:color="auto" w:fill="auto"/>
            <w:noWrap/>
            <w:vAlign w:val="bottom"/>
            <w:hideMark/>
          </w:tcPr>
          <w:p w:rsidR="00583BD3" w:rsidRPr="006C4823" w:rsidRDefault="00583BD3" w:rsidP="000727E8">
            <w:pPr>
              <w:rPr>
                <w:rFonts w:ascii="Garamond" w:hAnsi="Garamond" w:cs="Calibri"/>
                <w:color w:val="000000"/>
                <w:sz w:val="20"/>
                <w:szCs w:val="20"/>
              </w:rPr>
            </w:pPr>
            <w:r w:rsidRPr="006C4823">
              <w:rPr>
                <w:rFonts w:ascii="Garamond" w:hAnsi="Garamond"/>
                <w:color w:val="000000"/>
                <w:sz w:val="20"/>
                <w:szCs w:val="20"/>
              </w:rPr>
              <w:t>6,299</w:t>
            </w:r>
          </w:p>
        </w:tc>
        <w:tc>
          <w:tcPr>
            <w:tcW w:w="1134" w:type="dxa"/>
            <w:shd w:val="clear" w:color="auto" w:fill="auto"/>
            <w:noWrap/>
            <w:vAlign w:val="bottom"/>
            <w:hideMark/>
          </w:tcPr>
          <w:p w:rsidR="00583BD3" w:rsidRPr="006C4823" w:rsidRDefault="00583BD3" w:rsidP="000727E8">
            <w:pPr>
              <w:rPr>
                <w:rFonts w:ascii="Garamond" w:hAnsi="Garamond" w:cs="Calibri"/>
                <w:color w:val="000000"/>
                <w:sz w:val="20"/>
                <w:szCs w:val="20"/>
              </w:rPr>
            </w:pPr>
            <w:r w:rsidRPr="006C4823">
              <w:rPr>
                <w:rFonts w:ascii="Garamond" w:hAnsi="Garamond"/>
                <w:color w:val="000000"/>
                <w:sz w:val="20"/>
                <w:szCs w:val="20"/>
              </w:rPr>
              <w:t>6,299</w:t>
            </w:r>
          </w:p>
        </w:tc>
        <w:tc>
          <w:tcPr>
            <w:tcW w:w="1134" w:type="dxa"/>
            <w:shd w:val="clear" w:color="auto" w:fill="auto"/>
            <w:noWrap/>
            <w:vAlign w:val="bottom"/>
            <w:hideMark/>
          </w:tcPr>
          <w:p w:rsidR="00583BD3" w:rsidRPr="006C4823" w:rsidRDefault="00583BD3" w:rsidP="000727E8">
            <w:pPr>
              <w:rPr>
                <w:rFonts w:ascii="Garamond" w:hAnsi="Garamond" w:cs="Calibri"/>
                <w:color w:val="000000"/>
                <w:sz w:val="20"/>
                <w:szCs w:val="20"/>
              </w:rPr>
            </w:pPr>
            <w:r w:rsidRPr="006C4823">
              <w:rPr>
                <w:rFonts w:ascii="Garamond" w:hAnsi="Garamond"/>
                <w:color w:val="000000"/>
                <w:sz w:val="20"/>
                <w:szCs w:val="20"/>
              </w:rPr>
              <w:t>6,299</w:t>
            </w:r>
          </w:p>
        </w:tc>
        <w:tc>
          <w:tcPr>
            <w:tcW w:w="1060" w:type="dxa"/>
            <w:shd w:val="clear" w:color="auto" w:fill="auto"/>
            <w:noWrap/>
            <w:vAlign w:val="bottom"/>
            <w:hideMark/>
          </w:tcPr>
          <w:p w:rsidR="00583BD3" w:rsidRPr="006C4823" w:rsidRDefault="00583BD3" w:rsidP="000727E8">
            <w:pPr>
              <w:rPr>
                <w:rFonts w:ascii="Garamond" w:hAnsi="Garamond" w:cs="Calibri"/>
                <w:color w:val="000000"/>
                <w:sz w:val="20"/>
                <w:szCs w:val="20"/>
              </w:rPr>
            </w:pPr>
            <w:r w:rsidRPr="006C4823">
              <w:rPr>
                <w:rFonts w:ascii="Garamond" w:hAnsi="Garamond"/>
                <w:color w:val="000000"/>
                <w:sz w:val="20"/>
                <w:szCs w:val="20"/>
              </w:rPr>
              <w:t>6,299</w:t>
            </w:r>
          </w:p>
        </w:tc>
        <w:tc>
          <w:tcPr>
            <w:tcW w:w="1208" w:type="dxa"/>
            <w:shd w:val="clear" w:color="auto" w:fill="auto"/>
            <w:noWrap/>
            <w:vAlign w:val="bottom"/>
            <w:hideMark/>
          </w:tcPr>
          <w:p w:rsidR="00583BD3" w:rsidRPr="006C4823" w:rsidRDefault="00583BD3" w:rsidP="000727E8">
            <w:pPr>
              <w:rPr>
                <w:rFonts w:ascii="Garamond" w:hAnsi="Garamond" w:cs="Calibri"/>
                <w:color w:val="000000"/>
                <w:sz w:val="20"/>
                <w:szCs w:val="20"/>
              </w:rPr>
            </w:pPr>
            <w:r w:rsidRPr="006C4823">
              <w:rPr>
                <w:rFonts w:ascii="Garamond" w:hAnsi="Garamond"/>
                <w:color w:val="000000"/>
                <w:sz w:val="20"/>
                <w:szCs w:val="20"/>
              </w:rPr>
              <w:t>6,299</w:t>
            </w:r>
          </w:p>
        </w:tc>
      </w:tr>
      <w:tr w:rsidR="00583BD3" w:rsidRPr="006C4823" w:rsidTr="000727E8">
        <w:trPr>
          <w:trHeight w:val="20"/>
        </w:trPr>
        <w:tc>
          <w:tcPr>
            <w:tcW w:w="2978" w:type="dxa"/>
            <w:shd w:val="clear" w:color="auto" w:fill="auto"/>
            <w:noWrap/>
            <w:vAlign w:val="bottom"/>
            <w:hideMark/>
          </w:tcPr>
          <w:p w:rsidR="00583BD3" w:rsidRPr="006C4823" w:rsidRDefault="00583BD3" w:rsidP="000727E8">
            <w:pPr>
              <w:jc w:val="center"/>
              <w:rPr>
                <w:rFonts w:ascii="Garamond" w:hAnsi="Garamond" w:cs="Calibri"/>
                <w:color w:val="000000"/>
                <w:sz w:val="20"/>
                <w:szCs w:val="20"/>
              </w:rPr>
            </w:pPr>
            <w:r w:rsidRPr="006C4823">
              <w:rPr>
                <w:rFonts w:ascii="Garamond" w:hAnsi="Garamond" w:cs="Calibri"/>
                <w:color w:val="000000"/>
                <w:sz w:val="20"/>
                <w:szCs w:val="20"/>
              </w:rPr>
              <w:t>No. of Female CFOs</w:t>
            </w:r>
          </w:p>
        </w:tc>
        <w:tc>
          <w:tcPr>
            <w:tcW w:w="1275" w:type="dxa"/>
            <w:shd w:val="clear" w:color="auto" w:fill="auto"/>
            <w:noWrap/>
            <w:vAlign w:val="center"/>
            <w:hideMark/>
          </w:tcPr>
          <w:p w:rsidR="00583BD3" w:rsidRPr="006C4823" w:rsidRDefault="00583BD3" w:rsidP="000727E8">
            <w:pPr>
              <w:rPr>
                <w:rFonts w:ascii="Garamond" w:hAnsi="Garamond" w:cs="Calibri"/>
                <w:color w:val="000000"/>
                <w:sz w:val="20"/>
                <w:szCs w:val="20"/>
              </w:rPr>
            </w:pPr>
            <w:r w:rsidRPr="006C4823">
              <w:rPr>
                <w:rFonts w:ascii="Garamond" w:hAnsi="Garamond"/>
                <w:color w:val="000000"/>
                <w:sz w:val="20"/>
                <w:szCs w:val="20"/>
              </w:rPr>
              <w:t>329</w:t>
            </w:r>
          </w:p>
        </w:tc>
        <w:tc>
          <w:tcPr>
            <w:tcW w:w="1134" w:type="dxa"/>
            <w:shd w:val="clear" w:color="auto" w:fill="auto"/>
            <w:noWrap/>
            <w:vAlign w:val="center"/>
            <w:hideMark/>
          </w:tcPr>
          <w:p w:rsidR="00583BD3" w:rsidRPr="006C4823" w:rsidRDefault="00583BD3" w:rsidP="000727E8">
            <w:pPr>
              <w:rPr>
                <w:rFonts w:ascii="Garamond" w:hAnsi="Garamond" w:cs="Calibri"/>
                <w:color w:val="000000"/>
                <w:sz w:val="20"/>
                <w:szCs w:val="20"/>
              </w:rPr>
            </w:pPr>
            <w:r w:rsidRPr="006C4823">
              <w:rPr>
                <w:rFonts w:ascii="Garamond" w:hAnsi="Garamond"/>
                <w:color w:val="000000"/>
                <w:sz w:val="20"/>
                <w:szCs w:val="20"/>
              </w:rPr>
              <w:t>329</w:t>
            </w:r>
          </w:p>
        </w:tc>
        <w:tc>
          <w:tcPr>
            <w:tcW w:w="1134" w:type="dxa"/>
            <w:shd w:val="clear" w:color="auto" w:fill="auto"/>
            <w:noWrap/>
            <w:vAlign w:val="center"/>
            <w:hideMark/>
          </w:tcPr>
          <w:p w:rsidR="00583BD3" w:rsidRPr="006C4823" w:rsidRDefault="00583BD3" w:rsidP="000727E8">
            <w:pPr>
              <w:rPr>
                <w:rFonts w:ascii="Garamond" w:hAnsi="Garamond" w:cs="Calibri"/>
                <w:color w:val="000000"/>
                <w:sz w:val="20"/>
                <w:szCs w:val="20"/>
              </w:rPr>
            </w:pPr>
            <w:r w:rsidRPr="006C4823">
              <w:rPr>
                <w:rFonts w:ascii="Garamond" w:hAnsi="Garamond"/>
                <w:color w:val="000000"/>
                <w:sz w:val="20"/>
                <w:szCs w:val="20"/>
              </w:rPr>
              <w:t>329</w:t>
            </w:r>
          </w:p>
        </w:tc>
        <w:tc>
          <w:tcPr>
            <w:tcW w:w="1134" w:type="dxa"/>
            <w:shd w:val="clear" w:color="auto" w:fill="auto"/>
            <w:noWrap/>
            <w:vAlign w:val="center"/>
            <w:hideMark/>
          </w:tcPr>
          <w:p w:rsidR="00583BD3" w:rsidRPr="006C4823" w:rsidRDefault="00583BD3" w:rsidP="000727E8">
            <w:pPr>
              <w:rPr>
                <w:rFonts w:ascii="Garamond" w:hAnsi="Garamond" w:cs="Calibri"/>
                <w:color w:val="000000"/>
                <w:sz w:val="20"/>
                <w:szCs w:val="20"/>
              </w:rPr>
            </w:pPr>
            <w:r w:rsidRPr="006C4823">
              <w:rPr>
                <w:rFonts w:ascii="Garamond" w:hAnsi="Garamond"/>
                <w:color w:val="000000"/>
                <w:sz w:val="20"/>
                <w:szCs w:val="20"/>
              </w:rPr>
              <w:t>329</w:t>
            </w:r>
          </w:p>
        </w:tc>
        <w:tc>
          <w:tcPr>
            <w:tcW w:w="1060" w:type="dxa"/>
            <w:shd w:val="clear" w:color="auto" w:fill="auto"/>
            <w:noWrap/>
            <w:vAlign w:val="center"/>
            <w:hideMark/>
          </w:tcPr>
          <w:p w:rsidR="00583BD3" w:rsidRPr="006C4823" w:rsidRDefault="00583BD3" w:rsidP="000727E8">
            <w:pPr>
              <w:rPr>
                <w:rFonts w:ascii="Garamond" w:hAnsi="Garamond" w:cs="Calibri"/>
                <w:color w:val="000000"/>
                <w:sz w:val="20"/>
                <w:szCs w:val="20"/>
              </w:rPr>
            </w:pPr>
            <w:r w:rsidRPr="006C4823">
              <w:rPr>
                <w:rFonts w:ascii="Garamond" w:hAnsi="Garamond"/>
                <w:color w:val="000000"/>
                <w:sz w:val="20"/>
                <w:szCs w:val="20"/>
              </w:rPr>
              <w:t>329</w:t>
            </w:r>
          </w:p>
        </w:tc>
        <w:tc>
          <w:tcPr>
            <w:tcW w:w="1208" w:type="dxa"/>
            <w:shd w:val="clear" w:color="auto" w:fill="auto"/>
            <w:noWrap/>
            <w:vAlign w:val="center"/>
            <w:hideMark/>
          </w:tcPr>
          <w:p w:rsidR="00583BD3" w:rsidRPr="006C4823" w:rsidRDefault="00583BD3" w:rsidP="000727E8">
            <w:pPr>
              <w:rPr>
                <w:rFonts w:ascii="Garamond" w:hAnsi="Garamond" w:cs="Calibri"/>
                <w:color w:val="000000"/>
                <w:sz w:val="20"/>
                <w:szCs w:val="20"/>
              </w:rPr>
            </w:pPr>
            <w:r w:rsidRPr="006C4823">
              <w:rPr>
                <w:rFonts w:ascii="Garamond" w:hAnsi="Garamond"/>
                <w:color w:val="000000"/>
                <w:sz w:val="20"/>
                <w:szCs w:val="20"/>
              </w:rPr>
              <w:t>329</w:t>
            </w:r>
          </w:p>
        </w:tc>
      </w:tr>
      <w:tr w:rsidR="00583BD3" w:rsidRPr="006C4823" w:rsidTr="000727E8">
        <w:trPr>
          <w:trHeight w:val="20"/>
        </w:trPr>
        <w:tc>
          <w:tcPr>
            <w:tcW w:w="2978" w:type="dxa"/>
            <w:shd w:val="clear" w:color="auto" w:fill="auto"/>
            <w:noWrap/>
            <w:vAlign w:val="bottom"/>
            <w:hideMark/>
          </w:tcPr>
          <w:p w:rsidR="00583BD3" w:rsidRPr="006C4823" w:rsidRDefault="00583BD3" w:rsidP="000727E8">
            <w:pPr>
              <w:jc w:val="center"/>
              <w:rPr>
                <w:rFonts w:ascii="Garamond" w:hAnsi="Garamond" w:cs="Calibri"/>
                <w:color w:val="000000"/>
                <w:sz w:val="20"/>
                <w:szCs w:val="20"/>
              </w:rPr>
            </w:pPr>
            <w:r w:rsidRPr="006C4823">
              <w:rPr>
                <w:rFonts w:ascii="Garamond" w:hAnsi="Garamond" w:cs="Calibri"/>
                <w:color w:val="000000"/>
                <w:sz w:val="20"/>
                <w:szCs w:val="20"/>
              </w:rPr>
              <w:t>Average Leverage</w:t>
            </w:r>
          </w:p>
        </w:tc>
        <w:tc>
          <w:tcPr>
            <w:tcW w:w="1275" w:type="dxa"/>
            <w:shd w:val="clear" w:color="auto" w:fill="auto"/>
            <w:noWrap/>
            <w:vAlign w:val="center"/>
            <w:hideMark/>
          </w:tcPr>
          <w:p w:rsidR="00583BD3" w:rsidRPr="006C4823" w:rsidRDefault="00583BD3" w:rsidP="000727E8">
            <w:pPr>
              <w:rPr>
                <w:rFonts w:ascii="Garamond" w:hAnsi="Garamond"/>
                <w:color w:val="000000"/>
                <w:sz w:val="20"/>
                <w:szCs w:val="20"/>
              </w:rPr>
            </w:pPr>
            <w:r w:rsidRPr="006C4823">
              <w:rPr>
                <w:rFonts w:ascii="Garamond" w:hAnsi="Garamond"/>
                <w:color w:val="000000"/>
                <w:sz w:val="20"/>
                <w:szCs w:val="20"/>
              </w:rPr>
              <w:t>0.2677</w:t>
            </w:r>
          </w:p>
        </w:tc>
        <w:tc>
          <w:tcPr>
            <w:tcW w:w="1134" w:type="dxa"/>
            <w:shd w:val="clear" w:color="auto" w:fill="auto"/>
            <w:noWrap/>
            <w:vAlign w:val="center"/>
            <w:hideMark/>
          </w:tcPr>
          <w:p w:rsidR="00583BD3" w:rsidRPr="006C4823" w:rsidRDefault="00583BD3" w:rsidP="000727E8">
            <w:pPr>
              <w:rPr>
                <w:rFonts w:ascii="Garamond" w:hAnsi="Garamond"/>
                <w:color w:val="000000"/>
                <w:sz w:val="20"/>
                <w:szCs w:val="20"/>
              </w:rPr>
            </w:pPr>
            <w:r w:rsidRPr="006C4823">
              <w:rPr>
                <w:rFonts w:ascii="Garamond" w:hAnsi="Garamond"/>
                <w:color w:val="000000"/>
                <w:sz w:val="20"/>
                <w:szCs w:val="20"/>
              </w:rPr>
              <w:t>0.2677</w:t>
            </w:r>
          </w:p>
        </w:tc>
        <w:tc>
          <w:tcPr>
            <w:tcW w:w="1134" w:type="dxa"/>
            <w:shd w:val="clear" w:color="auto" w:fill="auto"/>
            <w:noWrap/>
            <w:vAlign w:val="center"/>
            <w:hideMark/>
          </w:tcPr>
          <w:p w:rsidR="00583BD3" w:rsidRPr="006C4823" w:rsidRDefault="00583BD3" w:rsidP="000727E8">
            <w:pPr>
              <w:rPr>
                <w:rFonts w:ascii="Garamond" w:hAnsi="Garamond"/>
                <w:color w:val="000000"/>
                <w:sz w:val="20"/>
                <w:szCs w:val="20"/>
              </w:rPr>
            </w:pPr>
            <w:r w:rsidRPr="006C4823">
              <w:rPr>
                <w:rFonts w:ascii="Garamond" w:hAnsi="Garamond"/>
                <w:color w:val="000000"/>
                <w:sz w:val="20"/>
                <w:szCs w:val="20"/>
              </w:rPr>
              <w:t>0.2677</w:t>
            </w:r>
          </w:p>
        </w:tc>
        <w:tc>
          <w:tcPr>
            <w:tcW w:w="1134" w:type="dxa"/>
            <w:shd w:val="clear" w:color="auto" w:fill="auto"/>
            <w:noWrap/>
            <w:vAlign w:val="center"/>
            <w:hideMark/>
          </w:tcPr>
          <w:p w:rsidR="00583BD3" w:rsidRPr="006C4823" w:rsidRDefault="00583BD3" w:rsidP="000727E8">
            <w:pPr>
              <w:rPr>
                <w:rFonts w:ascii="Garamond" w:hAnsi="Garamond"/>
                <w:color w:val="000000"/>
                <w:sz w:val="20"/>
                <w:szCs w:val="20"/>
              </w:rPr>
            </w:pPr>
            <w:r w:rsidRPr="006C4823">
              <w:rPr>
                <w:rFonts w:ascii="Garamond" w:hAnsi="Garamond"/>
                <w:color w:val="000000"/>
                <w:sz w:val="20"/>
                <w:szCs w:val="20"/>
              </w:rPr>
              <w:t>0.2677</w:t>
            </w:r>
          </w:p>
        </w:tc>
        <w:tc>
          <w:tcPr>
            <w:tcW w:w="1060" w:type="dxa"/>
            <w:shd w:val="clear" w:color="auto" w:fill="auto"/>
            <w:noWrap/>
            <w:vAlign w:val="center"/>
            <w:hideMark/>
          </w:tcPr>
          <w:p w:rsidR="00583BD3" w:rsidRPr="006C4823" w:rsidRDefault="00583BD3" w:rsidP="000727E8">
            <w:pPr>
              <w:rPr>
                <w:rFonts w:ascii="Garamond" w:hAnsi="Garamond"/>
                <w:color w:val="000000"/>
                <w:sz w:val="20"/>
                <w:szCs w:val="20"/>
              </w:rPr>
            </w:pPr>
            <w:r w:rsidRPr="006C4823">
              <w:rPr>
                <w:rFonts w:ascii="Garamond" w:hAnsi="Garamond"/>
                <w:color w:val="000000"/>
                <w:sz w:val="20"/>
                <w:szCs w:val="20"/>
              </w:rPr>
              <w:t>0.2677</w:t>
            </w:r>
          </w:p>
        </w:tc>
        <w:tc>
          <w:tcPr>
            <w:tcW w:w="1208" w:type="dxa"/>
            <w:shd w:val="clear" w:color="auto" w:fill="auto"/>
            <w:noWrap/>
            <w:vAlign w:val="center"/>
            <w:hideMark/>
          </w:tcPr>
          <w:p w:rsidR="00583BD3" w:rsidRPr="006C4823" w:rsidRDefault="00583BD3" w:rsidP="000727E8">
            <w:pPr>
              <w:rPr>
                <w:rFonts w:ascii="Garamond" w:hAnsi="Garamond"/>
                <w:color w:val="000000"/>
                <w:sz w:val="20"/>
                <w:szCs w:val="20"/>
              </w:rPr>
            </w:pPr>
            <w:r w:rsidRPr="006C4823">
              <w:rPr>
                <w:rFonts w:ascii="Garamond" w:hAnsi="Garamond"/>
                <w:color w:val="000000"/>
                <w:sz w:val="20"/>
                <w:szCs w:val="20"/>
              </w:rPr>
              <w:t>0.2677</w:t>
            </w:r>
          </w:p>
        </w:tc>
      </w:tr>
    </w:tbl>
    <w:p w:rsidR="00583BD3" w:rsidRDefault="00583BD3" w:rsidP="00583BD3">
      <w:pPr>
        <w:jc w:val="both"/>
        <w:sectPr w:rsidR="00583BD3">
          <w:pgSz w:w="11906" w:h="16838"/>
          <w:pgMar w:top="1440" w:right="1440" w:bottom="1440" w:left="1440" w:header="708" w:footer="708" w:gutter="0"/>
          <w:cols w:space="708"/>
          <w:docGrid w:linePitch="360"/>
        </w:sectPr>
      </w:pPr>
    </w:p>
    <w:p w:rsidR="00583BD3" w:rsidRPr="00D0508D" w:rsidRDefault="00583BD3" w:rsidP="00583BD3">
      <w:pPr>
        <w:jc w:val="both"/>
        <w:rPr>
          <w:rFonts w:ascii="Garamond" w:hAnsi="Garamond"/>
          <w:b/>
          <w:color w:val="000000" w:themeColor="text1"/>
          <w:sz w:val="20"/>
        </w:rPr>
      </w:pPr>
      <w:r w:rsidRPr="000759F6">
        <w:rPr>
          <w:rFonts w:ascii="Garamond" w:hAnsi="Garamond"/>
          <w:b/>
          <w:color w:val="000000" w:themeColor="text1"/>
          <w:sz w:val="20"/>
        </w:rPr>
        <w:lastRenderedPageBreak/>
        <w:t xml:space="preserve">Table 6: Female CFO </w:t>
      </w:r>
      <w:proofErr w:type="gramStart"/>
      <w:r w:rsidRPr="00D0508D">
        <w:rPr>
          <w:rFonts w:ascii="Garamond" w:hAnsi="Garamond"/>
          <w:b/>
          <w:color w:val="000000" w:themeColor="text1"/>
          <w:sz w:val="20"/>
        </w:rPr>
        <w:t>effect</w:t>
      </w:r>
      <w:proofErr w:type="gramEnd"/>
      <w:r w:rsidRPr="00D0508D">
        <w:rPr>
          <w:rFonts w:ascii="Garamond" w:hAnsi="Garamond"/>
          <w:b/>
          <w:color w:val="000000" w:themeColor="text1"/>
          <w:sz w:val="20"/>
        </w:rPr>
        <w:t xml:space="preserve"> on </w:t>
      </w:r>
      <w:r>
        <w:rPr>
          <w:rFonts w:ascii="Garamond" w:hAnsi="Garamond"/>
          <w:b/>
          <w:color w:val="000000" w:themeColor="text1"/>
          <w:sz w:val="20"/>
        </w:rPr>
        <w:t>leverage</w:t>
      </w:r>
      <w:r w:rsidRPr="00D0508D">
        <w:rPr>
          <w:rFonts w:ascii="Garamond" w:hAnsi="Garamond"/>
          <w:b/>
          <w:color w:val="000000" w:themeColor="text1"/>
          <w:sz w:val="20"/>
        </w:rPr>
        <w:t xml:space="preserve"> under different levels of board diversity.  </w:t>
      </w:r>
    </w:p>
    <w:p w:rsidR="00583BD3" w:rsidRDefault="00583BD3" w:rsidP="00583BD3">
      <w:pPr>
        <w:jc w:val="both"/>
        <w:rPr>
          <w:rFonts w:ascii="Garamond" w:hAnsi="Garamond"/>
          <w:color w:val="000000" w:themeColor="text1"/>
          <w:sz w:val="20"/>
        </w:rPr>
      </w:pPr>
      <w:r w:rsidRPr="0027464C">
        <w:rPr>
          <w:rFonts w:ascii="Garamond" w:hAnsi="Garamond"/>
          <w:color w:val="000000" w:themeColor="text1"/>
          <w:sz w:val="20"/>
        </w:rPr>
        <w:t>This table pres</w:t>
      </w:r>
      <w:r w:rsidRPr="00B76F48">
        <w:rPr>
          <w:rFonts w:ascii="Garamond" w:hAnsi="Garamond"/>
          <w:sz w:val="20"/>
        </w:rPr>
        <w:t xml:space="preserve">ents the regression results for female CFO and </w:t>
      </w:r>
      <w:r>
        <w:rPr>
          <w:rFonts w:ascii="Garamond" w:hAnsi="Garamond"/>
          <w:sz w:val="20"/>
        </w:rPr>
        <w:t>leverage</w:t>
      </w:r>
      <w:r w:rsidRPr="00B76F48">
        <w:rPr>
          <w:rFonts w:ascii="Garamond" w:hAnsi="Garamond"/>
          <w:sz w:val="20"/>
        </w:rPr>
        <w:t xml:space="preserve"> under different levels of board gender diversity and board nationality diversity (Panel A) and different levels of board age diversity and board aggregate diversity (Panel B). Variable </w:t>
      </w:r>
      <w:r w:rsidRPr="0027464C">
        <w:rPr>
          <w:rFonts w:ascii="Garamond" w:hAnsi="Garamond"/>
          <w:color w:val="000000" w:themeColor="text1"/>
          <w:sz w:val="20"/>
        </w:rPr>
        <w:t xml:space="preserve">definitions are provided in </w:t>
      </w:r>
      <w:r>
        <w:rPr>
          <w:rFonts w:ascii="Garamond" w:hAnsi="Garamond"/>
          <w:color w:val="000000" w:themeColor="text1"/>
          <w:sz w:val="20"/>
        </w:rPr>
        <w:t>the a</w:t>
      </w:r>
      <w:r w:rsidRPr="0027464C">
        <w:rPr>
          <w:rFonts w:ascii="Garamond" w:hAnsi="Garamond"/>
          <w:color w:val="000000" w:themeColor="text1"/>
          <w:sz w:val="20"/>
        </w:rPr>
        <w:t xml:space="preserve">ppendix. </w:t>
      </w:r>
      <w:proofErr w:type="gramStart"/>
      <w:r>
        <w:rPr>
          <w:rFonts w:ascii="Garamond" w:hAnsi="Garamond"/>
          <w:i/>
          <w:color w:val="000000" w:themeColor="text1"/>
          <w:sz w:val="20"/>
        </w:rPr>
        <w:t>t</w:t>
      </w:r>
      <w:r w:rsidRPr="0027464C">
        <w:rPr>
          <w:rFonts w:ascii="Garamond" w:hAnsi="Garamond"/>
          <w:color w:val="000000" w:themeColor="text1"/>
          <w:sz w:val="20"/>
        </w:rPr>
        <w:t>-statistics</w:t>
      </w:r>
      <w:proofErr w:type="gramEnd"/>
      <w:r w:rsidRPr="0027464C">
        <w:rPr>
          <w:rFonts w:ascii="Garamond" w:hAnsi="Garamond"/>
          <w:color w:val="000000" w:themeColor="text1"/>
          <w:sz w:val="20"/>
        </w:rPr>
        <w:t xml:space="preserve"> are reported in parentheses and ***, ** and * indicate significance at the 1%, 5% and 10% level respectively. Standard errors are clustered at firm level.</w:t>
      </w:r>
    </w:p>
    <w:tbl>
      <w:tblPr>
        <w:tblW w:w="0" w:type="auto"/>
        <w:jc w:val="center"/>
        <w:tblBorders>
          <w:top w:val="single" w:sz="4" w:space="0" w:color="auto"/>
          <w:bottom w:val="single" w:sz="4" w:space="0" w:color="auto"/>
        </w:tblBorders>
        <w:tblLook w:val="04A0"/>
      </w:tblPr>
      <w:tblGrid>
        <w:gridCol w:w="2620"/>
        <w:gridCol w:w="985"/>
        <w:gridCol w:w="1056"/>
        <w:gridCol w:w="1048"/>
        <w:gridCol w:w="1048"/>
        <w:gridCol w:w="985"/>
        <w:gridCol w:w="1048"/>
      </w:tblGrid>
      <w:tr w:rsidR="00583BD3" w:rsidRPr="0086160E" w:rsidTr="000727E8">
        <w:trPr>
          <w:trHeight w:hRule="exact" w:val="255"/>
          <w:jc w:val="center"/>
        </w:trPr>
        <w:tc>
          <w:tcPr>
            <w:tcW w:w="0" w:type="auto"/>
            <w:tcBorders>
              <w:top w:val="single" w:sz="4" w:space="0" w:color="auto"/>
              <w:bottom w:val="single" w:sz="4" w:space="0" w:color="auto"/>
            </w:tcBorders>
            <w:shd w:val="clear" w:color="auto" w:fill="auto"/>
            <w:noWrap/>
          </w:tcPr>
          <w:p w:rsidR="00583BD3" w:rsidRPr="0086160E" w:rsidRDefault="00583BD3" w:rsidP="000727E8">
            <w:pPr>
              <w:jc w:val="center"/>
              <w:rPr>
                <w:rFonts w:ascii="Garamond" w:hAnsi="Garamond"/>
                <w:sz w:val="20"/>
                <w:szCs w:val="20"/>
              </w:rPr>
            </w:pPr>
            <w:r>
              <w:rPr>
                <w:rFonts w:ascii="Garamond" w:hAnsi="Garamond"/>
                <w:sz w:val="20"/>
                <w:szCs w:val="20"/>
              </w:rPr>
              <w:t>Panel A</w:t>
            </w:r>
          </w:p>
        </w:tc>
        <w:tc>
          <w:tcPr>
            <w:tcW w:w="0" w:type="auto"/>
            <w:gridSpan w:val="3"/>
            <w:tcBorders>
              <w:top w:val="single" w:sz="4" w:space="0" w:color="auto"/>
              <w:bottom w:val="single" w:sz="4" w:space="0" w:color="auto"/>
            </w:tcBorders>
            <w:shd w:val="clear" w:color="auto" w:fill="auto"/>
            <w:noWrap/>
          </w:tcPr>
          <w:p w:rsidR="00583BD3" w:rsidRPr="0086160E" w:rsidRDefault="00583BD3" w:rsidP="000727E8">
            <w:pPr>
              <w:jc w:val="center"/>
              <w:rPr>
                <w:rFonts w:ascii="Garamond" w:hAnsi="Garamond" w:cs="Calibri"/>
                <w:color w:val="000000"/>
                <w:sz w:val="20"/>
                <w:szCs w:val="20"/>
              </w:rPr>
            </w:pPr>
            <w:r>
              <w:rPr>
                <w:rFonts w:ascii="Garamond" w:hAnsi="Garamond" w:cs="Calibri"/>
                <w:color w:val="000000"/>
                <w:sz w:val="20"/>
                <w:szCs w:val="20"/>
              </w:rPr>
              <w:t>Board Gender Diversity</w:t>
            </w:r>
          </w:p>
        </w:tc>
        <w:tc>
          <w:tcPr>
            <w:tcW w:w="0" w:type="auto"/>
            <w:gridSpan w:val="3"/>
            <w:tcBorders>
              <w:top w:val="single" w:sz="4" w:space="0" w:color="auto"/>
              <w:bottom w:val="single" w:sz="4" w:space="0" w:color="auto"/>
            </w:tcBorders>
            <w:shd w:val="clear" w:color="auto" w:fill="auto"/>
            <w:noWrap/>
          </w:tcPr>
          <w:p w:rsidR="00583BD3" w:rsidRPr="0086160E" w:rsidRDefault="00583BD3" w:rsidP="000727E8">
            <w:pPr>
              <w:jc w:val="center"/>
              <w:rPr>
                <w:rFonts w:ascii="Garamond" w:hAnsi="Garamond" w:cs="Calibri"/>
                <w:color w:val="000000"/>
                <w:sz w:val="20"/>
                <w:szCs w:val="20"/>
              </w:rPr>
            </w:pPr>
            <w:r>
              <w:rPr>
                <w:rFonts w:ascii="Garamond" w:hAnsi="Garamond" w:cs="Calibri"/>
                <w:color w:val="000000"/>
                <w:sz w:val="20"/>
                <w:szCs w:val="20"/>
              </w:rPr>
              <w:t>Board Nationality Diversity</w:t>
            </w:r>
          </w:p>
        </w:tc>
      </w:tr>
      <w:tr w:rsidR="00583BD3" w:rsidRPr="0086160E" w:rsidTr="000727E8">
        <w:trPr>
          <w:trHeight w:hRule="exact" w:val="255"/>
          <w:jc w:val="center"/>
        </w:trPr>
        <w:tc>
          <w:tcPr>
            <w:tcW w:w="0" w:type="auto"/>
            <w:tcBorders>
              <w:top w:val="single" w:sz="4" w:space="0" w:color="auto"/>
            </w:tcBorders>
            <w:shd w:val="clear" w:color="auto" w:fill="auto"/>
            <w:noWrap/>
            <w:hideMark/>
          </w:tcPr>
          <w:p w:rsidR="00583BD3" w:rsidRPr="0086160E" w:rsidRDefault="00583BD3" w:rsidP="000727E8">
            <w:pPr>
              <w:jc w:val="center"/>
              <w:rPr>
                <w:rFonts w:ascii="Garamond" w:hAnsi="Garamond"/>
                <w:sz w:val="20"/>
                <w:szCs w:val="20"/>
              </w:rPr>
            </w:pPr>
          </w:p>
        </w:tc>
        <w:tc>
          <w:tcPr>
            <w:tcW w:w="0" w:type="auto"/>
            <w:tcBorders>
              <w:top w:val="single" w:sz="4" w:space="0" w:color="auto"/>
            </w:tcBorders>
            <w:shd w:val="clear" w:color="auto" w:fill="auto"/>
            <w:noWrap/>
            <w:hideMark/>
          </w:tcPr>
          <w:p w:rsidR="00583BD3" w:rsidRPr="0086160E" w:rsidRDefault="00583BD3" w:rsidP="000727E8">
            <w:pPr>
              <w:jc w:val="center"/>
              <w:rPr>
                <w:rFonts w:ascii="Garamond" w:hAnsi="Garamond" w:cs="Calibri"/>
                <w:color w:val="000000"/>
                <w:sz w:val="20"/>
                <w:szCs w:val="20"/>
              </w:rPr>
            </w:pPr>
            <w:r w:rsidRPr="0086160E">
              <w:rPr>
                <w:rFonts w:ascii="Garamond" w:hAnsi="Garamond" w:cs="Calibri"/>
                <w:color w:val="000000"/>
                <w:sz w:val="20"/>
                <w:szCs w:val="20"/>
              </w:rPr>
              <w:t>Low</w:t>
            </w:r>
          </w:p>
        </w:tc>
        <w:tc>
          <w:tcPr>
            <w:tcW w:w="0" w:type="auto"/>
            <w:tcBorders>
              <w:top w:val="single" w:sz="4" w:space="0" w:color="auto"/>
            </w:tcBorders>
            <w:shd w:val="clear" w:color="auto" w:fill="auto"/>
            <w:noWrap/>
            <w:hideMark/>
          </w:tcPr>
          <w:p w:rsidR="00583BD3" w:rsidRPr="0086160E" w:rsidRDefault="00583BD3" w:rsidP="000727E8">
            <w:pPr>
              <w:jc w:val="center"/>
              <w:rPr>
                <w:rFonts w:ascii="Garamond" w:hAnsi="Garamond" w:cs="Calibri"/>
                <w:color w:val="000000"/>
                <w:sz w:val="20"/>
                <w:szCs w:val="20"/>
              </w:rPr>
            </w:pPr>
            <w:r w:rsidRPr="0086160E">
              <w:rPr>
                <w:rFonts w:ascii="Garamond" w:hAnsi="Garamond" w:cs="Calibri"/>
                <w:color w:val="000000"/>
                <w:sz w:val="20"/>
                <w:szCs w:val="20"/>
              </w:rPr>
              <w:t>Middle</w:t>
            </w:r>
          </w:p>
        </w:tc>
        <w:tc>
          <w:tcPr>
            <w:tcW w:w="0" w:type="auto"/>
            <w:tcBorders>
              <w:top w:val="single" w:sz="4" w:space="0" w:color="auto"/>
            </w:tcBorders>
            <w:shd w:val="clear" w:color="auto" w:fill="auto"/>
            <w:noWrap/>
            <w:hideMark/>
          </w:tcPr>
          <w:p w:rsidR="00583BD3" w:rsidRPr="0086160E" w:rsidRDefault="00583BD3" w:rsidP="000727E8">
            <w:pPr>
              <w:jc w:val="center"/>
              <w:rPr>
                <w:rFonts w:ascii="Garamond" w:hAnsi="Garamond" w:cs="Calibri"/>
                <w:color w:val="000000"/>
                <w:sz w:val="20"/>
                <w:szCs w:val="20"/>
              </w:rPr>
            </w:pPr>
            <w:r w:rsidRPr="0086160E">
              <w:rPr>
                <w:rFonts w:ascii="Garamond" w:hAnsi="Garamond" w:cs="Calibri"/>
                <w:color w:val="000000"/>
                <w:sz w:val="20"/>
                <w:szCs w:val="20"/>
              </w:rPr>
              <w:t>High</w:t>
            </w:r>
          </w:p>
        </w:tc>
        <w:tc>
          <w:tcPr>
            <w:tcW w:w="0" w:type="auto"/>
            <w:tcBorders>
              <w:top w:val="single" w:sz="4" w:space="0" w:color="auto"/>
            </w:tcBorders>
            <w:shd w:val="clear" w:color="auto" w:fill="auto"/>
            <w:noWrap/>
            <w:hideMark/>
          </w:tcPr>
          <w:p w:rsidR="00583BD3" w:rsidRPr="0086160E" w:rsidRDefault="00583BD3" w:rsidP="000727E8">
            <w:pPr>
              <w:jc w:val="center"/>
              <w:rPr>
                <w:rFonts w:ascii="Garamond" w:hAnsi="Garamond" w:cs="Calibri"/>
                <w:color w:val="000000"/>
                <w:sz w:val="20"/>
                <w:szCs w:val="20"/>
              </w:rPr>
            </w:pPr>
            <w:r w:rsidRPr="0086160E">
              <w:rPr>
                <w:rFonts w:ascii="Garamond" w:hAnsi="Garamond" w:cs="Calibri"/>
                <w:color w:val="000000"/>
                <w:sz w:val="20"/>
                <w:szCs w:val="20"/>
              </w:rPr>
              <w:t>Low</w:t>
            </w:r>
          </w:p>
        </w:tc>
        <w:tc>
          <w:tcPr>
            <w:tcW w:w="0" w:type="auto"/>
            <w:tcBorders>
              <w:top w:val="single" w:sz="4" w:space="0" w:color="auto"/>
            </w:tcBorders>
            <w:shd w:val="clear" w:color="auto" w:fill="auto"/>
            <w:noWrap/>
            <w:hideMark/>
          </w:tcPr>
          <w:p w:rsidR="00583BD3" w:rsidRPr="0086160E" w:rsidRDefault="00583BD3" w:rsidP="000727E8">
            <w:pPr>
              <w:jc w:val="center"/>
              <w:rPr>
                <w:rFonts w:ascii="Garamond" w:hAnsi="Garamond" w:cs="Calibri"/>
                <w:color w:val="000000"/>
                <w:sz w:val="20"/>
                <w:szCs w:val="20"/>
              </w:rPr>
            </w:pPr>
            <w:r w:rsidRPr="0086160E">
              <w:rPr>
                <w:rFonts w:ascii="Garamond" w:hAnsi="Garamond" w:cs="Calibri"/>
                <w:color w:val="000000"/>
                <w:sz w:val="20"/>
                <w:szCs w:val="20"/>
              </w:rPr>
              <w:t>Middle</w:t>
            </w:r>
          </w:p>
        </w:tc>
        <w:tc>
          <w:tcPr>
            <w:tcW w:w="0" w:type="auto"/>
            <w:tcBorders>
              <w:top w:val="single" w:sz="4" w:space="0" w:color="auto"/>
            </w:tcBorders>
            <w:shd w:val="clear" w:color="auto" w:fill="auto"/>
            <w:noWrap/>
            <w:hideMark/>
          </w:tcPr>
          <w:p w:rsidR="00583BD3" w:rsidRPr="0086160E" w:rsidRDefault="00583BD3" w:rsidP="000727E8">
            <w:pPr>
              <w:jc w:val="center"/>
              <w:rPr>
                <w:rFonts w:ascii="Garamond" w:hAnsi="Garamond" w:cs="Calibri"/>
                <w:color w:val="000000"/>
                <w:sz w:val="20"/>
                <w:szCs w:val="20"/>
              </w:rPr>
            </w:pPr>
            <w:r w:rsidRPr="0086160E">
              <w:rPr>
                <w:rFonts w:ascii="Garamond" w:hAnsi="Garamond" w:cs="Calibri"/>
                <w:color w:val="000000"/>
                <w:sz w:val="20"/>
                <w:szCs w:val="20"/>
              </w:rPr>
              <w:t>High</w:t>
            </w:r>
          </w:p>
        </w:tc>
      </w:tr>
      <w:tr w:rsidR="00583BD3" w:rsidRPr="00A4376E" w:rsidTr="000727E8">
        <w:trPr>
          <w:trHeight w:hRule="exact" w:val="255"/>
          <w:jc w:val="center"/>
        </w:trPr>
        <w:tc>
          <w:tcPr>
            <w:tcW w:w="0" w:type="auto"/>
            <w:shd w:val="clear" w:color="auto" w:fill="auto"/>
            <w:noWrap/>
            <w:hideMark/>
          </w:tcPr>
          <w:p w:rsidR="00583BD3" w:rsidRPr="00241541" w:rsidRDefault="00583BD3" w:rsidP="000727E8">
            <w:pPr>
              <w:jc w:val="center"/>
              <w:rPr>
                <w:rFonts w:ascii="Garamond" w:hAnsi="Garamond" w:cs="Calibri"/>
                <w:color w:val="FF0000"/>
                <w:sz w:val="20"/>
                <w:szCs w:val="20"/>
                <w:vertAlign w:val="subscript"/>
              </w:rPr>
            </w:pPr>
            <w:r w:rsidRPr="00241541">
              <w:rPr>
                <w:rFonts w:ascii="Garamond" w:hAnsi="Garamond" w:cs="Calibri"/>
                <w:color w:val="000000"/>
                <w:sz w:val="20"/>
                <w:szCs w:val="20"/>
              </w:rPr>
              <w:t>CFO Female Dummy</w:t>
            </w:r>
            <w:r w:rsidRPr="00241541">
              <w:rPr>
                <w:rFonts w:ascii="Garamond" w:hAnsi="Garamond" w:cs="Calibri"/>
                <w:color w:val="000000"/>
                <w:sz w:val="20"/>
                <w:szCs w:val="20"/>
                <w:vertAlign w:val="subscript"/>
              </w:rPr>
              <w:t>t-1</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-0.0231</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-0.0476*</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-0.0547**</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-0.00462</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-0.0172</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-0.0634***</w:t>
            </w:r>
          </w:p>
        </w:tc>
      </w:tr>
      <w:tr w:rsidR="00583BD3" w:rsidRPr="00A4376E" w:rsidTr="000727E8">
        <w:trPr>
          <w:trHeight w:hRule="exact" w:val="255"/>
          <w:jc w:val="center"/>
        </w:trPr>
        <w:tc>
          <w:tcPr>
            <w:tcW w:w="0" w:type="auto"/>
            <w:shd w:val="clear" w:color="auto" w:fill="auto"/>
            <w:noWrap/>
            <w:hideMark/>
          </w:tcPr>
          <w:p w:rsidR="00583BD3" w:rsidRPr="00241541"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(-1.05)</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(-1.70)</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(-2.09)</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(-0.15)</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(-0.47)</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(-2.81)</w:t>
            </w:r>
          </w:p>
        </w:tc>
      </w:tr>
      <w:tr w:rsidR="00583BD3" w:rsidRPr="00A4376E" w:rsidTr="000727E8">
        <w:trPr>
          <w:trHeight w:hRule="exact" w:val="255"/>
          <w:jc w:val="center"/>
        </w:trPr>
        <w:tc>
          <w:tcPr>
            <w:tcW w:w="0" w:type="auto"/>
            <w:shd w:val="clear" w:color="auto" w:fill="auto"/>
            <w:noWrap/>
            <w:hideMark/>
          </w:tcPr>
          <w:p w:rsidR="00583BD3" w:rsidRPr="00241541" w:rsidRDefault="00583BD3" w:rsidP="000727E8">
            <w:pPr>
              <w:jc w:val="center"/>
              <w:rPr>
                <w:rFonts w:ascii="Garamond" w:hAnsi="Garamond" w:cs="Calibri"/>
                <w:color w:val="000000"/>
                <w:sz w:val="20"/>
                <w:szCs w:val="20"/>
              </w:rPr>
            </w:pPr>
            <w:proofErr w:type="spellStart"/>
            <w:r w:rsidRPr="00241541">
              <w:rPr>
                <w:rFonts w:ascii="Garamond" w:hAnsi="Garamond" w:cs="Calibri"/>
                <w:color w:val="000000"/>
                <w:sz w:val="20"/>
                <w:szCs w:val="20"/>
              </w:rPr>
              <w:t>Ln</w:t>
            </w:r>
            <w:proofErr w:type="spellEnd"/>
            <w:r w:rsidRPr="00241541">
              <w:rPr>
                <w:rFonts w:ascii="Garamond" w:hAnsi="Garamond" w:cs="Calibri"/>
                <w:color w:val="000000"/>
                <w:sz w:val="20"/>
                <w:szCs w:val="20"/>
              </w:rPr>
              <w:t>(number of directors)</w:t>
            </w:r>
            <w:r w:rsidRPr="00241541">
              <w:rPr>
                <w:rFonts w:ascii="Garamond" w:hAnsi="Garamond" w:cs="Calibri"/>
                <w:color w:val="000000"/>
                <w:sz w:val="20"/>
                <w:szCs w:val="20"/>
                <w:vertAlign w:val="subscript"/>
              </w:rPr>
              <w:t>t-1</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0.0202</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0.0518*</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0.0290</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0.0264</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0.0474*</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0.0643*</w:t>
            </w:r>
          </w:p>
        </w:tc>
      </w:tr>
      <w:tr w:rsidR="00583BD3" w:rsidRPr="00A4376E" w:rsidTr="000727E8">
        <w:trPr>
          <w:trHeight w:hRule="exact" w:val="255"/>
          <w:jc w:val="center"/>
        </w:trPr>
        <w:tc>
          <w:tcPr>
            <w:tcW w:w="0" w:type="auto"/>
            <w:shd w:val="clear" w:color="auto" w:fill="auto"/>
            <w:noWrap/>
            <w:hideMark/>
          </w:tcPr>
          <w:p w:rsidR="00583BD3" w:rsidRPr="00241541"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(0.73)</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(1.73)</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(0.95)</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(0.88)</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(1.67)</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(1.76)</w:t>
            </w:r>
          </w:p>
        </w:tc>
      </w:tr>
      <w:tr w:rsidR="00583BD3" w:rsidRPr="00A4376E" w:rsidTr="000727E8">
        <w:trPr>
          <w:trHeight w:hRule="exact" w:val="255"/>
          <w:jc w:val="center"/>
        </w:trPr>
        <w:tc>
          <w:tcPr>
            <w:tcW w:w="0" w:type="auto"/>
            <w:shd w:val="clear" w:color="auto" w:fill="auto"/>
            <w:noWrap/>
            <w:hideMark/>
          </w:tcPr>
          <w:p w:rsidR="00583BD3" w:rsidRPr="00241541" w:rsidRDefault="00583BD3" w:rsidP="000727E8">
            <w:pPr>
              <w:jc w:val="center"/>
              <w:rPr>
                <w:rFonts w:ascii="Garamond" w:hAnsi="Garamond" w:cs="Calibri"/>
                <w:color w:val="000000"/>
                <w:sz w:val="20"/>
                <w:szCs w:val="20"/>
              </w:rPr>
            </w:pPr>
            <w:r w:rsidRPr="00241541">
              <w:rPr>
                <w:rFonts w:ascii="Garamond" w:hAnsi="Garamond" w:cs="Calibri"/>
                <w:color w:val="000000"/>
                <w:sz w:val="20"/>
                <w:szCs w:val="20"/>
              </w:rPr>
              <w:t>Board independence</w:t>
            </w:r>
            <w:r w:rsidRPr="00241541">
              <w:rPr>
                <w:rFonts w:ascii="Garamond" w:hAnsi="Garamond" w:cs="Calibri"/>
                <w:color w:val="000000"/>
                <w:sz w:val="20"/>
                <w:szCs w:val="20"/>
                <w:vertAlign w:val="subscript"/>
              </w:rPr>
              <w:t>t-1</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0.0283</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0.0488</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0.00913</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-0.000888</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0.116**</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0.0488</w:t>
            </w:r>
          </w:p>
        </w:tc>
      </w:tr>
      <w:tr w:rsidR="00583BD3" w:rsidRPr="00A4376E" w:rsidTr="000727E8">
        <w:trPr>
          <w:trHeight w:hRule="exact" w:val="255"/>
          <w:jc w:val="center"/>
        </w:trPr>
        <w:tc>
          <w:tcPr>
            <w:tcW w:w="0" w:type="auto"/>
            <w:shd w:val="clear" w:color="auto" w:fill="auto"/>
            <w:noWrap/>
            <w:hideMark/>
          </w:tcPr>
          <w:p w:rsidR="00583BD3" w:rsidRPr="00241541"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(0.59)</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(0.99)</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(0.19)</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(-0.02)</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(2.42)</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(0.99)</w:t>
            </w:r>
          </w:p>
        </w:tc>
      </w:tr>
      <w:tr w:rsidR="00583BD3" w:rsidRPr="00A4376E" w:rsidTr="000727E8">
        <w:trPr>
          <w:trHeight w:hRule="exact" w:val="255"/>
          <w:jc w:val="center"/>
        </w:trPr>
        <w:tc>
          <w:tcPr>
            <w:tcW w:w="0" w:type="auto"/>
            <w:shd w:val="clear" w:color="auto" w:fill="auto"/>
            <w:noWrap/>
            <w:hideMark/>
          </w:tcPr>
          <w:p w:rsidR="00583BD3" w:rsidRPr="00241541" w:rsidRDefault="00583BD3" w:rsidP="000727E8">
            <w:pPr>
              <w:jc w:val="center"/>
              <w:rPr>
                <w:rFonts w:ascii="Garamond" w:hAnsi="Garamond" w:cs="Calibri"/>
                <w:color w:val="000000"/>
                <w:sz w:val="20"/>
                <w:szCs w:val="20"/>
              </w:rPr>
            </w:pPr>
            <w:r w:rsidRPr="00241541">
              <w:rPr>
                <w:rFonts w:ascii="Garamond" w:hAnsi="Garamond" w:cs="Calibri"/>
                <w:color w:val="000000"/>
                <w:sz w:val="20"/>
                <w:szCs w:val="20"/>
              </w:rPr>
              <w:t>Tobin's Q</w:t>
            </w:r>
            <w:r w:rsidRPr="00241541">
              <w:rPr>
                <w:rFonts w:ascii="Garamond" w:hAnsi="Garamond" w:cs="Calibri"/>
                <w:color w:val="000000"/>
                <w:sz w:val="20"/>
                <w:szCs w:val="20"/>
                <w:vertAlign w:val="subscript"/>
              </w:rPr>
              <w:t>t-1</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-0.0104**</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-0.00994**</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-0.0113**</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-0.0140**</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-0.0113**</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-0.0111</w:t>
            </w:r>
          </w:p>
        </w:tc>
      </w:tr>
      <w:tr w:rsidR="00583BD3" w:rsidRPr="00A4376E" w:rsidTr="000727E8">
        <w:trPr>
          <w:trHeight w:hRule="exact" w:val="255"/>
          <w:jc w:val="center"/>
        </w:trPr>
        <w:tc>
          <w:tcPr>
            <w:tcW w:w="0" w:type="auto"/>
            <w:shd w:val="clear" w:color="auto" w:fill="auto"/>
            <w:noWrap/>
            <w:hideMark/>
          </w:tcPr>
          <w:p w:rsidR="00583BD3" w:rsidRPr="00241541"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(-2.01)</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(-2.39)</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(-1.98)</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(-2.24)</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(-2.23)</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(-1.64)</w:t>
            </w:r>
          </w:p>
        </w:tc>
      </w:tr>
      <w:tr w:rsidR="00583BD3" w:rsidRPr="00A4376E" w:rsidTr="000727E8">
        <w:trPr>
          <w:trHeight w:hRule="exact" w:val="255"/>
          <w:jc w:val="center"/>
        </w:trPr>
        <w:tc>
          <w:tcPr>
            <w:tcW w:w="0" w:type="auto"/>
            <w:shd w:val="clear" w:color="auto" w:fill="auto"/>
            <w:noWrap/>
            <w:hideMark/>
          </w:tcPr>
          <w:p w:rsidR="00583BD3" w:rsidRPr="00241541" w:rsidRDefault="00583BD3" w:rsidP="000727E8">
            <w:pPr>
              <w:jc w:val="center"/>
              <w:rPr>
                <w:rFonts w:ascii="Garamond" w:hAnsi="Garamond" w:cs="Calibri"/>
                <w:color w:val="000000"/>
                <w:sz w:val="20"/>
                <w:szCs w:val="20"/>
              </w:rPr>
            </w:pPr>
            <w:r w:rsidRPr="00241541">
              <w:rPr>
                <w:rFonts w:ascii="Garamond" w:hAnsi="Garamond" w:cs="Calibri"/>
                <w:color w:val="000000"/>
                <w:sz w:val="20"/>
                <w:szCs w:val="20"/>
              </w:rPr>
              <w:t>Industry-</w:t>
            </w:r>
            <w:proofErr w:type="spellStart"/>
            <w:r w:rsidRPr="00241541">
              <w:rPr>
                <w:rFonts w:ascii="Garamond" w:hAnsi="Garamond" w:cs="Calibri"/>
                <w:color w:val="000000"/>
                <w:sz w:val="20"/>
                <w:szCs w:val="20"/>
              </w:rPr>
              <w:t>Adj</w:t>
            </w:r>
            <w:proofErr w:type="spellEnd"/>
            <w:r w:rsidRPr="00241541">
              <w:rPr>
                <w:rFonts w:ascii="Garamond" w:hAnsi="Garamond" w:cs="Calibri"/>
                <w:color w:val="000000"/>
                <w:sz w:val="20"/>
                <w:szCs w:val="20"/>
              </w:rPr>
              <w:t xml:space="preserve"> ROA</w:t>
            </w:r>
            <w:r w:rsidRPr="00241541">
              <w:rPr>
                <w:rFonts w:ascii="Garamond" w:hAnsi="Garamond" w:cs="Calibri"/>
                <w:color w:val="000000"/>
                <w:sz w:val="20"/>
                <w:szCs w:val="20"/>
                <w:vertAlign w:val="subscript"/>
              </w:rPr>
              <w:t>t-1</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-0.00537</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-0.00605</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0.00133</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-0.00164</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-0.00911*</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-0.00668</w:t>
            </w:r>
          </w:p>
        </w:tc>
      </w:tr>
      <w:tr w:rsidR="00583BD3" w:rsidRPr="00A4376E" w:rsidTr="000727E8">
        <w:trPr>
          <w:trHeight w:hRule="exact" w:val="255"/>
          <w:jc w:val="center"/>
        </w:trPr>
        <w:tc>
          <w:tcPr>
            <w:tcW w:w="0" w:type="auto"/>
            <w:shd w:val="clear" w:color="auto" w:fill="auto"/>
            <w:noWrap/>
            <w:hideMark/>
          </w:tcPr>
          <w:p w:rsidR="00583BD3" w:rsidRPr="00241541"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(-1.16)</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(-1.24)</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(0.29)</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(-0.36)</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(-1.90)</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(-1.42)</w:t>
            </w:r>
          </w:p>
        </w:tc>
      </w:tr>
      <w:tr w:rsidR="00583BD3" w:rsidRPr="00A4376E" w:rsidTr="000727E8">
        <w:trPr>
          <w:trHeight w:hRule="exact" w:val="255"/>
          <w:jc w:val="center"/>
        </w:trPr>
        <w:tc>
          <w:tcPr>
            <w:tcW w:w="0" w:type="auto"/>
            <w:shd w:val="clear" w:color="auto" w:fill="auto"/>
            <w:noWrap/>
            <w:hideMark/>
          </w:tcPr>
          <w:p w:rsidR="00583BD3" w:rsidRPr="00241541" w:rsidRDefault="00583BD3" w:rsidP="000727E8">
            <w:pPr>
              <w:jc w:val="center"/>
              <w:rPr>
                <w:rFonts w:ascii="Garamond" w:hAnsi="Garamond" w:cs="Calibri"/>
                <w:color w:val="000000"/>
                <w:sz w:val="20"/>
                <w:szCs w:val="20"/>
              </w:rPr>
            </w:pPr>
            <w:r w:rsidRPr="00241541">
              <w:rPr>
                <w:rFonts w:ascii="Garamond" w:hAnsi="Garamond" w:cs="Calibri"/>
                <w:color w:val="000000"/>
                <w:sz w:val="20"/>
                <w:szCs w:val="20"/>
              </w:rPr>
              <w:t>CEO is Chairman dummy</w:t>
            </w:r>
            <w:r w:rsidRPr="00241541">
              <w:rPr>
                <w:rFonts w:ascii="Garamond" w:hAnsi="Garamond" w:cs="Calibri"/>
                <w:color w:val="000000"/>
                <w:sz w:val="20"/>
                <w:szCs w:val="20"/>
                <w:vertAlign w:val="subscript"/>
              </w:rPr>
              <w:t>t-1</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0.00695</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0.0181</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0.0182</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-0.00623</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0.00991</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0.0240</w:t>
            </w:r>
          </w:p>
        </w:tc>
      </w:tr>
      <w:tr w:rsidR="00583BD3" w:rsidRPr="00A4376E" w:rsidTr="000727E8">
        <w:trPr>
          <w:trHeight w:hRule="exact" w:val="255"/>
          <w:jc w:val="center"/>
        </w:trPr>
        <w:tc>
          <w:tcPr>
            <w:tcW w:w="0" w:type="auto"/>
            <w:shd w:val="clear" w:color="auto" w:fill="auto"/>
            <w:noWrap/>
            <w:hideMark/>
          </w:tcPr>
          <w:p w:rsidR="00583BD3" w:rsidRPr="00241541"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(0.58)</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(1.17)</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(0.96)</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(-0.40)</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(0.70)</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(1.30)</w:t>
            </w:r>
          </w:p>
        </w:tc>
      </w:tr>
      <w:tr w:rsidR="00583BD3" w:rsidRPr="00A4376E" w:rsidTr="000727E8">
        <w:trPr>
          <w:trHeight w:hRule="exact" w:val="255"/>
          <w:jc w:val="center"/>
        </w:trPr>
        <w:tc>
          <w:tcPr>
            <w:tcW w:w="0" w:type="auto"/>
            <w:shd w:val="clear" w:color="auto" w:fill="auto"/>
            <w:noWrap/>
            <w:hideMark/>
          </w:tcPr>
          <w:p w:rsidR="00583BD3" w:rsidRPr="00241541" w:rsidRDefault="00583BD3" w:rsidP="000727E8">
            <w:pPr>
              <w:jc w:val="center"/>
              <w:rPr>
                <w:rFonts w:ascii="Garamond" w:hAnsi="Garamond" w:cs="Calibri"/>
                <w:color w:val="000000"/>
                <w:sz w:val="20"/>
                <w:szCs w:val="20"/>
              </w:rPr>
            </w:pPr>
            <w:proofErr w:type="spellStart"/>
            <w:r w:rsidRPr="00241541">
              <w:rPr>
                <w:rFonts w:ascii="Garamond" w:hAnsi="Garamond" w:cs="Calibri"/>
                <w:color w:val="000000"/>
                <w:sz w:val="20"/>
                <w:szCs w:val="20"/>
              </w:rPr>
              <w:t>Ln</w:t>
            </w:r>
            <w:proofErr w:type="spellEnd"/>
            <w:r w:rsidRPr="00241541">
              <w:rPr>
                <w:rFonts w:ascii="Garamond" w:hAnsi="Garamond" w:cs="Calibri"/>
                <w:color w:val="000000"/>
                <w:sz w:val="20"/>
                <w:szCs w:val="20"/>
              </w:rPr>
              <w:t>(market-to-book)</w:t>
            </w:r>
            <w:r w:rsidRPr="00241541">
              <w:rPr>
                <w:rFonts w:ascii="Garamond" w:hAnsi="Garamond" w:cs="Calibri"/>
                <w:color w:val="000000"/>
                <w:sz w:val="20"/>
                <w:szCs w:val="20"/>
                <w:vertAlign w:val="subscript"/>
              </w:rPr>
              <w:t>t-1</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0.0241*</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0.0523***</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0.0289***</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0.0477***</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0.0461***</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0.0552***</w:t>
            </w:r>
          </w:p>
        </w:tc>
      </w:tr>
      <w:tr w:rsidR="00583BD3" w:rsidRPr="00A4376E" w:rsidTr="000727E8">
        <w:trPr>
          <w:trHeight w:hRule="exact" w:val="255"/>
          <w:jc w:val="center"/>
        </w:trPr>
        <w:tc>
          <w:tcPr>
            <w:tcW w:w="0" w:type="auto"/>
            <w:shd w:val="clear" w:color="auto" w:fill="auto"/>
            <w:noWrap/>
            <w:hideMark/>
          </w:tcPr>
          <w:p w:rsidR="00583BD3" w:rsidRPr="00241541"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(1.83)</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(4.80)</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(2.62)</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(3.99)</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(3.59)</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(3.60)</w:t>
            </w:r>
          </w:p>
        </w:tc>
      </w:tr>
      <w:tr w:rsidR="00583BD3" w:rsidRPr="00A4376E" w:rsidTr="000727E8">
        <w:trPr>
          <w:trHeight w:hRule="exact" w:val="255"/>
          <w:jc w:val="center"/>
        </w:trPr>
        <w:tc>
          <w:tcPr>
            <w:tcW w:w="0" w:type="auto"/>
            <w:shd w:val="clear" w:color="auto" w:fill="auto"/>
            <w:noWrap/>
            <w:hideMark/>
          </w:tcPr>
          <w:p w:rsidR="00583BD3" w:rsidRPr="00241541" w:rsidRDefault="00583BD3" w:rsidP="000727E8">
            <w:pPr>
              <w:jc w:val="center"/>
              <w:rPr>
                <w:rFonts w:ascii="Garamond" w:hAnsi="Garamond" w:cs="Calibri"/>
                <w:color w:val="000000"/>
                <w:sz w:val="20"/>
                <w:szCs w:val="20"/>
              </w:rPr>
            </w:pPr>
            <w:r w:rsidRPr="00241541">
              <w:rPr>
                <w:rFonts w:ascii="Garamond" w:hAnsi="Garamond" w:cs="Calibri"/>
                <w:color w:val="000000"/>
                <w:sz w:val="20"/>
                <w:szCs w:val="20"/>
              </w:rPr>
              <w:t>Capital expenditure</w:t>
            </w:r>
            <w:r w:rsidRPr="00241541">
              <w:rPr>
                <w:rFonts w:ascii="Garamond" w:hAnsi="Garamond" w:cs="Calibri"/>
                <w:color w:val="000000"/>
                <w:sz w:val="20"/>
                <w:szCs w:val="20"/>
                <w:vertAlign w:val="subscript"/>
              </w:rPr>
              <w:t>t-1</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0.271**</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0.0179</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0.211**</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0.138</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0.123</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0.147</w:t>
            </w:r>
          </w:p>
        </w:tc>
      </w:tr>
      <w:tr w:rsidR="00583BD3" w:rsidRPr="00A4376E" w:rsidTr="000727E8">
        <w:trPr>
          <w:trHeight w:hRule="exact" w:val="255"/>
          <w:jc w:val="center"/>
        </w:trPr>
        <w:tc>
          <w:tcPr>
            <w:tcW w:w="0" w:type="auto"/>
            <w:shd w:val="clear" w:color="auto" w:fill="auto"/>
            <w:noWrap/>
            <w:hideMark/>
          </w:tcPr>
          <w:p w:rsidR="00583BD3" w:rsidRPr="00241541"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(2.13)</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(0.20)</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(1.97)</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(1.01)</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(1.28)</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(1.20)</w:t>
            </w:r>
          </w:p>
        </w:tc>
      </w:tr>
      <w:tr w:rsidR="00583BD3" w:rsidRPr="00A4376E" w:rsidTr="000727E8">
        <w:trPr>
          <w:trHeight w:hRule="exact" w:val="255"/>
          <w:jc w:val="center"/>
        </w:trPr>
        <w:tc>
          <w:tcPr>
            <w:tcW w:w="0" w:type="auto"/>
            <w:shd w:val="clear" w:color="auto" w:fill="auto"/>
            <w:noWrap/>
            <w:hideMark/>
          </w:tcPr>
          <w:p w:rsidR="00583BD3" w:rsidRPr="00241541" w:rsidRDefault="00583BD3" w:rsidP="000727E8">
            <w:pPr>
              <w:jc w:val="center"/>
              <w:rPr>
                <w:rFonts w:ascii="Garamond" w:hAnsi="Garamond" w:cs="Calibri"/>
                <w:color w:val="000000"/>
                <w:sz w:val="20"/>
                <w:szCs w:val="20"/>
              </w:rPr>
            </w:pPr>
            <w:proofErr w:type="spellStart"/>
            <w:r w:rsidRPr="00241541">
              <w:rPr>
                <w:rFonts w:ascii="Garamond" w:hAnsi="Garamond" w:cs="Calibri"/>
                <w:color w:val="000000"/>
                <w:sz w:val="20"/>
                <w:szCs w:val="20"/>
              </w:rPr>
              <w:t>Ln</w:t>
            </w:r>
            <w:proofErr w:type="spellEnd"/>
            <w:r w:rsidRPr="00241541">
              <w:rPr>
                <w:rFonts w:ascii="Garamond" w:hAnsi="Garamond" w:cs="Calibri"/>
                <w:color w:val="000000"/>
                <w:sz w:val="20"/>
                <w:szCs w:val="20"/>
              </w:rPr>
              <w:t>(total assets)</w:t>
            </w:r>
            <w:r w:rsidRPr="00241541">
              <w:rPr>
                <w:rFonts w:ascii="Garamond" w:hAnsi="Garamond" w:cs="Calibri"/>
                <w:color w:val="000000"/>
                <w:sz w:val="20"/>
                <w:szCs w:val="20"/>
                <w:vertAlign w:val="subscript"/>
              </w:rPr>
              <w:t>t-1</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0.0417***</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0.0275**</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0.0265**</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0.0244</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0.0518***</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0.0423***</w:t>
            </w:r>
          </w:p>
        </w:tc>
      </w:tr>
      <w:tr w:rsidR="00583BD3" w:rsidRPr="00A4376E" w:rsidTr="000727E8">
        <w:trPr>
          <w:trHeight w:hRule="exact" w:val="255"/>
          <w:jc w:val="center"/>
        </w:trPr>
        <w:tc>
          <w:tcPr>
            <w:tcW w:w="0" w:type="auto"/>
            <w:shd w:val="clear" w:color="auto" w:fill="auto"/>
            <w:noWrap/>
            <w:hideMark/>
          </w:tcPr>
          <w:p w:rsidR="00583BD3" w:rsidRPr="00241541"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(3.11)</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(2.46)</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(2.25)</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(1.49)</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(4.49)</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(2.95)</w:t>
            </w:r>
          </w:p>
        </w:tc>
      </w:tr>
      <w:tr w:rsidR="00583BD3" w:rsidRPr="00A4376E" w:rsidTr="000727E8">
        <w:trPr>
          <w:trHeight w:hRule="exact" w:val="255"/>
          <w:jc w:val="center"/>
        </w:trPr>
        <w:tc>
          <w:tcPr>
            <w:tcW w:w="0" w:type="auto"/>
            <w:shd w:val="clear" w:color="auto" w:fill="auto"/>
            <w:noWrap/>
            <w:hideMark/>
          </w:tcPr>
          <w:p w:rsidR="00583BD3" w:rsidRPr="00241541" w:rsidRDefault="00583BD3" w:rsidP="000727E8">
            <w:pPr>
              <w:jc w:val="center"/>
              <w:rPr>
                <w:rFonts w:ascii="Garamond" w:hAnsi="Garamond" w:cs="Calibri"/>
                <w:color w:val="000000"/>
                <w:sz w:val="20"/>
                <w:szCs w:val="20"/>
              </w:rPr>
            </w:pPr>
            <w:proofErr w:type="spellStart"/>
            <w:r w:rsidRPr="00241541">
              <w:rPr>
                <w:rFonts w:ascii="Garamond" w:hAnsi="Garamond" w:cs="Calibri"/>
                <w:color w:val="000000"/>
                <w:sz w:val="20"/>
                <w:szCs w:val="20"/>
              </w:rPr>
              <w:t>Ln</w:t>
            </w:r>
            <w:proofErr w:type="spellEnd"/>
            <w:r w:rsidRPr="00241541">
              <w:rPr>
                <w:rFonts w:ascii="Garamond" w:hAnsi="Garamond" w:cs="Calibri"/>
                <w:color w:val="000000"/>
                <w:sz w:val="20"/>
                <w:szCs w:val="20"/>
              </w:rPr>
              <w:t>(firm age)</w:t>
            </w:r>
            <w:r w:rsidRPr="00241541">
              <w:rPr>
                <w:rFonts w:ascii="Garamond" w:hAnsi="Garamond" w:cs="Calibri"/>
                <w:color w:val="000000"/>
                <w:sz w:val="20"/>
                <w:szCs w:val="20"/>
                <w:vertAlign w:val="subscript"/>
              </w:rPr>
              <w:t>t-1</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-0.0294**</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-0.00274</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0.0163</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-0.00912</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0.00261</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0.0222</w:t>
            </w:r>
          </w:p>
        </w:tc>
      </w:tr>
      <w:tr w:rsidR="00583BD3" w:rsidRPr="00A4376E" w:rsidTr="000727E8">
        <w:trPr>
          <w:trHeight w:hRule="exact" w:val="255"/>
          <w:jc w:val="center"/>
        </w:trPr>
        <w:tc>
          <w:tcPr>
            <w:tcW w:w="0" w:type="auto"/>
            <w:shd w:val="clear" w:color="auto" w:fill="auto"/>
            <w:noWrap/>
            <w:hideMark/>
          </w:tcPr>
          <w:p w:rsidR="00583BD3" w:rsidRPr="00241541"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(-1.97)</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(-0.19)</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(1.33)</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(-0.44)</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(0.16)</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(1.28)</w:t>
            </w:r>
          </w:p>
        </w:tc>
      </w:tr>
      <w:tr w:rsidR="00583BD3" w:rsidRPr="00A4376E" w:rsidTr="000727E8">
        <w:trPr>
          <w:trHeight w:hRule="exact" w:val="255"/>
          <w:jc w:val="center"/>
        </w:trPr>
        <w:tc>
          <w:tcPr>
            <w:tcW w:w="0" w:type="auto"/>
            <w:shd w:val="clear" w:color="auto" w:fill="auto"/>
            <w:noWrap/>
            <w:hideMark/>
          </w:tcPr>
          <w:p w:rsidR="00583BD3" w:rsidRPr="00241541" w:rsidRDefault="00583BD3" w:rsidP="000727E8">
            <w:pPr>
              <w:jc w:val="center"/>
              <w:rPr>
                <w:rFonts w:ascii="Garamond" w:hAnsi="Garamond" w:cs="Calibri"/>
                <w:color w:val="000000"/>
                <w:sz w:val="20"/>
                <w:szCs w:val="20"/>
              </w:rPr>
            </w:pPr>
            <w:r w:rsidRPr="00241541">
              <w:rPr>
                <w:rFonts w:ascii="Garamond" w:hAnsi="Garamond" w:cs="Calibri"/>
                <w:color w:val="000000"/>
                <w:sz w:val="20"/>
                <w:szCs w:val="20"/>
              </w:rPr>
              <w:t>CFO British Dummy</w:t>
            </w:r>
            <w:r w:rsidRPr="00241541">
              <w:rPr>
                <w:rFonts w:ascii="Garamond" w:hAnsi="Garamond" w:cs="Calibri"/>
                <w:color w:val="000000"/>
                <w:sz w:val="20"/>
                <w:szCs w:val="20"/>
                <w:vertAlign w:val="subscript"/>
              </w:rPr>
              <w:t>t-1</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0.0390</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0.0282</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0.0409</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-0.0338</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0.00418</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0.0200</w:t>
            </w:r>
          </w:p>
        </w:tc>
      </w:tr>
      <w:tr w:rsidR="00583BD3" w:rsidRPr="00A4376E" w:rsidTr="000727E8">
        <w:trPr>
          <w:trHeight w:hRule="exact" w:val="255"/>
          <w:jc w:val="center"/>
        </w:trPr>
        <w:tc>
          <w:tcPr>
            <w:tcW w:w="0" w:type="auto"/>
            <w:shd w:val="clear" w:color="auto" w:fill="auto"/>
            <w:noWrap/>
            <w:hideMark/>
          </w:tcPr>
          <w:p w:rsidR="00583BD3" w:rsidRPr="00241541"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(1.30)</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(0.91)</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(1.46)</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(-1.10)</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(0.10)</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(0.80)</w:t>
            </w:r>
          </w:p>
        </w:tc>
      </w:tr>
      <w:tr w:rsidR="00583BD3" w:rsidRPr="00A4376E" w:rsidTr="000727E8">
        <w:trPr>
          <w:trHeight w:hRule="exact" w:val="255"/>
          <w:jc w:val="center"/>
        </w:trPr>
        <w:tc>
          <w:tcPr>
            <w:tcW w:w="0" w:type="auto"/>
            <w:shd w:val="clear" w:color="auto" w:fill="auto"/>
            <w:noWrap/>
            <w:hideMark/>
          </w:tcPr>
          <w:p w:rsidR="00583BD3" w:rsidRPr="00241541" w:rsidRDefault="00583BD3" w:rsidP="000727E8">
            <w:pPr>
              <w:jc w:val="center"/>
              <w:rPr>
                <w:rFonts w:ascii="Garamond" w:hAnsi="Garamond" w:cs="Calibri"/>
                <w:color w:val="000000"/>
                <w:sz w:val="20"/>
                <w:szCs w:val="20"/>
              </w:rPr>
            </w:pPr>
            <w:proofErr w:type="spellStart"/>
            <w:r w:rsidRPr="00241541">
              <w:rPr>
                <w:rFonts w:ascii="Garamond" w:hAnsi="Garamond" w:cs="Calibri"/>
                <w:color w:val="000000"/>
                <w:sz w:val="20"/>
                <w:szCs w:val="20"/>
              </w:rPr>
              <w:t>Ln</w:t>
            </w:r>
            <w:proofErr w:type="spellEnd"/>
            <w:r w:rsidRPr="00241541">
              <w:rPr>
                <w:rFonts w:ascii="Garamond" w:hAnsi="Garamond" w:cs="Calibri"/>
                <w:color w:val="000000"/>
                <w:sz w:val="20"/>
                <w:szCs w:val="20"/>
              </w:rPr>
              <w:t>(CFO tenure)</w:t>
            </w:r>
            <w:r w:rsidRPr="00241541">
              <w:rPr>
                <w:rFonts w:ascii="Garamond" w:hAnsi="Garamond" w:cs="Calibri"/>
                <w:color w:val="000000"/>
                <w:sz w:val="20"/>
                <w:szCs w:val="20"/>
                <w:vertAlign w:val="subscript"/>
              </w:rPr>
              <w:t>t-1</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0.000642</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0.00796</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0.000209</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0.0118***</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-0.00174</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0.00217</w:t>
            </w:r>
          </w:p>
        </w:tc>
      </w:tr>
      <w:tr w:rsidR="00583BD3" w:rsidRPr="00A4376E" w:rsidTr="000727E8">
        <w:trPr>
          <w:trHeight w:hRule="exact" w:val="255"/>
          <w:jc w:val="center"/>
        </w:trPr>
        <w:tc>
          <w:tcPr>
            <w:tcW w:w="0" w:type="auto"/>
            <w:shd w:val="clear" w:color="auto" w:fill="auto"/>
            <w:noWrap/>
            <w:hideMark/>
          </w:tcPr>
          <w:p w:rsidR="00583BD3" w:rsidRPr="00241541"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(0.15)</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(1.39)</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(0.05)</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(2.62)</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(-0.41)</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(0.39)</w:t>
            </w:r>
          </w:p>
        </w:tc>
      </w:tr>
      <w:tr w:rsidR="00583BD3" w:rsidRPr="00A4376E" w:rsidTr="000727E8">
        <w:trPr>
          <w:trHeight w:hRule="exact" w:val="255"/>
          <w:jc w:val="center"/>
        </w:trPr>
        <w:tc>
          <w:tcPr>
            <w:tcW w:w="0" w:type="auto"/>
            <w:shd w:val="clear" w:color="auto" w:fill="auto"/>
            <w:noWrap/>
            <w:hideMark/>
          </w:tcPr>
          <w:p w:rsidR="00583BD3" w:rsidRPr="00241541" w:rsidRDefault="00583BD3" w:rsidP="000727E8">
            <w:pPr>
              <w:jc w:val="center"/>
              <w:rPr>
                <w:rFonts w:ascii="Garamond" w:hAnsi="Garamond" w:cs="Calibri"/>
                <w:color w:val="000000"/>
                <w:sz w:val="20"/>
                <w:szCs w:val="20"/>
              </w:rPr>
            </w:pPr>
            <w:proofErr w:type="spellStart"/>
            <w:r w:rsidRPr="00241541">
              <w:rPr>
                <w:rFonts w:ascii="Garamond" w:hAnsi="Garamond" w:cs="Calibri"/>
                <w:color w:val="000000"/>
                <w:sz w:val="20"/>
                <w:szCs w:val="20"/>
              </w:rPr>
              <w:t>Ln</w:t>
            </w:r>
            <w:proofErr w:type="spellEnd"/>
            <w:r w:rsidRPr="00241541">
              <w:rPr>
                <w:rFonts w:ascii="Garamond" w:hAnsi="Garamond" w:cs="Calibri"/>
                <w:color w:val="000000"/>
                <w:sz w:val="20"/>
                <w:szCs w:val="20"/>
              </w:rPr>
              <w:t>(CFO age)</w:t>
            </w:r>
            <w:r w:rsidRPr="00241541">
              <w:rPr>
                <w:rFonts w:ascii="Garamond" w:hAnsi="Garamond" w:cs="Calibri"/>
                <w:color w:val="000000"/>
                <w:sz w:val="20"/>
                <w:szCs w:val="20"/>
                <w:vertAlign w:val="subscript"/>
              </w:rPr>
              <w:t>t-1</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0.0233</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-0.0964</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-0.0562</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-0.0642</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0.0602</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-0.178**</w:t>
            </w:r>
          </w:p>
        </w:tc>
      </w:tr>
      <w:tr w:rsidR="00583BD3" w:rsidRPr="00A4376E" w:rsidTr="000727E8">
        <w:trPr>
          <w:trHeight w:hRule="exact" w:val="255"/>
          <w:jc w:val="center"/>
        </w:trPr>
        <w:tc>
          <w:tcPr>
            <w:tcW w:w="0" w:type="auto"/>
            <w:shd w:val="clear" w:color="auto" w:fill="auto"/>
            <w:noWrap/>
            <w:hideMark/>
          </w:tcPr>
          <w:p w:rsidR="00583BD3" w:rsidRPr="00241541"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(0.50)</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(-1.58)</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(-0.82)</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(-1.12)</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(1.33)</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(-2.58)</w:t>
            </w:r>
          </w:p>
        </w:tc>
      </w:tr>
      <w:tr w:rsidR="00583BD3" w:rsidRPr="00A4376E" w:rsidTr="000727E8">
        <w:trPr>
          <w:trHeight w:hRule="exact" w:val="255"/>
          <w:jc w:val="center"/>
        </w:trPr>
        <w:tc>
          <w:tcPr>
            <w:tcW w:w="0" w:type="auto"/>
            <w:shd w:val="clear" w:color="auto" w:fill="auto"/>
            <w:noWrap/>
            <w:hideMark/>
          </w:tcPr>
          <w:p w:rsidR="00583BD3" w:rsidRPr="00241541" w:rsidRDefault="00583BD3" w:rsidP="000727E8">
            <w:pPr>
              <w:jc w:val="center"/>
              <w:rPr>
                <w:rFonts w:ascii="Garamond" w:hAnsi="Garamond" w:cs="Calibri"/>
                <w:color w:val="000000"/>
                <w:sz w:val="20"/>
                <w:szCs w:val="20"/>
              </w:rPr>
            </w:pPr>
            <w:proofErr w:type="spellStart"/>
            <w:r w:rsidRPr="00241541">
              <w:rPr>
                <w:rFonts w:ascii="Garamond" w:hAnsi="Garamond" w:cs="Calibri"/>
                <w:color w:val="000000"/>
                <w:sz w:val="20"/>
                <w:szCs w:val="20"/>
              </w:rPr>
              <w:t>Ln</w:t>
            </w:r>
            <w:proofErr w:type="spellEnd"/>
            <w:r w:rsidRPr="00241541">
              <w:rPr>
                <w:rFonts w:ascii="Garamond" w:hAnsi="Garamond" w:cs="Calibri"/>
                <w:color w:val="000000"/>
                <w:sz w:val="20"/>
                <w:szCs w:val="20"/>
              </w:rPr>
              <w:t>(CFO network size)</w:t>
            </w:r>
            <w:r w:rsidRPr="00241541">
              <w:rPr>
                <w:rFonts w:ascii="Garamond" w:hAnsi="Garamond" w:cs="Calibri"/>
                <w:color w:val="000000"/>
                <w:sz w:val="20"/>
                <w:szCs w:val="20"/>
                <w:vertAlign w:val="subscript"/>
              </w:rPr>
              <w:t>t-1</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-0.000311</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-0.00817</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-0.00360</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0.00142</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-0.00136</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-0.0127**</w:t>
            </w:r>
          </w:p>
        </w:tc>
      </w:tr>
      <w:tr w:rsidR="00583BD3" w:rsidRPr="00A4376E" w:rsidTr="000727E8">
        <w:trPr>
          <w:trHeight w:hRule="exact" w:val="255"/>
          <w:jc w:val="center"/>
        </w:trPr>
        <w:tc>
          <w:tcPr>
            <w:tcW w:w="0" w:type="auto"/>
            <w:shd w:val="clear" w:color="auto" w:fill="auto"/>
            <w:noWrap/>
            <w:hideMark/>
          </w:tcPr>
          <w:p w:rsidR="00583BD3" w:rsidRPr="00241541"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(-0.06)</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(-1.49)</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(-0.74)</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(0.35)</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(-0.24)</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(-2.07)</w:t>
            </w:r>
          </w:p>
        </w:tc>
      </w:tr>
      <w:tr w:rsidR="00583BD3" w:rsidRPr="00A4376E" w:rsidTr="000727E8">
        <w:trPr>
          <w:trHeight w:hRule="exact" w:val="255"/>
          <w:jc w:val="center"/>
        </w:trPr>
        <w:tc>
          <w:tcPr>
            <w:tcW w:w="0" w:type="auto"/>
            <w:shd w:val="clear" w:color="auto" w:fill="auto"/>
            <w:noWrap/>
            <w:hideMark/>
          </w:tcPr>
          <w:p w:rsidR="00583BD3" w:rsidRPr="00241541" w:rsidRDefault="00583BD3" w:rsidP="000727E8">
            <w:pPr>
              <w:jc w:val="center"/>
              <w:rPr>
                <w:rFonts w:ascii="Garamond" w:hAnsi="Garamond" w:cs="Calibri"/>
                <w:color w:val="000000"/>
                <w:sz w:val="20"/>
                <w:szCs w:val="20"/>
              </w:rPr>
            </w:pPr>
            <w:proofErr w:type="spellStart"/>
            <w:r w:rsidRPr="00241541">
              <w:rPr>
                <w:rFonts w:ascii="Garamond" w:hAnsi="Garamond" w:cs="Calibri"/>
                <w:color w:val="000000"/>
                <w:sz w:val="20"/>
                <w:szCs w:val="20"/>
              </w:rPr>
              <w:t>Ln</w:t>
            </w:r>
            <w:proofErr w:type="spellEnd"/>
            <w:r w:rsidRPr="00241541">
              <w:rPr>
                <w:rFonts w:ascii="Garamond" w:hAnsi="Garamond" w:cs="Calibri"/>
                <w:color w:val="000000"/>
                <w:sz w:val="20"/>
                <w:szCs w:val="20"/>
              </w:rPr>
              <w:t>(CFO total compensation)</w:t>
            </w:r>
            <w:r w:rsidRPr="00241541">
              <w:rPr>
                <w:rFonts w:ascii="Garamond" w:hAnsi="Garamond" w:cs="Calibri"/>
                <w:color w:val="000000"/>
                <w:sz w:val="20"/>
                <w:szCs w:val="20"/>
                <w:vertAlign w:val="subscript"/>
              </w:rPr>
              <w:t>t-1</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-0.0159**</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-0.0147**</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-0.0194***</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-0.0209***</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-0.00647</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-0.0198***</w:t>
            </w:r>
          </w:p>
        </w:tc>
      </w:tr>
      <w:tr w:rsidR="00583BD3" w:rsidRPr="00A4376E" w:rsidTr="000727E8">
        <w:trPr>
          <w:trHeight w:hRule="exact" w:val="255"/>
          <w:jc w:val="center"/>
        </w:trPr>
        <w:tc>
          <w:tcPr>
            <w:tcW w:w="0" w:type="auto"/>
            <w:shd w:val="clear" w:color="auto" w:fill="auto"/>
            <w:noWrap/>
            <w:hideMark/>
          </w:tcPr>
          <w:p w:rsidR="00583BD3" w:rsidRPr="00241541"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(-2.48)</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(-2.37)</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(-2.89)</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(-3.01)</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(-1.12)</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(-2.77)</w:t>
            </w:r>
          </w:p>
        </w:tc>
      </w:tr>
      <w:tr w:rsidR="00583BD3" w:rsidRPr="00A4376E" w:rsidTr="000727E8">
        <w:trPr>
          <w:trHeight w:hRule="exact" w:val="255"/>
          <w:jc w:val="center"/>
        </w:trPr>
        <w:tc>
          <w:tcPr>
            <w:tcW w:w="0" w:type="auto"/>
            <w:shd w:val="clear" w:color="auto" w:fill="auto"/>
            <w:noWrap/>
            <w:hideMark/>
          </w:tcPr>
          <w:p w:rsidR="00583BD3" w:rsidRPr="00241541" w:rsidRDefault="00583BD3" w:rsidP="000727E8">
            <w:pPr>
              <w:jc w:val="center"/>
              <w:rPr>
                <w:rFonts w:ascii="Garamond" w:hAnsi="Garamond" w:cs="Calibri"/>
                <w:color w:val="000000"/>
                <w:sz w:val="20"/>
                <w:szCs w:val="20"/>
              </w:rPr>
            </w:pPr>
            <w:r w:rsidRPr="00241541">
              <w:rPr>
                <w:rFonts w:ascii="Garamond" w:hAnsi="Garamond" w:cs="Calibri"/>
                <w:color w:val="000000"/>
                <w:sz w:val="20"/>
                <w:szCs w:val="20"/>
              </w:rPr>
              <w:t>Constant</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-0.279</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0.235</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0.124</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0.291</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-0.713***</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0.361</w:t>
            </w:r>
          </w:p>
        </w:tc>
      </w:tr>
      <w:tr w:rsidR="00583BD3" w:rsidRPr="00A4376E" w:rsidTr="000727E8">
        <w:trPr>
          <w:trHeight w:hRule="exact" w:val="255"/>
          <w:jc w:val="center"/>
        </w:trPr>
        <w:tc>
          <w:tcPr>
            <w:tcW w:w="0" w:type="auto"/>
            <w:tcBorders>
              <w:bottom w:val="single" w:sz="4" w:space="0" w:color="auto"/>
            </w:tcBorders>
            <w:shd w:val="clear" w:color="auto" w:fill="auto"/>
            <w:noWrap/>
            <w:hideMark/>
          </w:tcPr>
          <w:p w:rsidR="00583BD3" w:rsidRPr="00241541" w:rsidRDefault="00583BD3" w:rsidP="000727E8">
            <w:pPr>
              <w:jc w:val="center"/>
              <w:rPr>
                <w:rFonts w:ascii="Garamond" w:hAnsi="Garamond" w:cs="Calibri"/>
                <w:color w:val="000000"/>
                <w:sz w:val="20"/>
                <w:szCs w:val="20"/>
              </w:rPr>
            </w:pPr>
          </w:p>
        </w:tc>
        <w:tc>
          <w:tcPr>
            <w:tcW w:w="0" w:type="auto"/>
            <w:tcBorders>
              <w:bottom w:val="single" w:sz="4" w:space="0" w:color="auto"/>
            </w:tcBorders>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(-1.07)</w:t>
            </w:r>
          </w:p>
        </w:tc>
        <w:tc>
          <w:tcPr>
            <w:tcW w:w="0" w:type="auto"/>
            <w:tcBorders>
              <w:bottom w:val="single" w:sz="4" w:space="0" w:color="auto"/>
            </w:tcBorders>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(0.86)</w:t>
            </w:r>
          </w:p>
        </w:tc>
        <w:tc>
          <w:tcPr>
            <w:tcW w:w="0" w:type="auto"/>
            <w:tcBorders>
              <w:bottom w:val="single" w:sz="4" w:space="0" w:color="auto"/>
            </w:tcBorders>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(0.39)</w:t>
            </w:r>
          </w:p>
        </w:tc>
        <w:tc>
          <w:tcPr>
            <w:tcW w:w="0" w:type="auto"/>
            <w:tcBorders>
              <w:bottom w:val="single" w:sz="4" w:space="0" w:color="auto"/>
            </w:tcBorders>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(1.08)</w:t>
            </w:r>
          </w:p>
        </w:tc>
        <w:tc>
          <w:tcPr>
            <w:tcW w:w="0" w:type="auto"/>
            <w:tcBorders>
              <w:bottom w:val="single" w:sz="4" w:space="0" w:color="auto"/>
            </w:tcBorders>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(-3.04)</w:t>
            </w:r>
          </w:p>
        </w:tc>
        <w:tc>
          <w:tcPr>
            <w:tcW w:w="0" w:type="auto"/>
            <w:tcBorders>
              <w:bottom w:val="single" w:sz="4" w:space="0" w:color="auto"/>
            </w:tcBorders>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(1.14)</w:t>
            </w:r>
          </w:p>
        </w:tc>
      </w:tr>
      <w:tr w:rsidR="00583BD3" w:rsidRPr="00A4376E" w:rsidTr="000727E8">
        <w:trPr>
          <w:trHeight w:hRule="exact" w:val="255"/>
          <w:jc w:val="center"/>
        </w:trPr>
        <w:tc>
          <w:tcPr>
            <w:tcW w:w="0" w:type="auto"/>
            <w:tcBorders>
              <w:top w:val="single" w:sz="4" w:space="0" w:color="auto"/>
              <w:bottom w:val="nil"/>
            </w:tcBorders>
            <w:shd w:val="clear" w:color="auto" w:fill="auto"/>
            <w:noWrap/>
            <w:hideMark/>
          </w:tcPr>
          <w:p w:rsidR="00583BD3" w:rsidRPr="00241541" w:rsidRDefault="00583BD3" w:rsidP="000727E8">
            <w:pPr>
              <w:jc w:val="center"/>
              <w:rPr>
                <w:rFonts w:ascii="Garamond" w:hAnsi="Garamond" w:cs="Calibri"/>
                <w:color w:val="000000"/>
                <w:sz w:val="20"/>
                <w:szCs w:val="20"/>
              </w:rPr>
            </w:pPr>
            <w:r w:rsidRPr="00241541">
              <w:rPr>
                <w:rFonts w:ascii="Garamond" w:hAnsi="Garamond" w:cs="Calibri"/>
                <w:color w:val="000000"/>
                <w:sz w:val="20"/>
                <w:szCs w:val="20"/>
              </w:rPr>
              <w:t>Year Fixed Effects</w:t>
            </w:r>
          </w:p>
        </w:tc>
        <w:tc>
          <w:tcPr>
            <w:tcW w:w="0" w:type="auto"/>
            <w:tcBorders>
              <w:top w:val="single" w:sz="4" w:space="0" w:color="auto"/>
              <w:bottom w:val="nil"/>
            </w:tcBorders>
            <w:shd w:val="clear" w:color="auto" w:fill="auto"/>
            <w:noWrap/>
            <w:hideMark/>
          </w:tcPr>
          <w:p w:rsidR="00583BD3" w:rsidRPr="00A4376E" w:rsidRDefault="00583BD3" w:rsidP="000727E8">
            <w:pPr>
              <w:jc w:val="center"/>
              <w:rPr>
                <w:rFonts w:ascii="Garamond" w:hAnsi="Garamond" w:cs="Calibri"/>
                <w:color w:val="000000"/>
                <w:sz w:val="20"/>
                <w:szCs w:val="20"/>
              </w:rPr>
            </w:pPr>
            <w:r w:rsidRPr="00A4376E">
              <w:rPr>
                <w:rFonts w:ascii="Garamond" w:hAnsi="Garamond" w:cs="Calibri"/>
                <w:color w:val="000000"/>
                <w:sz w:val="20"/>
                <w:szCs w:val="20"/>
              </w:rPr>
              <w:t>Yes</w:t>
            </w:r>
          </w:p>
        </w:tc>
        <w:tc>
          <w:tcPr>
            <w:tcW w:w="0" w:type="auto"/>
            <w:tcBorders>
              <w:top w:val="single" w:sz="4" w:space="0" w:color="auto"/>
              <w:bottom w:val="nil"/>
            </w:tcBorders>
            <w:shd w:val="clear" w:color="auto" w:fill="auto"/>
            <w:noWrap/>
            <w:hideMark/>
          </w:tcPr>
          <w:p w:rsidR="00583BD3" w:rsidRPr="00A4376E" w:rsidRDefault="00583BD3" w:rsidP="000727E8">
            <w:pPr>
              <w:jc w:val="center"/>
              <w:rPr>
                <w:rFonts w:ascii="Garamond" w:hAnsi="Garamond" w:cs="Calibri"/>
                <w:color w:val="000000"/>
                <w:sz w:val="20"/>
                <w:szCs w:val="20"/>
              </w:rPr>
            </w:pPr>
            <w:r w:rsidRPr="00A4376E">
              <w:rPr>
                <w:rFonts w:ascii="Garamond" w:hAnsi="Garamond" w:cs="Calibri"/>
                <w:color w:val="000000"/>
                <w:sz w:val="20"/>
                <w:szCs w:val="20"/>
              </w:rPr>
              <w:t>Yes</w:t>
            </w:r>
          </w:p>
        </w:tc>
        <w:tc>
          <w:tcPr>
            <w:tcW w:w="0" w:type="auto"/>
            <w:tcBorders>
              <w:top w:val="single" w:sz="4" w:space="0" w:color="auto"/>
              <w:bottom w:val="nil"/>
            </w:tcBorders>
            <w:shd w:val="clear" w:color="auto" w:fill="auto"/>
            <w:noWrap/>
            <w:hideMark/>
          </w:tcPr>
          <w:p w:rsidR="00583BD3" w:rsidRPr="00A4376E" w:rsidRDefault="00583BD3" w:rsidP="000727E8">
            <w:pPr>
              <w:jc w:val="center"/>
              <w:rPr>
                <w:rFonts w:ascii="Garamond" w:hAnsi="Garamond" w:cs="Calibri"/>
                <w:color w:val="000000"/>
                <w:sz w:val="20"/>
                <w:szCs w:val="20"/>
              </w:rPr>
            </w:pPr>
            <w:r w:rsidRPr="00A4376E">
              <w:rPr>
                <w:rFonts w:ascii="Garamond" w:hAnsi="Garamond" w:cs="Calibri"/>
                <w:color w:val="000000"/>
                <w:sz w:val="20"/>
                <w:szCs w:val="20"/>
              </w:rPr>
              <w:t>Yes</w:t>
            </w:r>
          </w:p>
        </w:tc>
        <w:tc>
          <w:tcPr>
            <w:tcW w:w="0" w:type="auto"/>
            <w:tcBorders>
              <w:top w:val="single" w:sz="4" w:space="0" w:color="auto"/>
              <w:bottom w:val="nil"/>
            </w:tcBorders>
            <w:shd w:val="clear" w:color="auto" w:fill="auto"/>
            <w:noWrap/>
            <w:hideMark/>
          </w:tcPr>
          <w:p w:rsidR="00583BD3" w:rsidRPr="00A4376E" w:rsidRDefault="00583BD3" w:rsidP="000727E8">
            <w:pPr>
              <w:jc w:val="center"/>
              <w:rPr>
                <w:rFonts w:ascii="Garamond" w:hAnsi="Garamond" w:cs="Calibri"/>
                <w:color w:val="000000"/>
                <w:sz w:val="20"/>
                <w:szCs w:val="20"/>
              </w:rPr>
            </w:pPr>
            <w:r w:rsidRPr="00A4376E">
              <w:rPr>
                <w:rFonts w:ascii="Garamond" w:hAnsi="Garamond" w:cs="Calibri"/>
                <w:color w:val="000000"/>
                <w:sz w:val="20"/>
                <w:szCs w:val="20"/>
              </w:rPr>
              <w:t>Yes</w:t>
            </w:r>
          </w:p>
        </w:tc>
        <w:tc>
          <w:tcPr>
            <w:tcW w:w="0" w:type="auto"/>
            <w:tcBorders>
              <w:top w:val="single" w:sz="4" w:space="0" w:color="auto"/>
              <w:bottom w:val="nil"/>
            </w:tcBorders>
            <w:shd w:val="clear" w:color="auto" w:fill="auto"/>
            <w:noWrap/>
            <w:hideMark/>
          </w:tcPr>
          <w:p w:rsidR="00583BD3" w:rsidRPr="00A4376E" w:rsidRDefault="00583BD3" w:rsidP="000727E8">
            <w:pPr>
              <w:jc w:val="center"/>
              <w:rPr>
                <w:rFonts w:ascii="Garamond" w:hAnsi="Garamond" w:cs="Calibri"/>
                <w:color w:val="000000"/>
                <w:sz w:val="20"/>
                <w:szCs w:val="20"/>
              </w:rPr>
            </w:pPr>
            <w:r w:rsidRPr="00A4376E">
              <w:rPr>
                <w:rFonts w:ascii="Garamond" w:hAnsi="Garamond" w:cs="Calibri"/>
                <w:color w:val="000000"/>
                <w:sz w:val="20"/>
                <w:szCs w:val="20"/>
              </w:rPr>
              <w:t>Yes</w:t>
            </w:r>
          </w:p>
        </w:tc>
        <w:tc>
          <w:tcPr>
            <w:tcW w:w="0" w:type="auto"/>
            <w:tcBorders>
              <w:top w:val="single" w:sz="4" w:space="0" w:color="auto"/>
              <w:bottom w:val="nil"/>
            </w:tcBorders>
            <w:shd w:val="clear" w:color="auto" w:fill="auto"/>
            <w:noWrap/>
            <w:hideMark/>
          </w:tcPr>
          <w:p w:rsidR="00583BD3" w:rsidRPr="00A4376E" w:rsidRDefault="00583BD3" w:rsidP="000727E8">
            <w:pPr>
              <w:jc w:val="center"/>
              <w:rPr>
                <w:rFonts w:ascii="Garamond" w:hAnsi="Garamond" w:cs="Calibri"/>
                <w:color w:val="000000"/>
                <w:sz w:val="20"/>
                <w:szCs w:val="20"/>
              </w:rPr>
            </w:pPr>
            <w:r w:rsidRPr="00A4376E">
              <w:rPr>
                <w:rFonts w:ascii="Garamond" w:hAnsi="Garamond" w:cs="Calibri"/>
                <w:color w:val="000000"/>
                <w:sz w:val="20"/>
                <w:szCs w:val="20"/>
              </w:rPr>
              <w:t>Yes</w:t>
            </w:r>
          </w:p>
        </w:tc>
      </w:tr>
      <w:tr w:rsidR="00583BD3" w:rsidRPr="00A4376E" w:rsidTr="000727E8">
        <w:trPr>
          <w:trHeight w:hRule="exact" w:val="255"/>
          <w:jc w:val="center"/>
        </w:trPr>
        <w:tc>
          <w:tcPr>
            <w:tcW w:w="0" w:type="auto"/>
            <w:tcBorders>
              <w:top w:val="nil"/>
            </w:tcBorders>
            <w:shd w:val="clear" w:color="auto" w:fill="auto"/>
            <w:noWrap/>
            <w:hideMark/>
          </w:tcPr>
          <w:p w:rsidR="00583BD3" w:rsidRPr="00241541" w:rsidRDefault="00583BD3" w:rsidP="000727E8">
            <w:pPr>
              <w:jc w:val="center"/>
              <w:rPr>
                <w:rFonts w:ascii="Garamond" w:hAnsi="Garamond" w:cs="Calibri"/>
                <w:color w:val="000000"/>
                <w:sz w:val="20"/>
                <w:szCs w:val="20"/>
              </w:rPr>
            </w:pPr>
            <w:r w:rsidRPr="00241541">
              <w:rPr>
                <w:rFonts w:ascii="Garamond" w:hAnsi="Garamond" w:cs="Calibri"/>
                <w:color w:val="000000"/>
                <w:sz w:val="20"/>
                <w:szCs w:val="20"/>
              </w:rPr>
              <w:t>Firm Fixed Effects</w:t>
            </w:r>
          </w:p>
        </w:tc>
        <w:tc>
          <w:tcPr>
            <w:tcW w:w="0" w:type="auto"/>
            <w:tcBorders>
              <w:top w:val="nil"/>
            </w:tcBorders>
            <w:shd w:val="clear" w:color="auto" w:fill="auto"/>
            <w:noWrap/>
            <w:hideMark/>
          </w:tcPr>
          <w:p w:rsidR="00583BD3" w:rsidRPr="00A4376E" w:rsidRDefault="00583BD3" w:rsidP="000727E8">
            <w:pPr>
              <w:jc w:val="center"/>
              <w:rPr>
                <w:rFonts w:ascii="Garamond" w:hAnsi="Garamond" w:cs="Calibri"/>
                <w:color w:val="000000"/>
                <w:sz w:val="20"/>
                <w:szCs w:val="20"/>
              </w:rPr>
            </w:pPr>
            <w:r w:rsidRPr="00A4376E">
              <w:rPr>
                <w:rFonts w:ascii="Garamond" w:hAnsi="Garamond" w:cs="Calibri"/>
                <w:color w:val="000000"/>
                <w:sz w:val="20"/>
                <w:szCs w:val="20"/>
              </w:rPr>
              <w:t>Yes</w:t>
            </w:r>
          </w:p>
        </w:tc>
        <w:tc>
          <w:tcPr>
            <w:tcW w:w="0" w:type="auto"/>
            <w:tcBorders>
              <w:top w:val="nil"/>
            </w:tcBorders>
            <w:shd w:val="clear" w:color="auto" w:fill="auto"/>
            <w:noWrap/>
            <w:hideMark/>
          </w:tcPr>
          <w:p w:rsidR="00583BD3" w:rsidRPr="00A4376E" w:rsidRDefault="00583BD3" w:rsidP="000727E8">
            <w:pPr>
              <w:jc w:val="center"/>
              <w:rPr>
                <w:rFonts w:ascii="Garamond" w:hAnsi="Garamond" w:cs="Calibri"/>
                <w:color w:val="000000"/>
                <w:sz w:val="20"/>
                <w:szCs w:val="20"/>
              </w:rPr>
            </w:pPr>
            <w:r w:rsidRPr="00A4376E">
              <w:rPr>
                <w:rFonts w:ascii="Garamond" w:hAnsi="Garamond" w:cs="Calibri"/>
                <w:color w:val="000000"/>
                <w:sz w:val="20"/>
                <w:szCs w:val="20"/>
              </w:rPr>
              <w:t>Yes</w:t>
            </w:r>
          </w:p>
        </w:tc>
        <w:tc>
          <w:tcPr>
            <w:tcW w:w="0" w:type="auto"/>
            <w:tcBorders>
              <w:top w:val="nil"/>
            </w:tcBorders>
            <w:shd w:val="clear" w:color="auto" w:fill="auto"/>
            <w:noWrap/>
            <w:hideMark/>
          </w:tcPr>
          <w:p w:rsidR="00583BD3" w:rsidRPr="00A4376E" w:rsidRDefault="00583BD3" w:rsidP="000727E8">
            <w:pPr>
              <w:jc w:val="center"/>
              <w:rPr>
                <w:rFonts w:ascii="Garamond" w:hAnsi="Garamond" w:cs="Calibri"/>
                <w:color w:val="000000"/>
                <w:sz w:val="20"/>
                <w:szCs w:val="20"/>
              </w:rPr>
            </w:pPr>
            <w:r w:rsidRPr="00A4376E">
              <w:rPr>
                <w:rFonts w:ascii="Garamond" w:hAnsi="Garamond" w:cs="Calibri"/>
                <w:color w:val="000000"/>
                <w:sz w:val="20"/>
                <w:szCs w:val="20"/>
              </w:rPr>
              <w:t>Yes</w:t>
            </w:r>
          </w:p>
        </w:tc>
        <w:tc>
          <w:tcPr>
            <w:tcW w:w="0" w:type="auto"/>
            <w:tcBorders>
              <w:top w:val="nil"/>
            </w:tcBorders>
            <w:shd w:val="clear" w:color="auto" w:fill="auto"/>
            <w:noWrap/>
            <w:hideMark/>
          </w:tcPr>
          <w:p w:rsidR="00583BD3" w:rsidRPr="00A4376E" w:rsidRDefault="00583BD3" w:rsidP="000727E8">
            <w:pPr>
              <w:jc w:val="center"/>
              <w:rPr>
                <w:rFonts w:ascii="Garamond" w:hAnsi="Garamond" w:cs="Calibri"/>
                <w:color w:val="000000"/>
                <w:sz w:val="20"/>
                <w:szCs w:val="20"/>
              </w:rPr>
            </w:pPr>
            <w:r w:rsidRPr="00A4376E">
              <w:rPr>
                <w:rFonts w:ascii="Garamond" w:hAnsi="Garamond" w:cs="Calibri"/>
                <w:color w:val="000000"/>
                <w:sz w:val="20"/>
                <w:szCs w:val="20"/>
              </w:rPr>
              <w:t>Yes</w:t>
            </w:r>
          </w:p>
        </w:tc>
        <w:tc>
          <w:tcPr>
            <w:tcW w:w="0" w:type="auto"/>
            <w:tcBorders>
              <w:top w:val="nil"/>
            </w:tcBorders>
            <w:shd w:val="clear" w:color="auto" w:fill="auto"/>
            <w:noWrap/>
            <w:hideMark/>
          </w:tcPr>
          <w:p w:rsidR="00583BD3" w:rsidRPr="00A4376E" w:rsidRDefault="00583BD3" w:rsidP="000727E8">
            <w:pPr>
              <w:jc w:val="center"/>
              <w:rPr>
                <w:rFonts w:ascii="Garamond" w:hAnsi="Garamond" w:cs="Calibri"/>
                <w:color w:val="000000"/>
                <w:sz w:val="20"/>
                <w:szCs w:val="20"/>
              </w:rPr>
            </w:pPr>
            <w:r w:rsidRPr="00A4376E">
              <w:rPr>
                <w:rFonts w:ascii="Garamond" w:hAnsi="Garamond" w:cs="Calibri"/>
                <w:color w:val="000000"/>
                <w:sz w:val="20"/>
                <w:szCs w:val="20"/>
              </w:rPr>
              <w:t>Yes</w:t>
            </w:r>
          </w:p>
        </w:tc>
        <w:tc>
          <w:tcPr>
            <w:tcW w:w="0" w:type="auto"/>
            <w:tcBorders>
              <w:top w:val="nil"/>
            </w:tcBorders>
            <w:shd w:val="clear" w:color="auto" w:fill="auto"/>
            <w:noWrap/>
            <w:hideMark/>
          </w:tcPr>
          <w:p w:rsidR="00583BD3" w:rsidRPr="00A4376E" w:rsidRDefault="00583BD3" w:rsidP="000727E8">
            <w:pPr>
              <w:jc w:val="center"/>
              <w:rPr>
                <w:rFonts w:ascii="Garamond" w:hAnsi="Garamond" w:cs="Calibri"/>
                <w:color w:val="000000"/>
                <w:sz w:val="20"/>
                <w:szCs w:val="20"/>
              </w:rPr>
            </w:pPr>
            <w:r w:rsidRPr="00A4376E">
              <w:rPr>
                <w:rFonts w:ascii="Garamond" w:hAnsi="Garamond" w:cs="Calibri"/>
                <w:color w:val="000000"/>
                <w:sz w:val="20"/>
                <w:szCs w:val="20"/>
              </w:rPr>
              <w:t>Yes</w:t>
            </w:r>
          </w:p>
        </w:tc>
      </w:tr>
      <w:tr w:rsidR="00583BD3" w:rsidRPr="00B102A2" w:rsidTr="000727E8">
        <w:trPr>
          <w:trHeight w:hRule="exact" w:val="255"/>
          <w:jc w:val="center"/>
        </w:trPr>
        <w:tc>
          <w:tcPr>
            <w:tcW w:w="0" w:type="auto"/>
            <w:shd w:val="clear" w:color="auto" w:fill="auto"/>
            <w:noWrap/>
            <w:hideMark/>
          </w:tcPr>
          <w:p w:rsidR="00583BD3" w:rsidRPr="00241541" w:rsidRDefault="00583BD3" w:rsidP="000727E8">
            <w:pPr>
              <w:jc w:val="center"/>
              <w:rPr>
                <w:rFonts w:ascii="Garamond" w:hAnsi="Garamond" w:cs="Calibri"/>
                <w:color w:val="000000"/>
                <w:sz w:val="20"/>
                <w:szCs w:val="20"/>
              </w:rPr>
            </w:pPr>
            <w:proofErr w:type="spellStart"/>
            <w:r w:rsidRPr="00241541">
              <w:rPr>
                <w:rFonts w:ascii="Garamond" w:hAnsi="Garamond" w:cs="Calibri"/>
                <w:color w:val="000000"/>
                <w:sz w:val="20"/>
                <w:szCs w:val="20"/>
              </w:rPr>
              <w:t>Adj</w:t>
            </w:r>
            <w:proofErr w:type="spellEnd"/>
            <w:r w:rsidRPr="00241541">
              <w:rPr>
                <w:rFonts w:ascii="Garamond" w:hAnsi="Garamond" w:cs="Calibri"/>
                <w:color w:val="000000"/>
                <w:sz w:val="20"/>
                <w:szCs w:val="20"/>
              </w:rPr>
              <w:t xml:space="preserve"> R-square</w:t>
            </w:r>
          </w:p>
        </w:tc>
        <w:tc>
          <w:tcPr>
            <w:tcW w:w="0" w:type="auto"/>
            <w:shd w:val="clear" w:color="auto" w:fill="auto"/>
            <w:noWrap/>
            <w:vAlign w:val="bottom"/>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0.0525</w:t>
            </w:r>
          </w:p>
        </w:tc>
        <w:tc>
          <w:tcPr>
            <w:tcW w:w="0" w:type="auto"/>
            <w:shd w:val="clear" w:color="auto" w:fill="auto"/>
            <w:noWrap/>
            <w:vAlign w:val="bottom"/>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0.0734</w:t>
            </w:r>
          </w:p>
        </w:tc>
        <w:tc>
          <w:tcPr>
            <w:tcW w:w="0" w:type="auto"/>
            <w:shd w:val="clear" w:color="auto" w:fill="auto"/>
            <w:noWrap/>
            <w:vAlign w:val="bottom"/>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0.0686</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0.0744</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0.0784</w:t>
            </w:r>
          </w:p>
        </w:tc>
        <w:tc>
          <w:tcPr>
            <w:tcW w:w="0" w:type="auto"/>
            <w:shd w:val="clear" w:color="auto" w:fill="auto"/>
            <w:noWrap/>
            <w:vAlign w:val="center"/>
            <w:hideMark/>
          </w:tcPr>
          <w:p w:rsidR="00583BD3" w:rsidRPr="00B102A2" w:rsidRDefault="00583BD3" w:rsidP="000727E8">
            <w:pPr>
              <w:jc w:val="center"/>
              <w:rPr>
                <w:rFonts w:ascii="Garamond" w:hAnsi="Garamond"/>
                <w:color w:val="000000"/>
                <w:sz w:val="20"/>
                <w:szCs w:val="20"/>
              </w:rPr>
            </w:pPr>
            <w:r w:rsidRPr="00B102A2">
              <w:rPr>
                <w:rFonts w:ascii="Garamond" w:hAnsi="Garamond" w:hint="eastAsia"/>
                <w:color w:val="000000"/>
                <w:sz w:val="20"/>
                <w:szCs w:val="20"/>
              </w:rPr>
              <w:t>0.0914</w:t>
            </w:r>
          </w:p>
        </w:tc>
      </w:tr>
      <w:tr w:rsidR="00583BD3" w:rsidRPr="00A4376E" w:rsidTr="000727E8">
        <w:trPr>
          <w:trHeight w:hRule="exact" w:val="255"/>
          <w:jc w:val="center"/>
        </w:trPr>
        <w:tc>
          <w:tcPr>
            <w:tcW w:w="0" w:type="auto"/>
            <w:shd w:val="clear" w:color="auto" w:fill="auto"/>
            <w:noWrap/>
            <w:hideMark/>
          </w:tcPr>
          <w:p w:rsidR="00583BD3" w:rsidRPr="00241541" w:rsidRDefault="00583BD3" w:rsidP="000727E8">
            <w:pPr>
              <w:jc w:val="center"/>
              <w:rPr>
                <w:rFonts w:ascii="Garamond" w:hAnsi="Garamond" w:cs="Calibri"/>
                <w:color w:val="000000"/>
                <w:sz w:val="20"/>
                <w:szCs w:val="20"/>
              </w:rPr>
            </w:pPr>
            <w:r w:rsidRPr="00241541">
              <w:rPr>
                <w:rFonts w:ascii="Garamond" w:hAnsi="Garamond" w:cs="Calibri"/>
                <w:color w:val="000000"/>
                <w:sz w:val="20"/>
                <w:szCs w:val="20"/>
              </w:rPr>
              <w:t>No. of Observation</w:t>
            </w:r>
          </w:p>
        </w:tc>
        <w:tc>
          <w:tcPr>
            <w:tcW w:w="0" w:type="auto"/>
            <w:shd w:val="clear" w:color="auto" w:fill="auto"/>
            <w:noWrap/>
            <w:vAlign w:val="center"/>
            <w:hideMark/>
          </w:tcPr>
          <w:p w:rsidR="00583BD3" w:rsidRPr="00A4376E" w:rsidRDefault="00583BD3" w:rsidP="000727E8">
            <w:pPr>
              <w:jc w:val="center"/>
              <w:rPr>
                <w:rFonts w:ascii="Garamond" w:hAnsi="Garamond" w:cs="Calibri"/>
                <w:color w:val="000000"/>
                <w:sz w:val="20"/>
                <w:szCs w:val="20"/>
              </w:rPr>
            </w:pPr>
            <w:r w:rsidRPr="00A4376E">
              <w:rPr>
                <w:rFonts w:ascii="Garamond" w:hAnsi="Garamond"/>
                <w:color w:val="000000"/>
                <w:sz w:val="20"/>
                <w:szCs w:val="20"/>
              </w:rPr>
              <w:t>2,019</w:t>
            </w:r>
          </w:p>
        </w:tc>
        <w:tc>
          <w:tcPr>
            <w:tcW w:w="0" w:type="auto"/>
            <w:shd w:val="clear" w:color="auto" w:fill="auto"/>
            <w:noWrap/>
            <w:vAlign w:val="center"/>
            <w:hideMark/>
          </w:tcPr>
          <w:p w:rsidR="00583BD3" w:rsidRPr="00A4376E" w:rsidRDefault="00583BD3" w:rsidP="000727E8">
            <w:pPr>
              <w:jc w:val="center"/>
              <w:rPr>
                <w:rFonts w:ascii="Garamond" w:hAnsi="Garamond" w:cs="Calibri"/>
                <w:color w:val="000000"/>
                <w:sz w:val="20"/>
                <w:szCs w:val="20"/>
              </w:rPr>
            </w:pPr>
            <w:r w:rsidRPr="00A4376E">
              <w:rPr>
                <w:rFonts w:ascii="Garamond" w:hAnsi="Garamond"/>
                <w:color w:val="000000"/>
                <w:sz w:val="20"/>
                <w:szCs w:val="20"/>
              </w:rPr>
              <w:t>2,451</w:t>
            </w:r>
          </w:p>
        </w:tc>
        <w:tc>
          <w:tcPr>
            <w:tcW w:w="0" w:type="auto"/>
            <w:shd w:val="clear" w:color="auto" w:fill="auto"/>
            <w:noWrap/>
            <w:vAlign w:val="center"/>
            <w:hideMark/>
          </w:tcPr>
          <w:p w:rsidR="00583BD3" w:rsidRPr="00A4376E" w:rsidRDefault="00583BD3" w:rsidP="000727E8">
            <w:pPr>
              <w:jc w:val="center"/>
              <w:rPr>
                <w:rFonts w:ascii="Garamond" w:hAnsi="Garamond" w:cs="Calibri"/>
                <w:color w:val="000000"/>
                <w:sz w:val="20"/>
                <w:szCs w:val="20"/>
              </w:rPr>
            </w:pPr>
            <w:r w:rsidRPr="00A4376E">
              <w:rPr>
                <w:rFonts w:ascii="Garamond" w:hAnsi="Garamond"/>
                <w:color w:val="000000"/>
                <w:sz w:val="20"/>
                <w:szCs w:val="20"/>
              </w:rPr>
              <w:t>1,829</w:t>
            </w:r>
          </w:p>
        </w:tc>
        <w:tc>
          <w:tcPr>
            <w:tcW w:w="0" w:type="auto"/>
            <w:shd w:val="clear" w:color="auto" w:fill="auto"/>
            <w:noWrap/>
            <w:vAlign w:val="center"/>
            <w:hideMark/>
          </w:tcPr>
          <w:p w:rsidR="00583BD3" w:rsidRPr="00A4376E" w:rsidRDefault="00583BD3" w:rsidP="000727E8">
            <w:pPr>
              <w:jc w:val="center"/>
              <w:rPr>
                <w:rFonts w:ascii="Garamond" w:hAnsi="Garamond" w:cs="Calibri"/>
                <w:color w:val="000000"/>
                <w:sz w:val="20"/>
                <w:szCs w:val="20"/>
              </w:rPr>
            </w:pPr>
            <w:r w:rsidRPr="00A4376E">
              <w:rPr>
                <w:rFonts w:ascii="Garamond" w:hAnsi="Garamond"/>
                <w:color w:val="000000"/>
                <w:sz w:val="20"/>
                <w:szCs w:val="20"/>
              </w:rPr>
              <w:t>1,972</w:t>
            </w:r>
          </w:p>
        </w:tc>
        <w:tc>
          <w:tcPr>
            <w:tcW w:w="0" w:type="auto"/>
            <w:shd w:val="clear" w:color="auto" w:fill="auto"/>
            <w:noWrap/>
            <w:vAlign w:val="center"/>
            <w:hideMark/>
          </w:tcPr>
          <w:p w:rsidR="00583BD3" w:rsidRPr="00A4376E" w:rsidRDefault="00583BD3" w:rsidP="000727E8">
            <w:pPr>
              <w:jc w:val="center"/>
              <w:rPr>
                <w:rFonts w:ascii="Garamond" w:hAnsi="Garamond" w:cs="Calibri"/>
                <w:color w:val="000000"/>
                <w:sz w:val="20"/>
                <w:szCs w:val="20"/>
              </w:rPr>
            </w:pPr>
            <w:r w:rsidRPr="00A4376E">
              <w:rPr>
                <w:rFonts w:ascii="Garamond" w:hAnsi="Garamond"/>
                <w:color w:val="000000"/>
                <w:sz w:val="20"/>
                <w:szCs w:val="20"/>
              </w:rPr>
              <w:t>2,428</w:t>
            </w:r>
          </w:p>
        </w:tc>
        <w:tc>
          <w:tcPr>
            <w:tcW w:w="0" w:type="auto"/>
            <w:shd w:val="clear" w:color="auto" w:fill="auto"/>
            <w:noWrap/>
            <w:vAlign w:val="center"/>
            <w:hideMark/>
          </w:tcPr>
          <w:p w:rsidR="00583BD3" w:rsidRPr="00A4376E" w:rsidRDefault="00583BD3" w:rsidP="000727E8">
            <w:pPr>
              <w:jc w:val="center"/>
              <w:rPr>
                <w:rFonts w:ascii="Garamond" w:hAnsi="Garamond" w:cs="Calibri"/>
                <w:color w:val="000000"/>
                <w:sz w:val="20"/>
                <w:szCs w:val="20"/>
              </w:rPr>
            </w:pPr>
            <w:r w:rsidRPr="00A4376E">
              <w:rPr>
                <w:rFonts w:ascii="Garamond" w:hAnsi="Garamond"/>
                <w:color w:val="000000"/>
                <w:sz w:val="20"/>
                <w:szCs w:val="20"/>
              </w:rPr>
              <w:t>1,899</w:t>
            </w:r>
          </w:p>
        </w:tc>
      </w:tr>
      <w:tr w:rsidR="00583BD3" w:rsidRPr="00A4376E" w:rsidTr="000727E8">
        <w:trPr>
          <w:trHeight w:hRule="exact" w:val="255"/>
          <w:jc w:val="center"/>
        </w:trPr>
        <w:tc>
          <w:tcPr>
            <w:tcW w:w="0" w:type="auto"/>
            <w:shd w:val="clear" w:color="auto" w:fill="auto"/>
            <w:noWrap/>
            <w:hideMark/>
          </w:tcPr>
          <w:p w:rsidR="00583BD3" w:rsidRPr="00241541" w:rsidRDefault="00583BD3" w:rsidP="000727E8">
            <w:pPr>
              <w:jc w:val="center"/>
              <w:rPr>
                <w:rFonts w:ascii="Garamond" w:hAnsi="Garamond" w:cs="Calibri"/>
                <w:color w:val="000000"/>
                <w:sz w:val="20"/>
                <w:szCs w:val="20"/>
              </w:rPr>
            </w:pPr>
            <w:r w:rsidRPr="00241541">
              <w:rPr>
                <w:rFonts w:ascii="Garamond" w:hAnsi="Garamond" w:cs="Calibri"/>
                <w:color w:val="000000"/>
                <w:sz w:val="20"/>
                <w:szCs w:val="20"/>
              </w:rPr>
              <w:t>No. of Female CFOs</w:t>
            </w:r>
          </w:p>
        </w:tc>
        <w:tc>
          <w:tcPr>
            <w:tcW w:w="0" w:type="auto"/>
            <w:shd w:val="clear" w:color="auto" w:fill="auto"/>
            <w:noWrap/>
            <w:vAlign w:val="center"/>
            <w:hideMark/>
          </w:tcPr>
          <w:p w:rsidR="00583BD3" w:rsidRPr="004908F1" w:rsidRDefault="00583BD3" w:rsidP="000727E8">
            <w:pPr>
              <w:jc w:val="center"/>
              <w:rPr>
                <w:rFonts w:ascii="Garamond" w:hAnsi="Garamond"/>
                <w:color w:val="000000"/>
                <w:sz w:val="20"/>
                <w:szCs w:val="20"/>
              </w:rPr>
            </w:pPr>
            <w:r w:rsidRPr="004908F1">
              <w:rPr>
                <w:rFonts w:ascii="Garamond" w:hAnsi="Garamond" w:hint="eastAsia"/>
                <w:color w:val="000000"/>
                <w:sz w:val="20"/>
                <w:szCs w:val="20"/>
              </w:rPr>
              <w:t>107</w:t>
            </w:r>
          </w:p>
        </w:tc>
        <w:tc>
          <w:tcPr>
            <w:tcW w:w="0" w:type="auto"/>
            <w:shd w:val="clear" w:color="auto" w:fill="auto"/>
            <w:noWrap/>
            <w:vAlign w:val="center"/>
            <w:hideMark/>
          </w:tcPr>
          <w:p w:rsidR="00583BD3" w:rsidRPr="004908F1" w:rsidRDefault="00583BD3" w:rsidP="000727E8">
            <w:pPr>
              <w:jc w:val="center"/>
              <w:rPr>
                <w:rFonts w:ascii="Garamond" w:hAnsi="Garamond"/>
                <w:color w:val="000000"/>
                <w:sz w:val="20"/>
                <w:szCs w:val="20"/>
              </w:rPr>
            </w:pPr>
            <w:r w:rsidRPr="004908F1">
              <w:rPr>
                <w:rFonts w:ascii="Garamond" w:hAnsi="Garamond" w:hint="eastAsia"/>
                <w:color w:val="000000"/>
                <w:sz w:val="20"/>
                <w:szCs w:val="20"/>
              </w:rPr>
              <w:t>122</w:t>
            </w:r>
          </w:p>
        </w:tc>
        <w:tc>
          <w:tcPr>
            <w:tcW w:w="0" w:type="auto"/>
            <w:shd w:val="clear" w:color="auto" w:fill="auto"/>
            <w:noWrap/>
            <w:vAlign w:val="center"/>
            <w:hideMark/>
          </w:tcPr>
          <w:p w:rsidR="00583BD3" w:rsidRPr="004908F1" w:rsidRDefault="00583BD3" w:rsidP="000727E8">
            <w:pPr>
              <w:jc w:val="center"/>
              <w:rPr>
                <w:rFonts w:ascii="Garamond" w:hAnsi="Garamond"/>
                <w:color w:val="000000"/>
                <w:sz w:val="20"/>
                <w:szCs w:val="20"/>
              </w:rPr>
            </w:pPr>
            <w:r w:rsidRPr="004908F1">
              <w:rPr>
                <w:rFonts w:ascii="Garamond" w:hAnsi="Garamond" w:hint="eastAsia"/>
                <w:color w:val="000000"/>
                <w:sz w:val="20"/>
                <w:szCs w:val="20"/>
              </w:rPr>
              <w:t>100</w:t>
            </w:r>
          </w:p>
        </w:tc>
        <w:tc>
          <w:tcPr>
            <w:tcW w:w="0" w:type="auto"/>
            <w:shd w:val="clear" w:color="auto" w:fill="auto"/>
            <w:noWrap/>
            <w:vAlign w:val="center"/>
            <w:hideMark/>
          </w:tcPr>
          <w:p w:rsidR="00583BD3" w:rsidRPr="004908F1" w:rsidRDefault="00583BD3" w:rsidP="000727E8">
            <w:pPr>
              <w:jc w:val="center"/>
              <w:rPr>
                <w:rFonts w:ascii="Garamond" w:hAnsi="Garamond"/>
                <w:color w:val="000000"/>
                <w:sz w:val="20"/>
                <w:szCs w:val="20"/>
              </w:rPr>
            </w:pPr>
            <w:r w:rsidRPr="004908F1">
              <w:rPr>
                <w:rFonts w:ascii="Garamond" w:hAnsi="Garamond" w:hint="eastAsia"/>
                <w:color w:val="000000"/>
                <w:sz w:val="20"/>
                <w:szCs w:val="20"/>
              </w:rPr>
              <w:t>97</w:t>
            </w:r>
          </w:p>
        </w:tc>
        <w:tc>
          <w:tcPr>
            <w:tcW w:w="0" w:type="auto"/>
            <w:shd w:val="clear" w:color="auto" w:fill="auto"/>
            <w:noWrap/>
            <w:vAlign w:val="center"/>
            <w:hideMark/>
          </w:tcPr>
          <w:p w:rsidR="00583BD3" w:rsidRPr="004908F1" w:rsidRDefault="00583BD3" w:rsidP="000727E8">
            <w:pPr>
              <w:jc w:val="center"/>
              <w:rPr>
                <w:rFonts w:ascii="Garamond" w:hAnsi="Garamond"/>
                <w:color w:val="000000"/>
                <w:sz w:val="20"/>
                <w:szCs w:val="20"/>
              </w:rPr>
            </w:pPr>
            <w:r w:rsidRPr="004908F1">
              <w:rPr>
                <w:rFonts w:ascii="Garamond" w:hAnsi="Garamond" w:hint="eastAsia"/>
                <w:color w:val="000000"/>
                <w:sz w:val="20"/>
                <w:szCs w:val="20"/>
              </w:rPr>
              <w:t>140</w:t>
            </w:r>
          </w:p>
        </w:tc>
        <w:tc>
          <w:tcPr>
            <w:tcW w:w="0" w:type="auto"/>
            <w:shd w:val="clear" w:color="auto" w:fill="auto"/>
            <w:noWrap/>
            <w:vAlign w:val="center"/>
            <w:hideMark/>
          </w:tcPr>
          <w:p w:rsidR="00583BD3" w:rsidRPr="004908F1" w:rsidRDefault="00583BD3" w:rsidP="000727E8">
            <w:pPr>
              <w:jc w:val="center"/>
              <w:rPr>
                <w:rFonts w:ascii="Garamond" w:hAnsi="Garamond"/>
                <w:color w:val="000000"/>
                <w:sz w:val="20"/>
                <w:szCs w:val="20"/>
              </w:rPr>
            </w:pPr>
            <w:r w:rsidRPr="004908F1">
              <w:rPr>
                <w:rFonts w:ascii="Garamond" w:hAnsi="Garamond" w:hint="eastAsia"/>
                <w:color w:val="000000"/>
                <w:sz w:val="20"/>
                <w:szCs w:val="20"/>
              </w:rPr>
              <w:t>92</w:t>
            </w:r>
          </w:p>
        </w:tc>
      </w:tr>
      <w:tr w:rsidR="00583BD3" w:rsidRPr="00A4376E" w:rsidTr="000727E8">
        <w:trPr>
          <w:trHeight w:hRule="exact" w:val="255"/>
          <w:jc w:val="center"/>
        </w:trPr>
        <w:tc>
          <w:tcPr>
            <w:tcW w:w="0" w:type="auto"/>
            <w:shd w:val="clear" w:color="auto" w:fill="auto"/>
            <w:noWrap/>
            <w:hideMark/>
          </w:tcPr>
          <w:p w:rsidR="00583BD3" w:rsidRPr="00241541" w:rsidRDefault="00583BD3" w:rsidP="000727E8">
            <w:pPr>
              <w:jc w:val="center"/>
              <w:rPr>
                <w:rFonts w:ascii="Garamond" w:hAnsi="Garamond" w:cs="Calibri"/>
                <w:color w:val="000000"/>
                <w:sz w:val="20"/>
                <w:szCs w:val="20"/>
              </w:rPr>
            </w:pPr>
            <w:r w:rsidRPr="00241541">
              <w:rPr>
                <w:rFonts w:ascii="Garamond" w:hAnsi="Garamond" w:cs="Calibri"/>
                <w:color w:val="000000"/>
                <w:sz w:val="20"/>
                <w:szCs w:val="20"/>
              </w:rPr>
              <w:t>Average Leverage</w:t>
            </w:r>
          </w:p>
        </w:tc>
        <w:tc>
          <w:tcPr>
            <w:tcW w:w="0" w:type="auto"/>
            <w:shd w:val="clear" w:color="auto" w:fill="auto"/>
            <w:noWrap/>
            <w:vAlign w:val="center"/>
            <w:hideMark/>
          </w:tcPr>
          <w:p w:rsidR="00583BD3" w:rsidRPr="00A4376E" w:rsidRDefault="00583BD3" w:rsidP="000727E8">
            <w:pPr>
              <w:jc w:val="center"/>
              <w:rPr>
                <w:rFonts w:ascii="Garamond" w:hAnsi="Garamond"/>
                <w:color w:val="000000"/>
                <w:sz w:val="20"/>
                <w:szCs w:val="20"/>
              </w:rPr>
            </w:pPr>
            <w:r w:rsidRPr="006D4377">
              <w:rPr>
                <w:rFonts w:ascii="Garamond" w:hAnsi="Garamond" w:hint="eastAsia"/>
                <w:color w:val="000000"/>
                <w:sz w:val="20"/>
                <w:szCs w:val="20"/>
              </w:rPr>
              <w:t>0.2863</w:t>
            </w:r>
          </w:p>
        </w:tc>
        <w:tc>
          <w:tcPr>
            <w:tcW w:w="0" w:type="auto"/>
            <w:shd w:val="clear" w:color="auto" w:fill="auto"/>
            <w:noWrap/>
            <w:vAlign w:val="center"/>
            <w:hideMark/>
          </w:tcPr>
          <w:p w:rsidR="00583BD3" w:rsidRPr="00A4376E" w:rsidRDefault="00583BD3" w:rsidP="000727E8">
            <w:pPr>
              <w:jc w:val="center"/>
              <w:rPr>
                <w:rFonts w:ascii="Garamond" w:hAnsi="Garamond"/>
                <w:color w:val="000000"/>
                <w:sz w:val="20"/>
                <w:szCs w:val="20"/>
              </w:rPr>
            </w:pPr>
            <w:r w:rsidRPr="006D4377">
              <w:rPr>
                <w:rFonts w:ascii="Garamond" w:hAnsi="Garamond" w:hint="eastAsia"/>
                <w:color w:val="000000"/>
                <w:sz w:val="20"/>
                <w:szCs w:val="20"/>
              </w:rPr>
              <w:t>0.2472</w:t>
            </w:r>
          </w:p>
        </w:tc>
        <w:tc>
          <w:tcPr>
            <w:tcW w:w="0" w:type="auto"/>
            <w:shd w:val="clear" w:color="auto" w:fill="auto"/>
            <w:noWrap/>
            <w:vAlign w:val="center"/>
            <w:hideMark/>
          </w:tcPr>
          <w:p w:rsidR="00583BD3" w:rsidRPr="00A4376E" w:rsidRDefault="00583BD3" w:rsidP="000727E8">
            <w:pPr>
              <w:jc w:val="center"/>
              <w:rPr>
                <w:rFonts w:ascii="Garamond" w:hAnsi="Garamond"/>
                <w:color w:val="000000"/>
                <w:sz w:val="20"/>
                <w:szCs w:val="20"/>
              </w:rPr>
            </w:pPr>
            <w:r w:rsidRPr="006D4377">
              <w:rPr>
                <w:rFonts w:ascii="Garamond" w:hAnsi="Garamond" w:hint="eastAsia"/>
                <w:color w:val="000000"/>
                <w:sz w:val="20"/>
                <w:szCs w:val="20"/>
              </w:rPr>
              <w:t>0.2764</w:t>
            </w:r>
          </w:p>
        </w:tc>
        <w:tc>
          <w:tcPr>
            <w:tcW w:w="0" w:type="auto"/>
            <w:shd w:val="clear" w:color="auto" w:fill="auto"/>
            <w:noWrap/>
            <w:vAlign w:val="center"/>
            <w:hideMark/>
          </w:tcPr>
          <w:p w:rsidR="00583BD3" w:rsidRPr="00A4376E" w:rsidRDefault="00583BD3" w:rsidP="000727E8">
            <w:pPr>
              <w:jc w:val="center"/>
              <w:rPr>
                <w:rFonts w:ascii="Garamond" w:hAnsi="Garamond"/>
                <w:color w:val="000000"/>
                <w:sz w:val="20"/>
                <w:szCs w:val="20"/>
              </w:rPr>
            </w:pPr>
            <w:r w:rsidRPr="006D4377">
              <w:rPr>
                <w:rFonts w:ascii="Garamond" w:hAnsi="Garamond" w:hint="eastAsia"/>
                <w:color w:val="000000"/>
                <w:sz w:val="20"/>
                <w:szCs w:val="20"/>
              </w:rPr>
              <w:t>0.2946</w:t>
            </w:r>
          </w:p>
        </w:tc>
        <w:tc>
          <w:tcPr>
            <w:tcW w:w="0" w:type="auto"/>
            <w:shd w:val="clear" w:color="auto" w:fill="auto"/>
            <w:noWrap/>
            <w:vAlign w:val="center"/>
            <w:hideMark/>
          </w:tcPr>
          <w:p w:rsidR="00583BD3" w:rsidRPr="00A4376E" w:rsidRDefault="00583BD3" w:rsidP="000727E8">
            <w:pPr>
              <w:jc w:val="center"/>
              <w:rPr>
                <w:rFonts w:ascii="Garamond" w:hAnsi="Garamond"/>
                <w:color w:val="000000"/>
                <w:sz w:val="20"/>
                <w:szCs w:val="20"/>
              </w:rPr>
            </w:pPr>
            <w:r w:rsidRPr="006D4377">
              <w:rPr>
                <w:rFonts w:ascii="Garamond" w:hAnsi="Garamond" w:hint="eastAsia"/>
                <w:color w:val="000000"/>
                <w:sz w:val="20"/>
                <w:szCs w:val="20"/>
              </w:rPr>
              <w:t>0.2363</w:t>
            </w:r>
          </w:p>
        </w:tc>
        <w:tc>
          <w:tcPr>
            <w:tcW w:w="0" w:type="auto"/>
            <w:shd w:val="clear" w:color="auto" w:fill="auto"/>
            <w:noWrap/>
            <w:vAlign w:val="center"/>
            <w:hideMark/>
          </w:tcPr>
          <w:p w:rsidR="00583BD3" w:rsidRPr="00A4376E" w:rsidRDefault="00583BD3" w:rsidP="000727E8">
            <w:pPr>
              <w:jc w:val="center"/>
              <w:rPr>
                <w:rFonts w:ascii="Garamond" w:hAnsi="Garamond"/>
                <w:color w:val="000000"/>
                <w:sz w:val="20"/>
                <w:szCs w:val="20"/>
              </w:rPr>
            </w:pPr>
            <w:r w:rsidRPr="006D4377">
              <w:rPr>
                <w:rFonts w:ascii="Garamond" w:hAnsi="Garamond" w:hint="eastAsia"/>
                <w:color w:val="000000"/>
                <w:sz w:val="20"/>
                <w:szCs w:val="20"/>
              </w:rPr>
              <w:t>0.2827</w:t>
            </w:r>
          </w:p>
        </w:tc>
      </w:tr>
    </w:tbl>
    <w:p w:rsidR="00583BD3" w:rsidRDefault="00583BD3" w:rsidP="00583BD3">
      <w:pPr>
        <w:jc w:val="both"/>
      </w:pPr>
    </w:p>
    <w:p w:rsidR="00583BD3" w:rsidRDefault="00583BD3" w:rsidP="00583BD3">
      <w:pPr>
        <w:jc w:val="both"/>
        <w:rPr>
          <w:rFonts w:ascii="Garamond" w:hAnsi="Garamond"/>
          <w:b/>
          <w:bCs/>
          <w:sz w:val="20"/>
          <w:szCs w:val="20"/>
        </w:rPr>
      </w:pPr>
    </w:p>
    <w:p w:rsidR="00583BD3" w:rsidRDefault="00583BD3" w:rsidP="00583BD3">
      <w:pPr>
        <w:jc w:val="both"/>
        <w:rPr>
          <w:rFonts w:ascii="Garamond" w:hAnsi="Garamond"/>
          <w:b/>
          <w:bCs/>
          <w:sz w:val="20"/>
          <w:szCs w:val="20"/>
        </w:rPr>
      </w:pPr>
    </w:p>
    <w:p w:rsidR="00583BD3" w:rsidRDefault="00583BD3" w:rsidP="00583BD3">
      <w:pPr>
        <w:jc w:val="both"/>
        <w:rPr>
          <w:rFonts w:ascii="Garamond" w:hAnsi="Garamond"/>
          <w:b/>
          <w:bCs/>
          <w:sz w:val="20"/>
          <w:szCs w:val="20"/>
        </w:rPr>
      </w:pPr>
    </w:p>
    <w:p w:rsidR="00583BD3" w:rsidRDefault="00583BD3" w:rsidP="00583BD3">
      <w:pPr>
        <w:jc w:val="both"/>
        <w:rPr>
          <w:rFonts w:ascii="Garamond" w:hAnsi="Garamond"/>
          <w:b/>
          <w:bCs/>
          <w:sz w:val="20"/>
          <w:szCs w:val="20"/>
        </w:rPr>
      </w:pPr>
    </w:p>
    <w:p w:rsidR="00583BD3" w:rsidRDefault="00583BD3" w:rsidP="00583BD3">
      <w:pPr>
        <w:jc w:val="both"/>
        <w:rPr>
          <w:rFonts w:ascii="Garamond" w:hAnsi="Garamond"/>
          <w:b/>
          <w:bCs/>
          <w:sz w:val="20"/>
          <w:szCs w:val="20"/>
        </w:rPr>
      </w:pPr>
    </w:p>
    <w:p w:rsidR="00583BD3" w:rsidRDefault="00583BD3" w:rsidP="00583BD3">
      <w:pPr>
        <w:jc w:val="both"/>
        <w:rPr>
          <w:rFonts w:ascii="Garamond" w:hAnsi="Garamond"/>
          <w:b/>
          <w:bCs/>
          <w:sz w:val="20"/>
          <w:szCs w:val="20"/>
        </w:rPr>
      </w:pPr>
    </w:p>
    <w:p w:rsidR="00583BD3" w:rsidRDefault="00583BD3" w:rsidP="00583BD3">
      <w:pPr>
        <w:jc w:val="both"/>
        <w:rPr>
          <w:rFonts w:ascii="Garamond" w:hAnsi="Garamond"/>
          <w:b/>
          <w:bCs/>
          <w:sz w:val="20"/>
          <w:szCs w:val="20"/>
        </w:rPr>
      </w:pPr>
    </w:p>
    <w:p w:rsidR="00583BD3" w:rsidRDefault="00583BD3" w:rsidP="00583BD3">
      <w:pPr>
        <w:jc w:val="both"/>
        <w:rPr>
          <w:rFonts w:ascii="Garamond" w:hAnsi="Garamond"/>
          <w:b/>
          <w:bCs/>
          <w:sz w:val="20"/>
          <w:szCs w:val="20"/>
        </w:rPr>
      </w:pPr>
    </w:p>
    <w:p w:rsidR="00583BD3" w:rsidRDefault="00583BD3" w:rsidP="00583BD3">
      <w:pPr>
        <w:jc w:val="both"/>
        <w:rPr>
          <w:rFonts w:ascii="Garamond" w:hAnsi="Garamond"/>
          <w:b/>
          <w:bCs/>
          <w:sz w:val="20"/>
          <w:szCs w:val="20"/>
        </w:rPr>
      </w:pPr>
    </w:p>
    <w:p w:rsidR="00583BD3" w:rsidRDefault="00583BD3" w:rsidP="00583BD3">
      <w:pPr>
        <w:jc w:val="both"/>
        <w:rPr>
          <w:rFonts w:ascii="Garamond" w:hAnsi="Garamond"/>
          <w:b/>
          <w:bCs/>
          <w:sz w:val="20"/>
          <w:szCs w:val="20"/>
        </w:rPr>
      </w:pPr>
    </w:p>
    <w:p w:rsidR="00583BD3" w:rsidRPr="00B76F48" w:rsidRDefault="00583BD3" w:rsidP="00583BD3">
      <w:pPr>
        <w:jc w:val="both"/>
        <w:rPr>
          <w:rFonts w:ascii="Garamond" w:hAnsi="Garamond"/>
          <w:b/>
          <w:bCs/>
          <w:sz w:val="20"/>
          <w:szCs w:val="20"/>
        </w:rPr>
      </w:pPr>
      <w:r w:rsidRPr="00B76F48">
        <w:rPr>
          <w:rFonts w:ascii="Garamond" w:hAnsi="Garamond"/>
          <w:b/>
          <w:bCs/>
          <w:sz w:val="20"/>
          <w:szCs w:val="20"/>
        </w:rPr>
        <w:lastRenderedPageBreak/>
        <w:t xml:space="preserve">Table 6 – </w:t>
      </w:r>
      <w:r w:rsidRPr="00B76F48">
        <w:rPr>
          <w:rFonts w:ascii="Garamond" w:hAnsi="Garamond"/>
          <w:b/>
          <w:bCs/>
          <w:i/>
          <w:iCs/>
          <w:sz w:val="20"/>
          <w:szCs w:val="20"/>
        </w:rPr>
        <w:t>continued</w:t>
      </w:r>
    </w:p>
    <w:p w:rsidR="00583BD3" w:rsidRDefault="00583BD3" w:rsidP="00583BD3">
      <w:pPr>
        <w:jc w:val="both"/>
      </w:pPr>
    </w:p>
    <w:tbl>
      <w:tblPr>
        <w:tblW w:w="0" w:type="auto"/>
        <w:tblBorders>
          <w:top w:val="single" w:sz="4" w:space="0" w:color="auto"/>
          <w:bottom w:val="single" w:sz="4" w:space="0" w:color="auto"/>
        </w:tblBorders>
        <w:tblLook w:val="04A0"/>
      </w:tblPr>
      <w:tblGrid>
        <w:gridCol w:w="2383"/>
        <w:gridCol w:w="1056"/>
        <w:gridCol w:w="1166"/>
        <w:gridCol w:w="1048"/>
        <w:gridCol w:w="1048"/>
        <w:gridCol w:w="1048"/>
        <w:gridCol w:w="985"/>
      </w:tblGrid>
      <w:tr w:rsidR="00583BD3" w:rsidRPr="00AD7E96" w:rsidTr="000727E8">
        <w:trPr>
          <w:trHeight w:hRule="exact" w:val="255"/>
        </w:trPr>
        <w:tc>
          <w:tcPr>
            <w:tcW w:w="0" w:type="auto"/>
            <w:tcBorders>
              <w:top w:val="single" w:sz="4" w:space="0" w:color="auto"/>
              <w:bottom w:val="single" w:sz="4" w:space="0" w:color="auto"/>
            </w:tcBorders>
            <w:shd w:val="clear" w:color="auto" w:fill="auto"/>
            <w:noWrap/>
          </w:tcPr>
          <w:p w:rsidR="00583BD3" w:rsidRPr="00AD7E96" w:rsidRDefault="00583BD3" w:rsidP="000727E8">
            <w:pPr>
              <w:jc w:val="center"/>
              <w:rPr>
                <w:rFonts w:ascii="Garamond" w:hAnsi="Garamond"/>
                <w:color w:val="000000" w:themeColor="text1"/>
                <w:sz w:val="20"/>
                <w:szCs w:val="20"/>
              </w:rPr>
            </w:pPr>
            <w:r>
              <w:rPr>
                <w:rFonts w:ascii="Garamond" w:hAnsi="Garamond"/>
                <w:color w:val="000000" w:themeColor="text1"/>
                <w:sz w:val="20"/>
                <w:szCs w:val="20"/>
              </w:rPr>
              <w:t>Panel B</w:t>
            </w:r>
          </w:p>
        </w:tc>
        <w:tc>
          <w:tcPr>
            <w:tcW w:w="0" w:type="auto"/>
            <w:gridSpan w:val="3"/>
            <w:tcBorders>
              <w:top w:val="single" w:sz="4" w:space="0" w:color="auto"/>
              <w:bottom w:val="single" w:sz="4" w:space="0" w:color="auto"/>
            </w:tcBorders>
            <w:shd w:val="clear" w:color="auto" w:fill="auto"/>
            <w:noWrap/>
          </w:tcPr>
          <w:p w:rsidR="00583BD3" w:rsidRPr="00AD7E96" w:rsidRDefault="00583BD3" w:rsidP="000727E8">
            <w:pPr>
              <w:jc w:val="center"/>
              <w:rPr>
                <w:rFonts w:ascii="Garamond" w:hAnsi="Garamond" w:cs="Calibri"/>
                <w:color w:val="000000" w:themeColor="text1"/>
                <w:sz w:val="20"/>
                <w:szCs w:val="20"/>
              </w:rPr>
            </w:pPr>
            <w:r>
              <w:rPr>
                <w:rFonts w:ascii="Garamond" w:hAnsi="Garamond" w:cs="Calibri"/>
                <w:color w:val="000000" w:themeColor="text1"/>
                <w:sz w:val="20"/>
                <w:szCs w:val="20"/>
              </w:rPr>
              <w:t>Board Age Diversity</w:t>
            </w:r>
          </w:p>
        </w:tc>
        <w:tc>
          <w:tcPr>
            <w:tcW w:w="0" w:type="auto"/>
            <w:gridSpan w:val="3"/>
            <w:tcBorders>
              <w:top w:val="single" w:sz="4" w:space="0" w:color="auto"/>
              <w:bottom w:val="single" w:sz="4" w:space="0" w:color="auto"/>
            </w:tcBorders>
            <w:shd w:val="clear" w:color="auto" w:fill="auto"/>
            <w:noWrap/>
          </w:tcPr>
          <w:p w:rsidR="00583BD3" w:rsidRPr="00AD7E96" w:rsidRDefault="00583BD3" w:rsidP="000727E8">
            <w:pPr>
              <w:jc w:val="center"/>
              <w:rPr>
                <w:rFonts w:ascii="Garamond" w:hAnsi="Garamond" w:cs="Calibri"/>
                <w:color w:val="000000" w:themeColor="text1"/>
                <w:sz w:val="20"/>
                <w:szCs w:val="20"/>
              </w:rPr>
            </w:pPr>
            <w:r>
              <w:rPr>
                <w:rFonts w:ascii="Garamond" w:hAnsi="Garamond" w:cs="Calibri"/>
                <w:color w:val="000000" w:themeColor="text1"/>
                <w:sz w:val="20"/>
                <w:szCs w:val="20"/>
              </w:rPr>
              <w:t>Board Aggregate Diversity</w:t>
            </w:r>
          </w:p>
        </w:tc>
      </w:tr>
      <w:tr w:rsidR="00583BD3" w:rsidRPr="00AD7E96" w:rsidTr="000727E8">
        <w:trPr>
          <w:trHeight w:hRule="exact" w:val="255"/>
        </w:trPr>
        <w:tc>
          <w:tcPr>
            <w:tcW w:w="0" w:type="auto"/>
            <w:tcBorders>
              <w:top w:val="single" w:sz="4" w:space="0" w:color="auto"/>
            </w:tcBorders>
            <w:shd w:val="clear" w:color="auto" w:fill="auto"/>
            <w:noWrap/>
            <w:hideMark/>
          </w:tcPr>
          <w:p w:rsidR="00583BD3" w:rsidRPr="00AD7E96" w:rsidRDefault="00583BD3" w:rsidP="000727E8">
            <w:pPr>
              <w:jc w:val="center"/>
              <w:rPr>
                <w:rFonts w:ascii="Garamond" w:hAnsi="Garamond"/>
                <w:color w:val="000000" w:themeColor="text1"/>
                <w:sz w:val="20"/>
                <w:szCs w:val="20"/>
              </w:rPr>
            </w:pPr>
          </w:p>
        </w:tc>
        <w:tc>
          <w:tcPr>
            <w:tcW w:w="0" w:type="auto"/>
            <w:tcBorders>
              <w:top w:val="single" w:sz="4" w:space="0" w:color="auto"/>
            </w:tcBorders>
            <w:shd w:val="clear" w:color="auto" w:fill="auto"/>
            <w:noWrap/>
            <w:hideMark/>
          </w:tcPr>
          <w:p w:rsidR="00583BD3" w:rsidRPr="00AD7E96" w:rsidRDefault="00583BD3" w:rsidP="000727E8">
            <w:pPr>
              <w:jc w:val="center"/>
              <w:rPr>
                <w:rFonts w:ascii="Garamond" w:hAnsi="Garamond" w:cs="Calibri"/>
                <w:color w:val="000000" w:themeColor="text1"/>
                <w:sz w:val="20"/>
                <w:szCs w:val="20"/>
              </w:rPr>
            </w:pPr>
            <w:r w:rsidRPr="00AD7E96">
              <w:rPr>
                <w:rFonts w:ascii="Garamond" w:hAnsi="Garamond" w:cs="Calibri"/>
                <w:color w:val="000000" w:themeColor="text1"/>
                <w:sz w:val="20"/>
                <w:szCs w:val="20"/>
              </w:rPr>
              <w:t>Low</w:t>
            </w:r>
          </w:p>
        </w:tc>
        <w:tc>
          <w:tcPr>
            <w:tcW w:w="0" w:type="auto"/>
            <w:tcBorders>
              <w:top w:val="single" w:sz="4" w:space="0" w:color="auto"/>
            </w:tcBorders>
            <w:shd w:val="clear" w:color="auto" w:fill="auto"/>
            <w:noWrap/>
            <w:hideMark/>
          </w:tcPr>
          <w:p w:rsidR="00583BD3" w:rsidRPr="00AD7E96" w:rsidRDefault="00583BD3" w:rsidP="000727E8">
            <w:pPr>
              <w:jc w:val="center"/>
              <w:rPr>
                <w:rFonts w:ascii="Garamond" w:hAnsi="Garamond" w:cs="Calibri"/>
                <w:color w:val="000000" w:themeColor="text1"/>
                <w:sz w:val="20"/>
                <w:szCs w:val="20"/>
              </w:rPr>
            </w:pPr>
            <w:r w:rsidRPr="00AD7E96">
              <w:rPr>
                <w:rFonts w:ascii="Garamond" w:hAnsi="Garamond" w:cs="Calibri"/>
                <w:color w:val="000000" w:themeColor="text1"/>
                <w:sz w:val="20"/>
                <w:szCs w:val="20"/>
              </w:rPr>
              <w:t>Middle</w:t>
            </w:r>
          </w:p>
        </w:tc>
        <w:tc>
          <w:tcPr>
            <w:tcW w:w="0" w:type="auto"/>
            <w:tcBorders>
              <w:top w:val="single" w:sz="4" w:space="0" w:color="auto"/>
            </w:tcBorders>
            <w:shd w:val="clear" w:color="auto" w:fill="auto"/>
            <w:noWrap/>
            <w:hideMark/>
          </w:tcPr>
          <w:p w:rsidR="00583BD3" w:rsidRPr="00AD7E96" w:rsidRDefault="00583BD3" w:rsidP="000727E8">
            <w:pPr>
              <w:jc w:val="center"/>
              <w:rPr>
                <w:rFonts w:ascii="Garamond" w:hAnsi="Garamond" w:cs="Calibri"/>
                <w:color w:val="000000" w:themeColor="text1"/>
                <w:sz w:val="20"/>
                <w:szCs w:val="20"/>
              </w:rPr>
            </w:pPr>
            <w:r w:rsidRPr="00AD7E96">
              <w:rPr>
                <w:rFonts w:ascii="Garamond" w:hAnsi="Garamond" w:cs="Calibri"/>
                <w:color w:val="000000" w:themeColor="text1"/>
                <w:sz w:val="20"/>
                <w:szCs w:val="20"/>
              </w:rPr>
              <w:t>High</w:t>
            </w:r>
          </w:p>
        </w:tc>
        <w:tc>
          <w:tcPr>
            <w:tcW w:w="0" w:type="auto"/>
            <w:tcBorders>
              <w:top w:val="single" w:sz="4" w:space="0" w:color="auto"/>
            </w:tcBorders>
            <w:shd w:val="clear" w:color="auto" w:fill="auto"/>
            <w:noWrap/>
            <w:hideMark/>
          </w:tcPr>
          <w:p w:rsidR="00583BD3" w:rsidRPr="00AD7E96" w:rsidRDefault="00583BD3" w:rsidP="000727E8">
            <w:pPr>
              <w:jc w:val="center"/>
              <w:rPr>
                <w:rFonts w:ascii="Garamond" w:hAnsi="Garamond" w:cs="Calibri"/>
                <w:color w:val="000000" w:themeColor="text1"/>
                <w:sz w:val="20"/>
                <w:szCs w:val="20"/>
              </w:rPr>
            </w:pPr>
            <w:r w:rsidRPr="00AD7E96">
              <w:rPr>
                <w:rFonts w:ascii="Garamond" w:hAnsi="Garamond" w:cs="Calibri"/>
                <w:color w:val="000000" w:themeColor="text1"/>
                <w:sz w:val="20"/>
                <w:szCs w:val="20"/>
              </w:rPr>
              <w:t>Low</w:t>
            </w:r>
          </w:p>
        </w:tc>
        <w:tc>
          <w:tcPr>
            <w:tcW w:w="0" w:type="auto"/>
            <w:tcBorders>
              <w:top w:val="single" w:sz="4" w:space="0" w:color="auto"/>
            </w:tcBorders>
            <w:shd w:val="clear" w:color="auto" w:fill="auto"/>
            <w:noWrap/>
            <w:hideMark/>
          </w:tcPr>
          <w:p w:rsidR="00583BD3" w:rsidRPr="00AD7E96" w:rsidRDefault="00583BD3" w:rsidP="000727E8">
            <w:pPr>
              <w:jc w:val="center"/>
              <w:rPr>
                <w:rFonts w:ascii="Garamond" w:hAnsi="Garamond" w:cs="Calibri"/>
                <w:color w:val="000000" w:themeColor="text1"/>
                <w:sz w:val="20"/>
                <w:szCs w:val="20"/>
              </w:rPr>
            </w:pPr>
            <w:r w:rsidRPr="00AD7E96">
              <w:rPr>
                <w:rFonts w:ascii="Garamond" w:hAnsi="Garamond" w:cs="Calibri"/>
                <w:color w:val="000000" w:themeColor="text1"/>
                <w:sz w:val="20"/>
                <w:szCs w:val="20"/>
              </w:rPr>
              <w:t>Middle</w:t>
            </w:r>
          </w:p>
        </w:tc>
        <w:tc>
          <w:tcPr>
            <w:tcW w:w="0" w:type="auto"/>
            <w:tcBorders>
              <w:top w:val="single" w:sz="4" w:space="0" w:color="auto"/>
            </w:tcBorders>
            <w:shd w:val="clear" w:color="auto" w:fill="auto"/>
            <w:noWrap/>
            <w:hideMark/>
          </w:tcPr>
          <w:p w:rsidR="00583BD3" w:rsidRPr="00AD7E96" w:rsidRDefault="00583BD3" w:rsidP="000727E8">
            <w:pPr>
              <w:jc w:val="center"/>
              <w:rPr>
                <w:rFonts w:ascii="Garamond" w:hAnsi="Garamond" w:cs="Calibri"/>
                <w:color w:val="000000" w:themeColor="text1"/>
                <w:sz w:val="20"/>
                <w:szCs w:val="20"/>
              </w:rPr>
            </w:pPr>
            <w:r w:rsidRPr="00AD7E96">
              <w:rPr>
                <w:rFonts w:ascii="Garamond" w:hAnsi="Garamond" w:cs="Calibri"/>
                <w:color w:val="000000" w:themeColor="text1"/>
                <w:sz w:val="20"/>
                <w:szCs w:val="20"/>
              </w:rPr>
              <w:t>High</w:t>
            </w:r>
          </w:p>
        </w:tc>
      </w:tr>
      <w:tr w:rsidR="00583BD3" w:rsidRPr="00453EFD" w:rsidTr="000727E8">
        <w:trPr>
          <w:trHeight w:hRule="exact" w:val="255"/>
        </w:trPr>
        <w:tc>
          <w:tcPr>
            <w:tcW w:w="0" w:type="auto"/>
            <w:shd w:val="clear" w:color="auto" w:fill="auto"/>
            <w:noWrap/>
            <w:hideMark/>
          </w:tcPr>
          <w:p w:rsidR="00583BD3" w:rsidRPr="0062470B" w:rsidRDefault="00583BD3" w:rsidP="000727E8">
            <w:pPr>
              <w:jc w:val="center"/>
              <w:rPr>
                <w:rFonts w:ascii="Garamond" w:hAnsi="Garamond" w:cs="Calibri"/>
                <w:color w:val="FF0000"/>
                <w:sz w:val="18"/>
                <w:szCs w:val="18"/>
                <w:vertAlign w:val="subscript"/>
              </w:rPr>
            </w:pPr>
            <w:r w:rsidRPr="00D14B9E">
              <w:rPr>
                <w:rFonts w:ascii="Garamond" w:hAnsi="Garamond" w:cs="Calibri"/>
                <w:color w:val="000000"/>
                <w:sz w:val="18"/>
                <w:szCs w:val="18"/>
              </w:rPr>
              <w:t>CFO Female Dummy</w:t>
            </w:r>
            <w:r w:rsidRPr="0062470B">
              <w:rPr>
                <w:rFonts w:ascii="Garamond" w:hAnsi="Garamond" w:cs="Calibri"/>
                <w:color w:val="000000"/>
                <w:sz w:val="18"/>
                <w:szCs w:val="18"/>
                <w:vertAlign w:val="subscript"/>
              </w:rPr>
              <w:t>t-1</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-0.0152</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-0.0756**</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-0.0200</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0.0384</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-0.0375</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-0.0558**</w:t>
            </w:r>
          </w:p>
        </w:tc>
      </w:tr>
      <w:tr w:rsidR="00583BD3" w:rsidRPr="00453EFD" w:rsidTr="000727E8">
        <w:trPr>
          <w:trHeight w:hRule="exact" w:val="255"/>
        </w:trPr>
        <w:tc>
          <w:tcPr>
            <w:tcW w:w="0" w:type="auto"/>
            <w:shd w:val="clear" w:color="auto" w:fill="auto"/>
            <w:noWrap/>
            <w:hideMark/>
          </w:tcPr>
          <w:p w:rsidR="00583BD3" w:rsidRPr="00D14B9E" w:rsidRDefault="00583BD3" w:rsidP="000727E8">
            <w:pPr>
              <w:jc w:val="center"/>
              <w:rPr>
                <w:rFonts w:ascii="Garamond" w:hAnsi="Garamond" w:cs="Calibri"/>
                <w:color w:val="000000"/>
                <w:sz w:val="18"/>
                <w:szCs w:val="18"/>
              </w:rPr>
            </w:pP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(-0.78)</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(-2.30)</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(-0.74)</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(1.04)</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(-1.51)</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(-2.08)</w:t>
            </w:r>
          </w:p>
        </w:tc>
      </w:tr>
      <w:tr w:rsidR="00583BD3" w:rsidRPr="00453EFD" w:rsidTr="000727E8">
        <w:trPr>
          <w:trHeight w:hRule="exact" w:val="255"/>
        </w:trPr>
        <w:tc>
          <w:tcPr>
            <w:tcW w:w="0" w:type="auto"/>
            <w:shd w:val="clear" w:color="auto" w:fill="auto"/>
            <w:noWrap/>
            <w:hideMark/>
          </w:tcPr>
          <w:p w:rsidR="00583BD3" w:rsidRPr="00D14B9E" w:rsidRDefault="00583BD3" w:rsidP="000727E8">
            <w:pPr>
              <w:jc w:val="center"/>
              <w:rPr>
                <w:rFonts w:ascii="Garamond" w:hAnsi="Garamond" w:cs="Calibri"/>
                <w:color w:val="000000"/>
                <w:sz w:val="18"/>
                <w:szCs w:val="18"/>
              </w:rPr>
            </w:pPr>
            <w:proofErr w:type="spellStart"/>
            <w:r w:rsidRPr="00D14B9E">
              <w:rPr>
                <w:rFonts w:ascii="Garamond" w:hAnsi="Garamond" w:cs="Calibri"/>
                <w:color w:val="000000"/>
                <w:sz w:val="18"/>
                <w:szCs w:val="18"/>
              </w:rPr>
              <w:t>Ln</w:t>
            </w:r>
            <w:proofErr w:type="spellEnd"/>
            <w:r w:rsidRPr="00D14B9E">
              <w:rPr>
                <w:rFonts w:ascii="Garamond" w:hAnsi="Garamond" w:cs="Calibri"/>
                <w:color w:val="000000"/>
                <w:sz w:val="18"/>
                <w:szCs w:val="18"/>
              </w:rPr>
              <w:t>(number of directors)</w:t>
            </w:r>
            <w:r>
              <w:rPr>
                <w:rFonts w:ascii="Garamond" w:hAnsi="Garamond" w:cs="Calibri"/>
                <w:color w:val="000000"/>
                <w:sz w:val="18"/>
                <w:szCs w:val="18"/>
                <w:vertAlign w:val="subscript"/>
              </w:rPr>
              <w:t>t-1</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0.0138</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0.0390</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-0.0225</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0.0415</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0.0344</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0.0484</w:t>
            </w:r>
          </w:p>
        </w:tc>
      </w:tr>
      <w:tr w:rsidR="00583BD3" w:rsidRPr="00453EFD" w:rsidTr="000727E8">
        <w:trPr>
          <w:trHeight w:hRule="exact" w:val="255"/>
        </w:trPr>
        <w:tc>
          <w:tcPr>
            <w:tcW w:w="0" w:type="auto"/>
            <w:shd w:val="clear" w:color="auto" w:fill="auto"/>
            <w:noWrap/>
            <w:hideMark/>
          </w:tcPr>
          <w:p w:rsidR="00583BD3" w:rsidRPr="00D14B9E" w:rsidRDefault="00583BD3" w:rsidP="000727E8">
            <w:pPr>
              <w:jc w:val="center"/>
              <w:rPr>
                <w:rFonts w:ascii="Garamond" w:hAnsi="Garamond" w:cs="Calibri"/>
                <w:color w:val="000000"/>
                <w:sz w:val="18"/>
                <w:szCs w:val="18"/>
              </w:rPr>
            </w:pP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(0.53)</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(1.47)</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(-0.66)</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(1.37)</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(1.19)</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(1.26)</w:t>
            </w:r>
          </w:p>
        </w:tc>
      </w:tr>
      <w:tr w:rsidR="00583BD3" w:rsidRPr="00453EFD" w:rsidTr="000727E8">
        <w:trPr>
          <w:trHeight w:hRule="exact" w:val="255"/>
        </w:trPr>
        <w:tc>
          <w:tcPr>
            <w:tcW w:w="0" w:type="auto"/>
            <w:shd w:val="clear" w:color="auto" w:fill="auto"/>
            <w:noWrap/>
            <w:hideMark/>
          </w:tcPr>
          <w:p w:rsidR="00583BD3" w:rsidRPr="00D14B9E" w:rsidRDefault="00583BD3" w:rsidP="000727E8">
            <w:pPr>
              <w:jc w:val="center"/>
              <w:rPr>
                <w:rFonts w:ascii="Garamond" w:hAnsi="Garamond" w:cs="Calibri"/>
                <w:color w:val="000000"/>
                <w:sz w:val="18"/>
                <w:szCs w:val="18"/>
              </w:rPr>
            </w:pPr>
            <w:r w:rsidRPr="00D14B9E">
              <w:rPr>
                <w:rFonts w:ascii="Garamond" w:hAnsi="Garamond" w:cs="Calibri"/>
                <w:color w:val="000000"/>
                <w:sz w:val="18"/>
                <w:szCs w:val="18"/>
              </w:rPr>
              <w:t>Board independence</w:t>
            </w:r>
            <w:r>
              <w:rPr>
                <w:rFonts w:ascii="Garamond" w:hAnsi="Garamond" w:cs="Calibri"/>
                <w:color w:val="000000"/>
                <w:sz w:val="18"/>
                <w:szCs w:val="18"/>
                <w:vertAlign w:val="subscript"/>
              </w:rPr>
              <w:t>t-1</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0.0510</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-0.0516</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0.0453</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0.0437</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-0.0152</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0.0184</w:t>
            </w:r>
          </w:p>
        </w:tc>
      </w:tr>
      <w:tr w:rsidR="00583BD3" w:rsidRPr="00453EFD" w:rsidTr="000727E8">
        <w:trPr>
          <w:trHeight w:hRule="exact" w:val="255"/>
        </w:trPr>
        <w:tc>
          <w:tcPr>
            <w:tcW w:w="0" w:type="auto"/>
            <w:shd w:val="clear" w:color="auto" w:fill="auto"/>
            <w:noWrap/>
            <w:hideMark/>
          </w:tcPr>
          <w:p w:rsidR="00583BD3" w:rsidRPr="00D14B9E" w:rsidRDefault="00583BD3" w:rsidP="000727E8">
            <w:pPr>
              <w:jc w:val="center"/>
              <w:rPr>
                <w:rFonts w:ascii="Garamond" w:hAnsi="Garamond" w:cs="Calibri"/>
                <w:color w:val="000000"/>
                <w:sz w:val="18"/>
                <w:szCs w:val="18"/>
              </w:rPr>
            </w:pP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(0.93)</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(-1.27)</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(0.97)</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(0.79)</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(-0.35)</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(0.36)</w:t>
            </w:r>
          </w:p>
        </w:tc>
      </w:tr>
      <w:tr w:rsidR="00583BD3" w:rsidRPr="00453EFD" w:rsidTr="000727E8">
        <w:trPr>
          <w:trHeight w:hRule="exact" w:val="255"/>
        </w:trPr>
        <w:tc>
          <w:tcPr>
            <w:tcW w:w="0" w:type="auto"/>
            <w:shd w:val="clear" w:color="auto" w:fill="auto"/>
            <w:noWrap/>
            <w:hideMark/>
          </w:tcPr>
          <w:p w:rsidR="00583BD3" w:rsidRPr="00D14B9E" w:rsidRDefault="00583BD3" w:rsidP="000727E8">
            <w:pPr>
              <w:jc w:val="center"/>
              <w:rPr>
                <w:rFonts w:ascii="Garamond" w:hAnsi="Garamond" w:cs="Calibri"/>
                <w:color w:val="000000"/>
                <w:sz w:val="18"/>
                <w:szCs w:val="18"/>
              </w:rPr>
            </w:pPr>
            <w:r w:rsidRPr="00D14B9E">
              <w:rPr>
                <w:rFonts w:ascii="Garamond" w:hAnsi="Garamond" w:cs="Calibri"/>
                <w:color w:val="000000"/>
                <w:sz w:val="18"/>
                <w:szCs w:val="18"/>
              </w:rPr>
              <w:t>Tobin's Q</w:t>
            </w:r>
            <w:r>
              <w:rPr>
                <w:rFonts w:ascii="Garamond" w:hAnsi="Garamond" w:cs="Calibri"/>
                <w:color w:val="000000"/>
                <w:sz w:val="18"/>
                <w:szCs w:val="18"/>
                <w:vertAlign w:val="subscript"/>
              </w:rPr>
              <w:t>t-1</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-0.0108*</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-0.00688</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-0.0172***</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-0.0180***</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-0.00545</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-0.0143*</w:t>
            </w:r>
          </w:p>
        </w:tc>
      </w:tr>
      <w:tr w:rsidR="00583BD3" w:rsidRPr="00453EFD" w:rsidTr="000727E8">
        <w:trPr>
          <w:trHeight w:hRule="exact" w:val="255"/>
        </w:trPr>
        <w:tc>
          <w:tcPr>
            <w:tcW w:w="0" w:type="auto"/>
            <w:shd w:val="clear" w:color="auto" w:fill="auto"/>
            <w:noWrap/>
            <w:hideMark/>
          </w:tcPr>
          <w:p w:rsidR="00583BD3" w:rsidRPr="00D14B9E" w:rsidRDefault="00583BD3" w:rsidP="000727E8">
            <w:pPr>
              <w:jc w:val="center"/>
              <w:rPr>
                <w:rFonts w:ascii="Garamond" w:hAnsi="Garamond" w:cs="Calibri"/>
                <w:color w:val="000000"/>
                <w:sz w:val="18"/>
                <w:szCs w:val="18"/>
              </w:rPr>
            </w:pP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(-1.75)</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(-1.52)</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(-3.16)</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(-3.27)</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(-1.46)</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(-1.75)</w:t>
            </w:r>
          </w:p>
        </w:tc>
      </w:tr>
      <w:tr w:rsidR="00583BD3" w:rsidRPr="00453EFD" w:rsidTr="000727E8">
        <w:trPr>
          <w:trHeight w:hRule="exact" w:val="255"/>
        </w:trPr>
        <w:tc>
          <w:tcPr>
            <w:tcW w:w="0" w:type="auto"/>
            <w:shd w:val="clear" w:color="auto" w:fill="auto"/>
            <w:noWrap/>
            <w:hideMark/>
          </w:tcPr>
          <w:p w:rsidR="00583BD3" w:rsidRPr="00D14B9E" w:rsidRDefault="00583BD3" w:rsidP="000727E8">
            <w:pPr>
              <w:jc w:val="center"/>
              <w:rPr>
                <w:rFonts w:ascii="Garamond" w:hAnsi="Garamond" w:cs="Calibri"/>
                <w:color w:val="000000"/>
                <w:sz w:val="18"/>
                <w:szCs w:val="18"/>
              </w:rPr>
            </w:pPr>
            <w:r w:rsidRPr="00D14B9E">
              <w:rPr>
                <w:rFonts w:ascii="Garamond" w:hAnsi="Garamond" w:cs="Calibri"/>
                <w:color w:val="000000"/>
                <w:sz w:val="18"/>
                <w:szCs w:val="18"/>
              </w:rPr>
              <w:t>Industry-</w:t>
            </w:r>
            <w:proofErr w:type="spellStart"/>
            <w:r w:rsidRPr="00D14B9E">
              <w:rPr>
                <w:rFonts w:ascii="Garamond" w:hAnsi="Garamond" w:cs="Calibri"/>
                <w:color w:val="000000"/>
                <w:sz w:val="18"/>
                <w:szCs w:val="18"/>
              </w:rPr>
              <w:t>Adj</w:t>
            </w:r>
            <w:proofErr w:type="spellEnd"/>
            <w:r w:rsidRPr="00D14B9E">
              <w:rPr>
                <w:rFonts w:ascii="Garamond" w:hAnsi="Garamond" w:cs="Calibri"/>
                <w:color w:val="000000"/>
                <w:sz w:val="18"/>
                <w:szCs w:val="18"/>
              </w:rPr>
              <w:t xml:space="preserve"> ROA</w:t>
            </w:r>
            <w:r>
              <w:rPr>
                <w:rFonts w:ascii="Garamond" w:hAnsi="Garamond" w:cs="Calibri"/>
                <w:color w:val="000000"/>
                <w:sz w:val="18"/>
                <w:szCs w:val="18"/>
                <w:vertAlign w:val="subscript"/>
              </w:rPr>
              <w:t>t-1</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-0.00977**</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-0.00476</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-0.00404</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-0.00150</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-0.00520</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-0.00719</w:t>
            </w:r>
          </w:p>
        </w:tc>
      </w:tr>
      <w:tr w:rsidR="00583BD3" w:rsidRPr="00453EFD" w:rsidTr="000727E8">
        <w:trPr>
          <w:trHeight w:hRule="exact" w:val="255"/>
        </w:trPr>
        <w:tc>
          <w:tcPr>
            <w:tcW w:w="0" w:type="auto"/>
            <w:shd w:val="clear" w:color="auto" w:fill="auto"/>
            <w:noWrap/>
            <w:hideMark/>
          </w:tcPr>
          <w:p w:rsidR="00583BD3" w:rsidRPr="00D14B9E" w:rsidRDefault="00583BD3" w:rsidP="000727E8">
            <w:pPr>
              <w:jc w:val="center"/>
              <w:rPr>
                <w:rFonts w:ascii="Garamond" w:hAnsi="Garamond" w:cs="Calibri"/>
                <w:color w:val="000000"/>
                <w:sz w:val="18"/>
                <w:szCs w:val="18"/>
              </w:rPr>
            </w:pP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(-2.27)</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(-1.05)</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(-0.81)</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(-0.32)</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(-1.06)</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(-1.50)</w:t>
            </w:r>
          </w:p>
        </w:tc>
      </w:tr>
      <w:tr w:rsidR="00583BD3" w:rsidRPr="00453EFD" w:rsidTr="000727E8">
        <w:trPr>
          <w:trHeight w:hRule="exact" w:val="255"/>
        </w:trPr>
        <w:tc>
          <w:tcPr>
            <w:tcW w:w="0" w:type="auto"/>
            <w:shd w:val="clear" w:color="auto" w:fill="auto"/>
            <w:noWrap/>
            <w:hideMark/>
          </w:tcPr>
          <w:p w:rsidR="00583BD3" w:rsidRPr="00D14B9E" w:rsidRDefault="00583BD3" w:rsidP="000727E8">
            <w:pPr>
              <w:jc w:val="center"/>
              <w:rPr>
                <w:rFonts w:ascii="Garamond" w:hAnsi="Garamond" w:cs="Calibri"/>
                <w:color w:val="000000"/>
                <w:sz w:val="18"/>
                <w:szCs w:val="18"/>
              </w:rPr>
            </w:pPr>
            <w:r w:rsidRPr="00D14B9E">
              <w:rPr>
                <w:rFonts w:ascii="Garamond" w:hAnsi="Garamond" w:cs="Calibri"/>
                <w:color w:val="000000"/>
                <w:sz w:val="18"/>
                <w:szCs w:val="18"/>
              </w:rPr>
              <w:t>CEO is Chairman dummy</w:t>
            </w:r>
            <w:r>
              <w:rPr>
                <w:rFonts w:ascii="Garamond" w:hAnsi="Garamond" w:cs="Calibri"/>
                <w:color w:val="000000"/>
                <w:sz w:val="18"/>
                <w:szCs w:val="18"/>
                <w:vertAlign w:val="subscript"/>
              </w:rPr>
              <w:t>t-1</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0.0169</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-0.00422</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0.0102</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-0.0136</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0.0322**</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-0.0150</w:t>
            </w:r>
          </w:p>
        </w:tc>
      </w:tr>
      <w:tr w:rsidR="00583BD3" w:rsidRPr="00453EFD" w:rsidTr="000727E8">
        <w:trPr>
          <w:trHeight w:hRule="exact" w:val="255"/>
        </w:trPr>
        <w:tc>
          <w:tcPr>
            <w:tcW w:w="0" w:type="auto"/>
            <w:shd w:val="clear" w:color="auto" w:fill="auto"/>
            <w:noWrap/>
            <w:hideMark/>
          </w:tcPr>
          <w:p w:rsidR="00583BD3" w:rsidRPr="00D14B9E" w:rsidRDefault="00583BD3" w:rsidP="000727E8">
            <w:pPr>
              <w:jc w:val="center"/>
              <w:rPr>
                <w:rFonts w:ascii="Garamond" w:hAnsi="Garamond" w:cs="Calibri"/>
                <w:color w:val="000000"/>
                <w:sz w:val="18"/>
                <w:szCs w:val="18"/>
              </w:rPr>
            </w:pP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(1.02)</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(-0.24)</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(0.59)</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(-0.84)</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(2.00)</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(-0.71)</w:t>
            </w:r>
          </w:p>
        </w:tc>
      </w:tr>
      <w:tr w:rsidR="00583BD3" w:rsidRPr="00453EFD" w:rsidTr="000727E8">
        <w:trPr>
          <w:trHeight w:hRule="exact" w:val="255"/>
        </w:trPr>
        <w:tc>
          <w:tcPr>
            <w:tcW w:w="0" w:type="auto"/>
            <w:shd w:val="clear" w:color="auto" w:fill="auto"/>
            <w:noWrap/>
            <w:hideMark/>
          </w:tcPr>
          <w:p w:rsidR="00583BD3" w:rsidRPr="00932E65" w:rsidRDefault="00583BD3" w:rsidP="000727E8">
            <w:pPr>
              <w:jc w:val="center"/>
              <w:rPr>
                <w:rFonts w:ascii="Garamond" w:hAnsi="Garamond" w:cs="Calibri"/>
                <w:color w:val="000000"/>
                <w:sz w:val="18"/>
                <w:szCs w:val="18"/>
              </w:rPr>
            </w:pPr>
            <w:proofErr w:type="spellStart"/>
            <w:r w:rsidRPr="00932E65">
              <w:rPr>
                <w:rFonts w:ascii="Garamond" w:hAnsi="Garamond" w:cs="Calibri"/>
                <w:color w:val="000000"/>
                <w:sz w:val="18"/>
                <w:szCs w:val="18"/>
              </w:rPr>
              <w:t>Ln</w:t>
            </w:r>
            <w:proofErr w:type="spellEnd"/>
            <w:r w:rsidRPr="00932E65">
              <w:rPr>
                <w:rFonts w:ascii="Garamond" w:hAnsi="Garamond" w:cs="Calibri"/>
                <w:color w:val="000000"/>
                <w:sz w:val="18"/>
                <w:szCs w:val="18"/>
              </w:rPr>
              <w:t>(market-to-book)</w:t>
            </w:r>
            <w:r>
              <w:rPr>
                <w:rFonts w:ascii="Garamond" w:hAnsi="Garamond" w:cs="Calibri"/>
                <w:color w:val="000000"/>
                <w:sz w:val="18"/>
                <w:szCs w:val="18"/>
                <w:vertAlign w:val="subscript"/>
              </w:rPr>
              <w:t>t-1</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0.0298**</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0.0233**</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0.0678***</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0.0614***</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0.0276**</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0.0533***</w:t>
            </w:r>
          </w:p>
        </w:tc>
      </w:tr>
      <w:tr w:rsidR="00583BD3" w:rsidRPr="00453EFD" w:rsidTr="000727E8">
        <w:trPr>
          <w:trHeight w:hRule="exact" w:val="255"/>
        </w:trPr>
        <w:tc>
          <w:tcPr>
            <w:tcW w:w="0" w:type="auto"/>
            <w:shd w:val="clear" w:color="auto" w:fill="auto"/>
            <w:noWrap/>
            <w:hideMark/>
          </w:tcPr>
          <w:p w:rsidR="00583BD3" w:rsidRPr="00932E65" w:rsidRDefault="00583BD3" w:rsidP="000727E8">
            <w:pPr>
              <w:jc w:val="center"/>
              <w:rPr>
                <w:rFonts w:ascii="Garamond" w:hAnsi="Garamond" w:cs="Calibri"/>
                <w:color w:val="000000"/>
                <w:sz w:val="18"/>
                <w:szCs w:val="18"/>
              </w:rPr>
            </w:pP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(2.26)</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(2.30)</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(6.18)</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(4.24)</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(2.48)</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(4.22)</w:t>
            </w:r>
          </w:p>
        </w:tc>
      </w:tr>
      <w:tr w:rsidR="00583BD3" w:rsidRPr="00453EFD" w:rsidTr="000727E8">
        <w:trPr>
          <w:trHeight w:hRule="exact" w:val="255"/>
        </w:trPr>
        <w:tc>
          <w:tcPr>
            <w:tcW w:w="0" w:type="auto"/>
            <w:shd w:val="clear" w:color="auto" w:fill="auto"/>
            <w:noWrap/>
            <w:hideMark/>
          </w:tcPr>
          <w:p w:rsidR="00583BD3" w:rsidRPr="00932E65" w:rsidRDefault="00583BD3" w:rsidP="000727E8">
            <w:pPr>
              <w:jc w:val="center"/>
              <w:rPr>
                <w:rFonts w:ascii="Garamond" w:hAnsi="Garamond" w:cs="Calibri"/>
                <w:color w:val="000000"/>
                <w:sz w:val="18"/>
                <w:szCs w:val="18"/>
              </w:rPr>
            </w:pPr>
            <w:r w:rsidRPr="00932E65">
              <w:rPr>
                <w:rFonts w:ascii="Garamond" w:hAnsi="Garamond" w:cs="Calibri"/>
                <w:color w:val="000000"/>
                <w:sz w:val="18"/>
                <w:szCs w:val="18"/>
              </w:rPr>
              <w:t>Capital expenditure</w:t>
            </w:r>
            <w:r>
              <w:rPr>
                <w:rFonts w:ascii="Garamond" w:hAnsi="Garamond" w:cs="Calibri"/>
                <w:color w:val="000000"/>
                <w:sz w:val="18"/>
                <w:szCs w:val="18"/>
                <w:vertAlign w:val="subscript"/>
              </w:rPr>
              <w:t>t-1</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0.0459</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0.197*</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-0.0510</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0.149</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0.0792</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0.246*</w:t>
            </w:r>
          </w:p>
        </w:tc>
      </w:tr>
      <w:tr w:rsidR="00583BD3" w:rsidRPr="00453EFD" w:rsidTr="000727E8">
        <w:trPr>
          <w:trHeight w:hRule="exact" w:val="255"/>
        </w:trPr>
        <w:tc>
          <w:tcPr>
            <w:tcW w:w="0" w:type="auto"/>
            <w:shd w:val="clear" w:color="auto" w:fill="auto"/>
            <w:noWrap/>
            <w:hideMark/>
          </w:tcPr>
          <w:p w:rsidR="00583BD3" w:rsidRPr="00932E65" w:rsidRDefault="00583BD3" w:rsidP="000727E8">
            <w:pPr>
              <w:jc w:val="center"/>
              <w:rPr>
                <w:rFonts w:ascii="Garamond" w:hAnsi="Garamond" w:cs="Calibri"/>
                <w:color w:val="000000"/>
                <w:sz w:val="18"/>
                <w:szCs w:val="18"/>
              </w:rPr>
            </w:pP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(0.50)</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(1.87)</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(-0.51)</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(1.53)</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(0.69)</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(1.96)</w:t>
            </w:r>
          </w:p>
        </w:tc>
      </w:tr>
      <w:tr w:rsidR="00583BD3" w:rsidRPr="00453EFD" w:rsidTr="000727E8">
        <w:trPr>
          <w:trHeight w:hRule="exact" w:val="255"/>
        </w:trPr>
        <w:tc>
          <w:tcPr>
            <w:tcW w:w="0" w:type="auto"/>
            <w:shd w:val="clear" w:color="auto" w:fill="auto"/>
            <w:noWrap/>
            <w:hideMark/>
          </w:tcPr>
          <w:p w:rsidR="00583BD3" w:rsidRPr="00932E65" w:rsidRDefault="00583BD3" w:rsidP="000727E8">
            <w:pPr>
              <w:jc w:val="center"/>
              <w:rPr>
                <w:rFonts w:ascii="Garamond" w:hAnsi="Garamond" w:cs="Calibri"/>
                <w:color w:val="000000"/>
                <w:sz w:val="18"/>
                <w:szCs w:val="18"/>
              </w:rPr>
            </w:pPr>
            <w:proofErr w:type="spellStart"/>
            <w:r w:rsidRPr="00932E65">
              <w:rPr>
                <w:rFonts w:ascii="Garamond" w:hAnsi="Garamond" w:cs="Calibri"/>
                <w:color w:val="000000"/>
                <w:sz w:val="18"/>
                <w:szCs w:val="18"/>
              </w:rPr>
              <w:t>Ln</w:t>
            </w:r>
            <w:proofErr w:type="spellEnd"/>
            <w:r w:rsidRPr="00932E65">
              <w:rPr>
                <w:rFonts w:ascii="Garamond" w:hAnsi="Garamond" w:cs="Calibri"/>
                <w:color w:val="000000"/>
                <w:sz w:val="18"/>
                <w:szCs w:val="18"/>
              </w:rPr>
              <w:t>(total assets)</w:t>
            </w:r>
            <w:r>
              <w:rPr>
                <w:rFonts w:ascii="Garamond" w:hAnsi="Garamond" w:cs="Calibri"/>
                <w:color w:val="000000"/>
                <w:sz w:val="18"/>
                <w:szCs w:val="18"/>
                <w:vertAlign w:val="subscript"/>
              </w:rPr>
              <w:t>t-1</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0.0539***</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0.0147</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0.0348**</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0.0351***</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0.0388***</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0.0246*</w:t>
            </w:r>
          </w:p>
        </w:tc>
      </w:tr>
      <w:tr w:rsidR="00583BD3" w:rsidRPr="00453EFD" w:rsidTr="000727E8">
        <w:trPr>
          <w:trHeight w:hRule="exact" w:val="255"/>
        </w:trPr>
        <w:tc>
          <w:tcPr>
            <w:tcW w:w="0" w:type="auto"/>
            <w:shd w:val="clear" w:color="auto" w:fill="auto"/>
            <w:noWrap/>
            <w:hideMark/>
          </w:tcPr>
          <w:p w:rsidR="00583BD3" w:rsidRPr="00932E65" w:rsidRDefault="00583BD3" w:rsidP="000727E8">
            <w:pPr>
              <w:jc w:val="center"/>
              <w:rPr>
                <w:rFonts w:ascii="Garamond" w:hAnsi="Garamond" w:cs="Calibri"/>
                <w:color w:val="000000"/>
                <w:sz w:val="18"/>
                <w:szCs w:val="18"/>
              </w:rPr>
            </w:pP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(3.45)</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(1.29)</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(2.26)</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(2.62)</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(2.77)</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(1.92)</w:t>
            </w:r>
          </w:p>
        </w:tc>
      </w:tr>
      <w:tr w:rsidR="00583BD3" w:rsidRPr="00453EFD" w:rsidTr="000727E8">
        <w:trPr>
          <w:trHeight w:hRule="exact" w:val="255"/>
        </w:trPr>
        <w:tc>
          <w:tcPr>
            <w:tcW w:w="0" w:type="auto"/>
            <w:shd w:val="clear" w:color="auto" w:fill="auto"/>
            <w:noWrap/>
            <w:hideMark/>
          </w:tcPr>
          <w:p w:rsidR="00583BD3" w:rsidRPr="00932E65" w:rsidRDefault="00583BD3" w:rsidP="000727E8">
            <w:pPr>
              <w:jc w:val="center"/>
              <w:rPr>
                <w:rFonts w:ascii="Garamond" w:hAnsi="Garamond" w:cs="Calibri"/>
                <w:color w:val="000000"/>
                <w:sz w:val="18"/>
                <w:szCs w:val="18"/>
              </w:rPr>
            </w:pPr>
            <w:proofErr w:type="spellStart"/>
            <w:r w:rsidRPr="00932E65">
              <w:rPr>
                <w:rFonts w:ascii="Garamond" w:hAnsi="Garamond" w:cs="Calibri"/>
                <w:color w:val="000000"/>
                <w:sz w:val="18"/>
                <w:szCs w:val="18"/>
              </w:rPr>
              <w:t>Ln</w:t>
            </w:r>
            <w:proofErr w:type="spellEnd"/>
            <w:r w:rsidRPr="00932E65">
              <w:rPr>
                <w:rFonts w:ascii="Garamond" w:hAnsi="Garamond" w:cs="Calibri"/>
                <w:color w:val="000000"/>
                <w:sz w:val="18"/>
                <w:szCs w:val="18"/>
              </w:rPr>
              <w:t>(firm age)</w:t>
            </w:r>
            <w:r>
              <w:rPr>
                <w:rFonts w:ascii="Garamond" w:hAnsi="Garamond" w:cs="Calibri"/>
                <w:color w:val="000000"/>
                <w:sz w:val="18"/>
                <w:szCs w:val="18"/>
                <w:vertAlign w:val="subscript"/>
              </w:rPr>
              <w:t>t-1</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-0.0109</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0.0350***</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0.00623</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0.0264</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-0.00524</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0.0185</w:t>
            </w:r>
          </w:p>
        </w:tc>
      </w:tr>
      <w:tr w:rsidR="00583BD3" w:rsidRPr="00453EFD" w:rsidTr="000727E8">
        <w:trPr>
          <w:trHeight w:hRule="exact" w:val="255"/>
        </w:trPr>
        <w:tc>
          <w:tcPr>
            <w:tcW w:w="0" w:type="auto"/>
            <w:shd w:val="clear" w:color="auto" w:fill="auto"/>
            <w:noWrap/>
            <w:hideMark/>
          </w:tcPr>
          <w:p w:rsidR="00583BD3" w:rsidRPr="00932E65" w:rsidRDefault="00583BD3" w:rsidP="000727E8">
            <w:pPr>
              <w:jc w:val="center"/>
              <w:rPr>
                <w:rFonts w:ascii="Garamond" w:hAnsi="Garamond" w:cs="Calibri"/>
                <w:color w:val="000000"/>
                <w:sz w:val="18"/>
                <w:szCs w:val="18"/>
              </w:rPr>
            </w:pP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(-0.62)</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(2.63)</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(0.41)</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(1.50)</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(-0.38)</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(1.01)</w:t>
            </w:r>
          </w:p>
        </w:tc>
      </w:tr>
      <w:tr w:rsidR="00583BD3" w:rsidRPr="00453EFD" w:rsidTr="000727E8">
        <w:trPr>
          <w:trHeight w:hRule="exact" w:val="255"/>
        </w:trPr>
        <w:tc>
          <w:tcPr>
            <w:tcW w:w="0" w:type="auto"/>
            <w:shd w:val="clear" w:color="auto" w:fill="auto"/>
            <w:noWrap/>
            <w:hideMark/>
          </w:tcPr>
          <w:p w:rsidR="00583BD3" w:rsidRPr="00932E65" w:rsidRDefault="00583BD3" w:rsidP="000727E8">
            <w:pPr>
              <w:jc w:val="center"/>
              <w:rPr>
                <w:rFonts w:ascii="Garamond" w:hAnsi="Garamond" w:cs="Calibri"/>
                <w:color w:val="000000"/>
                <w:sz w:val="18"/>
                <w:szCs w:val="18"/>
              </w:rPr>
            </w:pPr>
            <w:r>
              <w:rPr>
                <w:rFonts w:ascii="Garamond" w:hAnsi="Garamond" w:cs="Calibri"/>
                <w:color w:val="000000"/>
                <w:sz w:val="18"/>
                <w:szCs w:val="18"/>
              </w:rPr>
              <w:t>CFO British Dummy</w:t>
            </w:r>
            <w:r>
              <w:rPr>
                <w:rFonts w:ascii="Garamond" w:hAnsi="Garamond" w:cs="Calibri"/>
                <w:color w:val="000000"/>
                <w:sz w:val="18"/>
                <w:szCs w:val="18"/>
                <w:vertAlign w:val="subscript"/>
              </w:rPr>
              <w:t>t-1</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0.0557*</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-0.00140</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-0.0167</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-0.0265</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-0.00170</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0.0518**</w:t>
            </w:r>
          </w:p>
        </w:tc>
      </w:tr>
      <w:tr w:rsidR="00583BD3" w:rsidRPr="00453EFD" w:rsidTr="000727E8">
        <w:trPr>
          <w:trHeight w:hRule="exact" w:val="255"/>
        </w:trPr>
        <w:tc>
          <w:tcPr>
            <w:tcW w:w="0" w:type="auto"/>
            <w:shd w:val="clear" w:color="auto" w:fill="auto"/>
            <w:noWrap/>
            <w:hideMark/>
          </w:tcPr>
          <w:p w:rsidR="00583BD3" w:rsidRPr="00932E65" w:rsidRDefault="00583BD3" w:rsidP="000727E8">
            <w:pPr>
              <w:jc w:val="center"/>
              <w:rPr>
                <w:rFonts w:ascii="Garamond" w:hAnsi="Garamond" w:cs="Calibri"/>
                <w:color w:val="000000"/>
                <w:sz w:val="18"/>
                <w:szCs w:val="18"/>
              </w:rPr>
            </w:pP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(1.96)</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(-0.04)</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(-0.58)</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(-0.74)</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(-0.03)</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(2.39)</w:t>
            </w:r>
          </w:p>
        </w:tc>
      </w:tr>
      <w:tr w:rsidR="00583BD3" w:rsidRPr="00453EFD" w:rsidTr="000727E8">
        <w:trPr>
          <w:trHeight w:hRule="exact" w:val="255"/>
        </w:trPr>
        <w:tc>
          <w:tcPr>
            <w:tcW w:w="0" w:type="auto"/>
            <w:shd w:val="clear" w:color="auto" w:fill="auto"/>
            <w:noWrap/>
            <w:hideMark/>
          </w:tcPr>
          <w:p w:rsidR="00583BD3" w:rsidRPr="00932E65" w:rsidRDefault="00583BD3" w:rsidP="000727E8">
            <w:pPr>
              <w:jc w:val="center"/>
              <w:rPr>
                <w:rFonts w:ascii="Garamond" w:hAnsi="Garamond" w:cs="Calibri"/>
                <w:color w:val="000000"/>
                <w:sz w:val="18"/>
                <w:szCs w:val="18"/>
              </w:rPr>
            </w:pPr>
            <w:proofErr w:type="spellStart"/>
            <w:r w:rsidRPr="00932E65">
              <w:rPr>
                <w:rFonts w:ascii="Garamond" w:hAnsi="Garamond" w:cs="Calibri"/>
                <w:color w:val="000000"/>
                <w:sz w:val="18"/>
                <w:szCs w:val="18"/>
              </w:rPr>
              <w:t>Ln</w:t>
            </w:r>
            <w:proofErr w:type="spellEnd"/>
            <w:r w:rsidRPr="00932E65">
              <w:rPr>
                <w:rFonts w:ascii="Garamond" w:hAnsi="Garamond" w:cs="Calibri"/>
                <w:color w:val="000000"/>
                <w:sz w:val="18"/>
                <w:szCs w:val="18"/>
              </w:rPr>
              <w:t>(CFO tenure)</w:t>
            </w:r>
            <w:r>
              <w:rPr>
                <w:rFonts w:ascii="Garamond" w:hAnsi="Garamond" w:cs="Calibri"/>
                <w:color w:val="000000"/>
                <w:sz w:val="18"/>
                <w:szCs w:val="18"/>
                <w:vertAlign w:val="subscript"/>
              </w:rPr>
              <w:t>t-1</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0.00662</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-0.00000825</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-0.00182</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0.00277</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0.00698</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-0.00344</w:t>
            </w:r>
          </w:p>
        </w:tc>
      </w:tr>
      <w:tr w:rsidR="00583BD3" w:rsidRPr="00453EFD" w:rsidTr="000727E8">
        <w:trPr>
          <w:trHeight w:hRule="exact" w:val="255"/>
        </w:trPr>
        <w:tc>
          <w:tcPr>
            <w:tcW w:w="0" w:type="auto"/>
            <w:shd w:val="clear" w:color="auto" w:fill="auto"/>
            <w:noWrap/>
            <w:hideMark/>
          </w:tcPr>
          <w:p w:rsidR="00583BD3" w:rsidRPr="00932E65" w:rsidRDefault="00583BD3" w:rsidP="000727E8">
            <w:pPr>
              <w:jc w:val="center"/>
              <w:rPr>
                <w:rFonts w:ascii="Garamond" w:hAnsi="Garamond" w:cs="Calibri"/>
                <w:color w:val="000000"/>
                <w:sz w:val="18"/>
                <w:szCs w:val="18"/>
              </w:rPr>
            </w:pP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(1.35)</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(-0.00)</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(-0.38)</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(0.50)</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(1.48)</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(-0.60)</w:t>
            </w:r>
          </w:p>
        </w:tc>
      </w:tr>
      <w:tr w:rsidR="00583BD3" w:rsidRPr="00453EFD" w:rsidTr="000727E8">
        <w:trPr>
          <w:trHeight w:hRule="exact" w:val="255"/>
        </w:trPr>
        <w:tc>
          <w:tcPr>
            <w:tcW w:w="0" w:type="auto"/>
            <w:shd w:val="clear" w:color="auto" w:fill="auto"/>
            <w:noWrap/>
            <w:hideMark/>
          </w:tcPr>
          <w:p w:rsidR="00583BD3" w:rsidRPr="00932E65" w:rsidRDefault="00583BD3" w:rsidP="000727E8">
            <w:pPr>
              <w:jc w:val="center"/>
              <w:rPr>
                <w:rFonts w:ascii="Garamond" w:hAnsi="Garamond" w:cs="Calibri"/>
                <w:color w:val="000000"/>
                <w:sz w:val="18"/>
                <w:szCs w:val="18"/>
              </w:rPr>
            </w:pPr>
            <w:proofErr w:type="spellStart"/>
            <w:r w:rsidRPr="00932E65">
              <w:rPr>
                <w:rFonts w:ascii="Garamond" w:hAnsi="Garamond" w:cs="Calibri"/>
                <w:color w:val="000000"/>
                <w:sz w:val="18"/>
                <w:szCs w:val="18"/>
              </w:rPr>
              <w:t>Ln</w:t>
            </w:r>
            <w:proofErr w:type="spellEnd"/>
            <w:r w:rsidRPr="00932E65">
              <w:rPr>
                <w:rFonts w:ascii="Garamond" w:hAnsi="Garamond" w:cs="Calibri"/>
                <w:color w:val="000000"/>
                <w:sz w:val="18"/>
                <w:szCs w:val="18"/>
              </w:rPr>
              <w:t>(CFO age)</w:t>
            </w:r>
            <w:r>
              <w:rPr>
                <w:rFonts w:ascii="Garamond" w:hAnsi="Garamond" w:cs="Calibri"/>
                <w:color w:val="000000"/>
                <w:sz w:val="18"/>
                <w:szCs w:val="18"/>
                <w:vertAlign w:val="subscript"/>
              </w:rPr>
              <w:t>t-1</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-0.0247</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-0.0580</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0.0307</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0.0149</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-0.0439</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-0.0547</w:t>
            </w:r>
          </w:p>
        </w:tc>
      </w:tr>
      <w:tr w:rsidR="00583BD3" w:rsidRPr="00453EFD" w:rsidTr="000727E8">
        <w:trPr>
          <w:trHeight w:hRule="exact" w:val="255"/>
        </w:trPr>
        <w:tc>
          <w:tcPr>
            <w:tcW w:w="0" w:type="auto"/>
            <w:shd w:val="clear" w:color="auto" w:fill="auto"/>
            <w:noWrap/>
            <w:hideMark/>
          </w:tcPr>
          <w:p w:rsidR="00583BD3" w:rsidRPr="00932E65" w:rsidRDefault="00583BD3" w:rsidP="000727E8">
            <w:pPr>
              <w:jc w:val="center"/>
              <w:rPr>
                <w:rFonts w:ascii="Garamond" w:hAnsi="Garamond" w:cs="Calibri"/>
                <w:color w:val="000000"/>
                <w:sz w:val="18"/>
                <w:szCs w:val="18"/>
              </w:rPr>
            </w:pP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(-0.44)</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(-1.07)</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(0.58)</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(0.29)</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(-0.79)</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(-0.75)</w:t>
            </w:r>
          </w:p>
        </w:tc>
      </w:tr>
      <w:tr w:rsidR="00583BD3" w:rsidRPr="00453EFD" w:rsidTr="000727E8">
        <w:trPr>
          <w:trHeight w:hRule="exact" w:val="255"/>
        </w:trPr>
        <w:tc>
          <w:tcPr>
            <w:tcW w:w="0" w:type="auto"/>
            <w:shd w:val="clear" w:color="auto" w:fill="auto"/>
            <w:noWrap/>
            <w:hideMark/>
          </w:tcPr>
          <w:p w:rsidR="00583BD3" w:rsidRPr="00932E65" w:rsidRDefault="00583BD3" w:rsidP="000727E8">
            <w:pPr>
              <w:jc w:val="center"/>
              <w:rPr>
                <w:rFonts w:ascii="Garamond" w:hAnsi="Garamond" w:cs="Calibri"/>
                <w:color w:val="000000"/>
                <w:sz w:val="18"/>
                <w:szCs w:val="18"/>
              </w:rPr>
            </w:pPr>
            <w:proofErr w:type="spellStart"/>
            <w:r w:rsidRPr="00932E65">
              <w:rPr>
                <w:rFonts w:ascii="Garamond" w:hAnsi="Garamond" w:cs="Calibri"/>
                <w:color w:val="000000"/>
                <w:sz w:val="18"/>
                <w:szCs w:val="18"/>
              </w:rPr>
              <w:t>Ln</w:t>
            </w:r>
            <w:proofErr w:type="spellEnd"/>
            <w:r w:rsidRPr="00932E65">
              <w:rPr>
                <w:rFonts w:ascii="Garamond" w:hAnsi="Garamond" w:cs="Calibri"/>
                <w:color w:val="000000"/>
                <w:sz w:val="18"/>
                <w:szCs w:val="18"/>
              </w:rPr>
              <w:t>(CFO network size)</w:t>
            </w:r>
            <w:r>
              <w:rPr>
                <w:rFonts w:ascii="Garamond" w:hAnsi="Garamond" w:cs="Calibri"/>
                <w:color w:val="000000"/>
                <w:sz w:val="18"/>
                <w:szCs w:val="18"/>
                <w:vertAlign w:val="subscript"/>
              </w:rPr>
              <w:t>t-1</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-0.00446</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-0.00116</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-0.000733</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-0.00175</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-0.00261</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0.00103</w:t>
            </w:r>
          </w:p>
        </w:tc>
      </w:tr>
      <w:tr w:rsidR="00583BD3" w:rsidRPr="00453EFD" w:rsidTr="000727E8">
        <w:trPr>
          <w:trHeight w:hRule="exact" w:val="255"/>
        </w:trPr>
        <w:tc>
          <w:tcPr>
            <w:tcW w:w="0" w:type="auto"/>
            <w:shd w:val="clear" w:color="auto" w:fill="auto"/>
            <w:noWrap/>
            <w:hideMark/>
          </w:tcPr>
          <w:p w:rsidR="00583BD3" w:rsidRPr="00932E65" w:rsidRDefault="00583BD3" w:rsidP="000727E8">
            <w:pPr>
              <w:jc w:val="center"/>
              <w:rPr>
                <w:rFonts w:ascii="Garamond" w:hAnsi="Garamond" w:cs="Calibri"/>
                <w:color w:val="000000"/>
                <w:sz w:val="18"/>
                <w:szCs w:val="18"/>
              </w:rPr>
            </w:pP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(-1.00)</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(-0.21)</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(-0.14)</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(-0.37)</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(-0.63)</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(0.14)</w:t>
            </w:r>
          </w:p>
        </w:tc>
      </w:tr>
      <w:tr w:rsidR="00583BD3" w:rsidRPr="00453EFD" w:rsidTr="000727E8">
        <w:trPr>
          <w:trHeight w:hRule="exact" w:val="255"/>
        </w:trPr>
        <w:tc>
          <w:tcPr>
            <w:tcW w:w="0" w:type="auto"/>
            <w:shd w:val="clear" w:color="auto" w:fill="auto"/>
            <w:noWrap/>
            <w:hideMark/>
          </w:tcPr>
          <w:p w:rsidR="00583BD3" w:rsidRPr="00932E65" w:rsidRDefault="00583BD3" w:rsidP="000727E8">
            <w:pPr>
              <w:jc w:val="center"/>
              <w:rPr>
                <w:rFonts w:ascii="Garamond" w:hAnsi="Garamond" w:cs="Calibri"/>
                <w:color w:val="000000"/>
                <w:sz w:val="18"/>
                <w:szCs w:val="18"/>
              </w:rPr>
            </w:pPr>
            <w:proofErr w:type="spellStart"/>
            <w:r w:rsidRPr="00932E65">
              <w:rPr>
                <w:rFonts w:ascii="Garamond" w:hAnsi="Garamond" w:cs="Calibri"/>
                <w:color w:val="000000"/>
                <w:sz w:val="18"/>
                <w:szCs w:val="18"/>
              </w:rPr>
              <w:t>Ln</w:t>
            </w:r>
            <w:proofErr w:type="spellEnd"/>
            <w:r w:rsidRPr="00932E65">
              <w:rPr>
                <w:rFonts w:ascii="Garamond" w:hAnsi="Garamond" w:cs="Calibri"/>
                <w:color w:val="000000"/>
                <w:sz w:val="18"/>
                <w:szCs w:val="18"/>
              </w:rPr>
              <w:t>(CFO total compensation)</w:t>
            </w:r>
            <w:r>
              <w:rPr>
                <w:rFonts w:ascii="Garamond" w:hAnsi="Garamond" w:cs="Calibri"/>
                <w:color w:val="000000"/>
                <w:sz w:val="18"/>
                <w:szCs w:val="18"/>
                <w:vertAlign w:val="subscript"/>
              </w:rPr>
              <w:t>t-1</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-0.0191***</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-0.00873</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-0.00758</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-0.0163***</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-0.0182***</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-0.0159**</w:t>
            </w:r>
          </w:p>
        </w:tc>
      </w:tr>
      <w:tr w:rsidR="00583BD3" w:rsidRPr="00453EFD" w:rsidTr="000727E8">
        <w:trPr>
          <w:trHeight w:hRule="exact" w:val="255"/>
        </w:trPr>
        <w:tc>
          <w:tcPr>
            <w:tcW w:w="0" w:type="auto"/>
            <w:shd w:val="clear" w:color="auto" w:fill="auto"/>
            <w:noWrap/>
            <w:hideMark/>
          </w:tcPr>
          <w:p w:rsidR="00583BD3" w:rsidRPr="00AB293B" w:rsidRDefault="00583BD3" w:rsidP="000727E8">
            <w:pPr>
              <w:jc w:val="center"/>
              <w:rPr>
                <w:rFonts w:ascii="Garamond" w:hAnsi="Garamond" w:cs="Calibri"/>
                <w:color w:val="000000" w:themeColor="text1"/>
                <w:sz w:val="20"/>
                <w:szCs w:val="20"/>
              </w:rPr>
            </w:pP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(-2.94)</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(-1.50)</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(-1.08)</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(-2.65)</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(-2.72)</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(-2.22)</w:t>
            </w:r>
          </w:p>
        </w:tc>
      </w:tr>
      <w:tr w:rsidR="00583BD3" w:rsidRPr="00453EFD" w:rsidTr="000727E8">
        <w:trPr>
          <w:trHeight w:hRule="exact" w:val="255"/>
        </w:trPr>
        <w:tc>
          <w:tcPr>
            <w:tcW w:w="0" w:type="auto"/>
            <w:shd w:val="clear" w:color="auto" w:fill="auto"/>
            <w:noWrap/>
            <w:hideMark/>
          </w:tcPr>
          <w:p w:rsidR="00583BD3" w:rsidRPr="00AB293B" w:rsidRDefault="00583BD3" w:rsidP="000727E8">
            <w:pPr>
              <w:jc w:val="center"/>
              <w:rPr>
                <w:rFonts w:ascii="Garamond" w:hAnsi="Garamond" w:cs="Calibri"/>
                <w:color w:val="000000" w:themeColor="text1"/>
                <w:sz w:val="20"/>
                <w:szCs w:val="20"/>
              </w:rPr>
            </w:pPr>
            <w:r w:rsidRPr="00AB293B">
              <w:rPr>
                <w:rFonts w:ascii="Garamond" w:hAnsi="Garamond" w:cs="Calibri"/>
                <w:color w:val="000000" w:themeColor="text1"/>
                <w:sz w:val="20"/>
                <w:szCs w:val="20"/>
              </w:rPr>
              <w:t>Constant</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-0.257</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0.219</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-0.239</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-0.270</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0.00715</w:t>
            </w:r>
          </w:p>
        </w:tc>
        <w:tc>
          <w:tcPr>
            <w:tcW w:w="0" w:type="auto"/>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0.00430</w:t>
            </w:r>
          </w:p>
        </w:tc>
      </w:tr>
      <w:tr w:rsidR="00583BD3" w:rsidRPr="00453EFD" w:rsidTr="000727E8">
        <w:trPr>
          <w:trHeight w:hRule="exact" w:val="255"/>
        </w:trPr>
        <w:tc>
          <w:tcPr>
            <w:tcW w:w="0" w:type="auto"/>
            <w:tcBorders>
              <w:bottom w:val="single" w:sz="4" w:space="0" w:color="auto"/>
            </w:tcBorders>
            <w:shd w:val="clear" w:color="auto" w:fill="auto"/>
            <w:noWrap/>
            <w:hideMark/>
          </w:tcPr>
          <w:p w:rsidR="00583BD3" w:rsidRPr="00AB293B" w:rsidRDefault="00583BD3" w:rsidP="000727E8">
            <w:pPr>
              <w:jc w:val="center"/>
              <w:rPr>
                <w:rFonts w:ascii="Garamond" w:hAnsi="Garamond" w:cs="Calibri"/>
                <w:color w:val="000000" w:themeColor="text1"/>
                <w:sz w:val="20"/>
                <w:szCs w:val="20"/>
              </w:rPr>
            </w:pPr>
          </w:p>
        </w:tc>
        <w:tc>
          <w:tcPr>
            <w:tcW w:w="0" w:type="auto"/>
            <w:tcBorders>
              <w:bottom w:val="single" w:sz="4" w:space="0" w:color="auto"/>
            </w:tcBorders>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(-0.92)</w:t>
            </w:r>
          </w:p>
        </w:tc>
        <w:tc>
          <w:tcPr>
            <w:tcW w:w="0" w:type="auto"/>
            <w:tcBorders>
              <w:bottom w:val="single" w:sz="4" w:space="0" w:color="auto"/>
            </w:tcBorders>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(0.90)</w:t>
            </w:r>
          </w:p>
        </w:tc>
        <w:tc>
          <w:tcPr>
            <w:tcW w:w="0" w:type="auto"/>
            <w:tcBorders>
              <w:bottom w:val="single" w:sz="4" w:space="0" w:color="auto"/>
            </w:tcBorders>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(-0.83)</w:t>
            </w:r>
          </w:p>
        </w:tc>
        <w:tc>
          <w:tcPr>
            <w:tcW w:w="0" w:type="auto"/>
            <w:tcBorders>
              <w:bottom w:val="single" w:sz="4" w:space="0" w:color="auto"/>
            </w:tcBorders>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(-0.91)</w:t>
            </w:r>
          </w:p>
        </w:tc>
        <w:tc>
          <w:tcPr>
            <w:tcW w:w="0" w:type="auto"/>
            <w:tcBorders>
              <w:bottom w:val="single" w:sz="4" w:space="0" w:color="auto"/>
            </w:tcBorders>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(0.03)</w:t>
            </w:r>
          </w:p>
        </w:tc>
        <w:tc>
          <w:tcPr>
            <w:tcW w:w="0" w:type="auto"/>
            <w:tcBorders>
              <w:bottom w:val="single" w:sz="4" w:space="0" w:color="auto"/>
            </w:tcBorders>
            <w:shd w:val="clear" w:color="auto" w:fill="auto"/>
            <w:noWrap/>
            <w:vAlign w:val="center"/>
            <w:hideMark/>
          </w:tcPr>
          <w:p w:rsidR="00583BD3" w:rsidRPr="00453EFD" w:rsidRDefault="00583BD3" w:rsidP="000727E8">
            <w:pPr>
              <w:jc w:val="center"/>
              <w:rPr>
                <w:rFonts w:ascii="Garamond" w:hAnsi="Garamond"/>
                <w:color w:val="000000"/>
                <w:sz w:val="20"/>
                <w:szCs w:val="20"/>
              </w:rPr>
            </w:pPr>
            <w:r w:rsidRPr="00453EFD">
              <w:rPr>
                <w:rFonts w:ascii="Garamond" w:hAnsi="Garamond" w:hint="eastAsia"/>
                <w:color w:val="000000"/>
                <w:sz w:val="20"/>
                <w:szCs w:val="20"/>
              </w:rPr>
              <w:t>(0.01)</w:t>
            </w:r>
          </w:p>
        </w:tc>
      </w:tr>
      <w:tr w:rsidR="00583BD3" w:rsidRPr="00AD7E96" w:rsidTr="000727E8">
        <w:trPr>
          <w:trHeight w:hRule="exact" w:val="255"/>
        </w:trPr>
        <w:tc>
          <w:tcPr>
            <w:tcW w:w="0" w:type="auto"/>
            <w:tcBorders>
              <w:top w:val="single" w:sz="4" w:space="0" w:color="auto"/>
              <w:bottom w:val="nil"/>
            </w:tcBorders>
            <w:shd w:val="clear" w:color="auto" w:fill="auto"/>
            <w:noWrap/>
            <w:hideMark/>
          </w:tcPr>
          <w:p w:rsidR="00583BD3" w:rsidRPr="00AB293B" w:rsidRDefault="00583BD3" w:rsidP="000727E8">
            <w:pPr>
              <w:jc w:val="center"/>
              <w:rPr>
                <w:rFonts w:ascii="Garamond" w:hAnsi="Garamond" w:cs="Calibri"/>
                <w:color w:val="000000" w:themeColor="text1"/>
                <w:sz w:val="20"/>
                <w:szCs w:val="20"/>
              </w:rPr>
            </w:pPr>
            <w:r w:rsidRPr="00AB293B">
              <w:rPr>
                <w:rFonts w:ascii="Garamond" w:hAnsi="Garamond" w:cs="Calibri"/>
                <w:color w:val="000000" w:themeColor="text1"/>
                <w:sz w:val="20"/>
                <w:szCs w:val="20"/>
              </w:rPr>
              <w:t>Year Fixed Effects</w:t>
            </w:r>
          </w:p>
        </w:tc>
        <w:tc>
          <w:tcPr>
            <w:tcW w:w="0" w:type="auto"/>
            <w:tcBorders>
              <w:top w:val="single" w:sz="4" w:space="0" w:color="auto"/>
              <w:bottom w:val="nil"/>
            </w:tcBorders>
            <w:shd w:val="clear" w:color="auto" w:fill="auto"/>
            <w:noWrap/>
            <w:vAlign w:val="bottom"/>
            <w:hideMark/>
          </w:tcPr>
          <w:p w:rsidR="00583BD3" w:rsidRPr="00AB293B" w:rsidRDefault="00583BD3" w:rsidP="000727E8">
            <w:pPr>
              <w:jc w:val="center"/>
              <w:rPr>
                <w:rFonts w:ascii="Garamond" w:hAnsi="Garamond" w:cs="Calibri"/>
                <w:color w:val="000000" w:themeColor="text1"/>
                <w:sz w:val="20"/>
                <w:szCs w:val="20"/>
              </w:rPr>
            </w:pPr>
            <w:r w:rsidRPr="005159B5">
              <w:rPr>
                <w:rFonts w:ascii="Garamond" w:hAnsi="Garamond" w:cs="Calibri" w:hint="eastAsia"/>
                <w:color w:val="000000" w:themeColor="text1"/>
                <w:sz w:val="20"/>
                <w:szCs w:val="20"/>
              </w:rPr>
              <w:t>Yes</w:t>
            </w:r>
          </w:p>
        </w:tc>
        <w:tc>
          <w:tcPr>
            <w:tcW w:w="0" w:type="auto"/>
            <w:tcBorders>
              <w:top w:val="single" w:sz="4" w:space="0" w:color="auto"/>
              <w:bottom w:val="nil"/>
            </w:tcBorders>
            <w:shd w:val="clear" w:color="auto" w:fill="auto"/>
            <w:noWrap/>
            <w:vAlign w:val="bottom"/>
            <w:hideMark/>
          </w:tcPr>
          <w:p w:rsidR="00583BD3" w:rsidRPr="00AB293B" w:rsidRDefault="00583BD3" w:rsidP="000727E8">
            <w:pPr>
              <w:jc w:val="center"/>
              <w:rPr>
                <w:rFonts w:ascii="Garamond" w:hAnsi="Garamond" w:cs="Calibri"/>
                <w:color w:val="000000" w:themeColor="text1"/>
                <w:sz w:val="20"/>
                <w:szCs w:val="20"/>
              </w:rPr>
            </w:pPr>
            <w:r w:rsidRPr="005159B5">
              <w:rPr>
                <w:rFonts w:ascii="Garamond" w:hAnsi="Garamond" w:cs="Calibri" w:hint="eastAsia"/>
                <w:color w:val="000000" w:themeColor="text1"/>
                <w:sz w:val="20"/>
                <w:szCs w:val="20"/>
              </w:rPr>
              <w:t>Yes</w:t>
            </w:r>
          </w:p>
        </w:tc>
        <w:tc>
          <w:tcPr>
            <w:tcW w:w="0" w:type="auto"/>
            <w:tcBorders>
              <w:top w:val="single" w:sz="4" w:space="0" w:color="auto"/>
              <w:bottom w:val="nil"/>
            </w:tcBorders>
            <w:shd w:val="clear" w:color="auto" w:fill="auto"/>
            <w:noWrap/>
            <w:vAlign w:val="bottom"/>
            <w:hideMark/>
          </w:tcPr>
          <w:p w:rsidR="00583BD3" w:rsidRPr="00AB293B" w:rsidRDefault="00583BD3" w:rsidP="000727E8">
            <w:pPr>
              <w:jc w:val="center"/>
              <w:rPr>
                <w:rFonts w:ascii="Garamond" w:hAnsi="Garamond" w:cs="Calibri"/>
                <w:color w:val="000000" w:themeColor="text1"/>
                <w:sz w:val="20"/>
                <w:szCs w:val="20"/>
              </w:rPr>
            </w:pPr>
            <w:r w:rsidRPr="005159B5">
              <w:rPr>
                <w:rFonts w:ascii="Garamond" w:hAnsi="Garamond" w:cs="Calibri" w:hint="eastAsia"/>
                <w:color w:val="000000" w:themeColor="text1"/>
                <w:sz w:val="20"/>
                <w:szCs w:val="20"/>
              </w:rPr>
              <w:t>Yes</w:t>
            </w:r>
          </w:p>
        </w:tc>
        <w:tc>
          <w:tcPr>
            <w:tcW w:w="0" w:type="auto"/>
            <w:tcBorders>
              <w:top w:val="single" w:sz="4" w:space="0" w:color="auto"/>
              <w:bottom w:val="nil"/>
            </w:tcBorders>
            <w:shd w:val="clear" w:color="auto" w:fill="auto"/>
            <w:noWrap/>
            <w:vAlign w:val="bottom"/>
            <w:hideMark/>
          </w:tcPr>
          <w:p w:rsidR="00583BD3" w:rsidRPr="00AB293B" w:rsidRDefault="00583BD3" w:rsidP="000727E8">
            <w:pPr>
              <w:jc w:val="center"/>
              <w:rPr>
                <w:rFonts w:ascii="Garamond" w:hAnsi="Garamond" w:cs="Calibri"/>
                <w:color w:val="000000" w:themeColor="text1"/>
                <w:sz w:val="20"/>
                <w:szCs w:val="20"/>
              </w:rPr>
            </w:pPr>
            <w:r w:rsidRPr="005159B5">
              <w:rPr>
                <w:rFonts w:ascii="Garamond" w:hAnsi="Garamond" w:cs="Calibri" w:hint="eastAsia"/>
                <w:color w:val="000000" w:themeColor="text1"/>
                <w:sz w:val="20"/>
                <w:szCs w:val="20"/>
              </w:rPr>
              <w:t>Yes</w:t>
            </w:r>
          </w:p>
        </w:tc>
        <w:tc>
          <w:tcPr>
            <w:tcW w:w="0" w:type="auto"/>
            <w:tcBorders>
              <w:top w:val="single" w:sz="4" w:space="0" w:color="auto"/>
              <w:bottom w:val="nil"/>
            </w:tcBorders>
            <w:shd w:val="clear" w:color="auto" w:fill="auto"/>
            <w:noWrap/>
            <w:vAlign w:val="center"/>
            <w:hideMark/>
          </w:tcPr>
          <w:p w:rsidR="00583BD3" w:rsidRPr="00AB293B" w:rsidRDefault="00583BD3" w:rsidP="000727E8">
            <w:pPr>
              <w:jc w:val="center"/>
              <w:rPr>
                <w:rFonts w:ascii="Garamond" w:hAnsi="Garamond" w:cs="Calibri"/>
                <w:color w:val="000000" w:themeColor="text1"/>
                <w:sz w:val="20"/>
                <w:szCs w:val="20"/>
              </w:rPr>
            </w:pPr>
            <w:r w:rsidRPr="005159B5">
              <w:rPr>
                <w:rFonts w:ascii="Garamond" w:hAnsi="Garamond" w:cs="Calibri" w:hint="eastAsia"/>
                <w:color w:val="000000" w:themeColor="text1"/>
                <w:sz w:val="20"/>
                <w:szCs w:val="20"/>
              </w:rPr>
              <w:t>Yes</w:t>
            </w:r>
          </w:p>
        </w:tc>
        <w:tc>
          <w:tcPr>
            <w:tcW w:w="0" w:type="auto"/>
            <w:tcBorders>
              <w:top w:val="single" w:sz="4" w:space="0" w:color="auto"/>
              <w:bottom w:val="nil"/>
            </w:tcBorders>
            <w:shd w:val="clear" w:color="auto" w:fill="auto"/>
            <w:noWrap/>
            <w:vAlign w:val="bottom"/>
            <w:hideMark/>
          </w:tcPr>
          <w:p w:rsidR="00583BD3" w:rsidRPr="00AB293B" w:rsidRDefault="00583BD3" w:rsidP="000727E8">
            <w:pPr>
              <w:jc w:val="center"/>
              <w:rPr>
                <w:rFonts w:ascii="Garamond" w:hAnsi="Garamond" w:cs="Calibri"/>
                <w:color w:val="000000" w:themeColor="text1"/>
                <w:sz w:val="20"/>
                <w:szCs w:val="20"/>
              </w:rPr>
            </w:pPr>
            <w:r w:rsidRPr="005159B5">
              <w:rPr>
                <w:rFonts w:ascii="Garamond" w:hAnsi="Garamond" w:cs="Calibri" w:hint="eastAsia"/>
                <w:color w:val="000000" w:themeColor="text1"/>
                <w:sz w:val="20"/>
                <w:szCs w:val="20"/>
              </w:rPr>
              <w:t>Yes</w:t>
            </w:r>
          </w:p>
        </w:tc>
      </w:tr>
      <w:tr w:rsidR="00583BD3" w:rsidRPr="00AD7E96" w:rsidTr="000727E8">
        <w:trPr>
          <w:trHeight w:hRule="exact" w:val="255"/>
        </w:trPr>
        <w:tc>
          <w:tcPr>
            <w:tcW w:w="0" w:type="auto"/>
            <w:tcBorders>
              <w:top w:val="nil"/>
            </w:tcBorders>
            <w:shd w:val="clear" w:color="auto" w:fill="auto"/>
            <w:noWrap/>
            <w:hideMark/>
          </w:tcPr>
          <w:p w:rsidR="00583BD3" w:rsidRPr="00AB293B" w:rsidRDefault="00583BD3" w:rsidP="000727E8">
            <w:pPr>
              <w:jc w:val="center"/>
              <w:rPr>
                <w:rFonts w:ascii="Garamond" w:hAnsi="Garamond" w:cs="Calibri"/>
                <w:color w:val="000000" w:themeColor="text1"/>
                <w:sz w:val="20"/>
                <w:szCs w:val="20"/>
              </w:rPr>
            </w:pPr>
            <w:r>
              <w:rPr>
                <w:rFonts w:ascii="Garamond" w:hAnsi="Garamond" w:cs="Calibri"/>
                <w:color w:val="000000" w:themeColor="text1"/>
                <w:sz w:val="20"/>
                <w:szCs w:val="20"/>
              </w:rPr>
              <w:t>Firm</w:t>
            </w:r>
            <w:r w:rsidRPr="00AB293B">
              <w:rPr>
                <w:rFonts w:ascii="Garamond" w:hAnsi="Garamond" w:cs="Calibri"/>
                <w:color w:val="000000" w:themeColor="text1"/>
                <w:sz w:val="20"/>
                <w:szCs w:val="20"/>
              </w:rPr>
              <w:t xml:space="preserve"> Fixed Effects</w:t>
            </w:r>
          </w:p>
        </w:tc>
        <w:tc>
          <w:tcPr>
            <w:tcW w:w="0" w:type="auto"/>
            <w:tcBorders>
              <w:top w:val="nil"/>
            </w:tcBorders>
            <w:shd w:val="clear" w:color="auto" w:fill="auto"/>
            <w:noWrap/>
            <w:vAlign w:val="bottom"/>
            <w:hideMark/>
          </w:tcPr>
          <w:p w:rsidR="00583BD3" w:rsidRPr="00AB293B" w:rsidRDefault="00583BD3" w:rsidP="000727E8">
            <w:pPr>
              <w:jc w:val="center"/>
              <w:rPr>
                <w:rFonts w:ascii="Garamond" w:hAnsi="Garamond" w:cs="Calibri"/>
                <w:color w:val="000000" w:themeColor="text1"/>
                <w:sz w:val="20"/>
                <w:szCs w:val="20"/>
              </w:rPr>
            </w:pPr>
            <w:r w:rsidRPr="005159B5">
              <w:rPr>
                <w:rFonts w:ascii="Garamond" w:hAnsi="Garamond" w:cs="Calibri" w:hint="eastAsia"/>
                <w:color w:val="000000" w:themeColor="text1"/>
                <w:sz w:val="20"/>
                <w:szCs w:val="20"/>
              </w:rPr>
              <w:t>Yes</w:t>
            </w:r>
          </w:p>
        </w:tc>
        <w:tc>
          <w:tcPr>
            <w:tcW w:w="0" w:type="auto"/>
            <w:tcBorders>
              <w:top w:val="nil"/>
            </w:tcBorders>
            <w:shd w:val="clear" w:color="auto" w:fill="auto"/>
            <w:noWrap/>
            <w:vAlign w:val="bottom"/>
            <w:hideMark/>
          </w:tcPr>
          <w:p w:rsidR="00583BD3" w:rsidRPr="00AB293B" w:rsidRDefault="00583BD3" w:rsidP="000727E8">
            <w:pPr>
              <w:jc w:val="center"/>
              <w:rPr>
                <w:rFonts w:ascii="Garamond" w:hAnsi="Garamond" w:cs="Calibri"/>
                <w:color w:val="000000" w:themeColor="text1"/>
                <w:sz w:val="20"/>
                <w:szCs w:val="20"/>
              </w:rPr>
            </w:pPr>
            <w:r w:rsidRPr="005159B5">
              <w:rPr>
                <w:rFonts w:ascii="Garamond" w:hAnsi="Garamond" w:cs="Calibri" w:hint="eastAsia"/>
                <w:color w:val="000000" w:themeColor="text1"/>
                <w:sz w:val="20"/>
                <w:szCs w:val="20"/>
              </w:rPr>
              <w:t>Yes</w:t>
            </w:r>
          </w:p>
        </w:tc>
        <w:tc>
          <w:tcPr>
            <w:tcW w:w="0" w:type="auto"/>
            <w:tcBorders>
              <w:top w:val="nil"/>
            </w:tcBorders>
            <w:shd w:val="clear" w:color="auto" w:fill="auto"/>
            <w:noWrap/>
            <w:vAlign w:val="bottom"/>
            <w:hideMark/>
          </w:tcPr>
          <w:p w:rsidR="00583BD3" w:rsidRPr="00AB293B" w:rsidRDefault="00583BD3" w:rsidP="000727E8">
            <w:pPr>
              <w:jc w:val="center"/>
              <w:rPr>
                <w:rFonts w:ascii="Garamond" w:hAnsi="Garamond" w:cs="Calibri"/>
                <w:color w:val="000000" w:themeColor="text1"/>
                <w:sz w:val="20"/>
                <w:szCs w:val="20"/>
              </w:rPr>
            </w:pPr>
            <w:r w:rsidRPr="005159B5">
              <w:rPr>
                <w:rFonts w:ascii="Garamond" w:hAnsi="Garamond" w:cs="Calibri" w:hint="eastAsia"/>
                <w:color w:val="000000" w:themeColor="text1"/>
                <w:sz w:val="20"/>
                <w:szCs w:val="20"/>
              </w:rPr>
              <w:t>Yes</w:t>
            </w:r>
          </w:p>
        </w:tc>
        <w:tc>
          <w:tcPr>
            <w:tcW w:w="0" w:type="auto"/>
            <w:tcBorders>
              <w:top w:val="nil"/>
            </w:tcBorders>
            <w:shd w:val="clear" w:color="auto" w:fill="auto"/>
            <w:noWrap/>
            <w:vAlign w:val="bottom"/>
            <w:hideMark/>
          </w:tcPr>
          <w:p w:rsidR="00583BD3" w:rsidRPr="00AB293B" w:rsidRDefault="00583BD3" w:rsidP="000727E8">
            <w:pPr>
              <w:jc w:val="center"/>
              <w:rPr>
                <w:rFonts w:ascii="Garamond" w:hAnsi="Garamond" w:cs="Calibri"/>
                <w:color w:val="000000" w:themeColor="text1"/>
                <w:sz w:val="20"/>
                <w:szCs w:val="20"/>
              </w:rPr>
            </w:pPr>
            <w:r w:rsidRPr="005159B5">
              <w:rPr>
                <w:rFonts w:ascii="Garamond" w:hAnsi="Garamond" w:cs="Calibri" w:hint="eastAsia"/>
                <w:color w:val="000000" w:themeColor="text1"/>
                <w:sz w:val="20"/>
                <w:szCs w:val="20"/>
              </w:rPr>
              <w:t>Yes</w:t>
            </w:r>
          </w:p>
        </w:tc>
        <w:tc>
          <w:tcPr>
            <w:tcW w:w="0" w:type="auto"/>
            <w:tcBorders>
              <w:top w:val="nil"/>
            </w:tcBorders>
            <w:shd w:val="clear" w:color="auto" w:fill="auto"/>
            <w:noWrap/>
            <w:vAlign w:val="center"/>
            <w:hideMark/>
          </w:tcPr>
          <w:p w:rsidR="00583BD3" w:rsidRPr="00AB293B" w:rsidRDefault="00583BD3" w:rsidP="000727E8">
            <w:pPr>
              <w:jc w:val="center"/>
              <w:rPr>
                <w:rFonts w:ascii="Garamond" w:hAnsi="Garamond" w:cs="Calibri"/>
                <w:color w:val="000000" w:themeColor="text1"/>
                <w:sz w:val="20"/>
                <w:szCs w:val="20"/>
              </w:rPr>
            </w:pPr>
            <w:r w:rsidRPr="005159B5">
              <w:rPr>
                <w:rFonts w:ascii="Garamond" w:hAnsi="Garamond" w:cs="Calibri" w:hint="eastAsia"/>
                <w:color w:val="000000" w:themeColor="text1"/>
                <w:sz w:val="20"/>
                <w:szCs w:val="20"/>
              </w:rPr>
              <w:t>Yes</w:t>
            </w:r>
          </w:p>
        </w:tc>
        <w:tc>
          <w:tcPr>
            <w:tcW w:w="0" w:type="auto"/>
            <w:tcBorders>
              <w:top w:val="nil"/>
            </w:tcBorders>
            <w:shd w:val="clear" w:color="auto" w:fill="auto"/>
            <w:noWrap/>
            <w:vAlign w:val="bottom"/>
            <w:hideMark/>
          </w:tcPr>
          <w:p w:rsidR="00583BD3" w:rsidRPr="00AB293B" w:rsidRDefault="00583BD3" w:rsidP="000727E8">
            <w:pPr>
              <w:jc w:val="center"/>
              <w:rPr>
                <w:rFonts w:ascii="Garamond" w:hAnsi="Garamond" w:cs="Calibri"/>
                <w:color w:val="000000" w:themeColor="text1"/>
                <w:sz w:val="20"/>
                <w:szCs w:val="20"/>
              </w:rPr>
            </w:pPr>
            <w:r w:rsidRPr="005159B5">
              <w:rPr>
                <w:rFonts w:ascii="Garamond" w:hAnsi="Garamond" w:cs="Calibri" w:hint="eastAsia"/>
                <w:color w:val="000000" w:themeColor="text1"/>
                <w:sz w:val="20"/>
                <w:szCs w:val="20"/>
              </w:rPr>
              <w:t>Yes</w:t>
            </w:r>
          </w:p>
        </w:tc>
      </w:tr>
      <w:tr w:rsidR="00583BD3" w:rsidRPr="00453EFD" w:rsidTr="000727E8">
        <w:trPr>
          <w:trHeight w:hRule="exact" w:val="255"/>
        </w:trPr>
        <w:tc>
          <w:tcPr>
            <w:tcW w:w="0" w:type="auto"/>
            <w:shd w:val="clear" w:color="auto" w:fill="auto"/>
            <w:noWrap/>
            <w:hideMark/>
          </w:tcPr>
          <w:p w:rsidR="00583BD3" w:rsidRPr="00AB293B" w:rsidRDefault="00583BD3" w:rsidP="000727E8">
            <w:pPr>
              <w:jc w:val="center"/>
              <w:rPr>
                <w:rFonts w:ascii="Garamond" w:hAnsi="Garamond" w:cs="Calibri"/>
                <w:color w:val="000000" w:themeColor="text1"/>
                <w:sz w:val="20"/>
                <w:szCs w:val="20"/>
              </w:rPr>
            </w:pPr>
            <w:proofErr w:type="spellStart"/>
            <w:r w:rsidRPr="00AB293B">
              <w:rPr>
                <w:rFonts w:ascii="Garamond" w:hAnsi="Garamond" w:cs="Calibri"/>
                <w:color w:val="000000" w:themeColor="text1"/>
                <w:sz w:val="20"/>
                <w:szCs w:val="20"/>
              </w:rPr>
              <w:t>Adj</w:t>
            </w:r>
            <w:proofErr w:type="spellEnd"/>
            <w:r w:rsidRPr="00AB293B">
              <w:rPr>
                <w:rFonts w:ascii="Garamond" w:hAnsi="Garamond" w:cs="Calibri"/>
                <w:color w:val="000000" w:themeColor="text1"/>
                <w:sz w:val="20"/>
                <w:szCs w:val="20"/>
              </w:rPr>
              <w:t xml:space="preserve"> R-square</w:t>
            </w:r>
          </w:p>
        </w:tc>
        <w:tc>
          <w:tcPr>
            <w:tcW w:w="0" w:type="auto"/>
            <w:shd w:val="clear" w:color="auto" w:fill="auto"/>
            <w:noWrap/>
            <w:vAlign w:val="bottom"/>
            <w:hideMark/>
          </w:tcPr>
          <w:p w:rsidR="00583BD3" w:rsidRPr="00453EFD" w:rsidRDefault="00583BD3" w:rsidP="000727E8">
            <w:pPr>
              <w:jc w:val="center"/>
              <w:rPr>
                <w:rFonts w:ascii="Garamond" w:hAnsi="Garamond" w:cs="Calibri"/>
                <w:color w:val="000000" w:themeColor="text1"/>
                <w:sz w:val="20"/>
                <w:szCs w:val="20"/>
              </w:rPr>
            </w:pPr>
            <w:r w:rsidRPr="00453EFD">
              <w:rPr>
                <w:rFonts w:ascii="Garamond" w:hAnsi="Garamond" w:cs="Calibri" w:hint="eastAsia"/>
                <w:color w:val="000000" w:themeColor="text1"/>
                <w:sz w:val="20"/>
                <w:szCs w:val="20"/>
              </w:rPr>
              <w:t>0.0604</w:t>
            </w:r>
          </w:p>
        </w:tc>
        <w:tc>
          <w:tcPr>
            <w:tcW w:w="0" w:type="auto"/>
            <w:shd w:val="clear" w:color="auto" w:fill="auto"/>
            <w:noWrap/>
            <w:vAlign w:val="bottom"/>
            <w:hideMark/>
          </w:tcPr>
          <w:p w:rsidR="00583BD3" w:rsidRPr="00453EFD" w:rsidRDefault="00583BD3" w:rsidP="000727E8">
            <w:pPr>
              <w:jc w:val="center"/>
              <w:rPr>
                <w:rFonts w:ascii="Garamond" w:hAnsi="Garamond" w:cs="Calibri"/>
                <w:color w:val="000000" w:themeColor="text1"/>
                <w:sz w:val="20"/>
                <w:szCs w:val="20"/>
              </w:rPr>
            </w:pPr>
            <w:r w:rsidRPr="00453EFD">
              <w:rPr>
                <w:rFonts w:ascii="Garamond" w:hAnsi="Garamond" w:cs="Calibri" w:hint="eastAsia"/>
                <w:color w:val="000000" w:themeColor="text1"/>
                <w:sz w:val="20"/>
                <w:szCs w:val="20"/>
              </w:rPr>
              <w:t>0.0466</w:t>
            </w:r>
          </w:p>
        </w:tc>
        <w:tc>
          <w:tcPr>
            <w:tcW w:w="0" w:type="auto"/>
            <w:shd w:val="clear" w:color="auto" w:fill="auto"/>
            <w:noWrap/>
            <w:vAlign w:val="bottom"/>
            <w:hideMark/>
          </w:tcPr>
          <w:p w:rsidR="00583BD3" w:rsidRPr="00453EFD" w:rsidRDefault="00583BD3" w:rsidP="000727E8">
            <w:pPr>
              <w:jc w:val="center"/>
              <w:rPr>
                <w:rFonts w:ascii="Garamond" w:hAnsi="Garamond" w:cs="Calibri"/>
                <w:color w:val="000000" w:themeColor="text1"/>
                <w:sz w:val="20"/>
                <w:szCs w:val="20"/>
              </w:rPr>
            </w:pPr>
            <w:r w:rsidRPr="00453EFD">
              <w:rPr>
                <w:rFonts w:ascii="Garamond" w:hAnsi="Garamond" w:cs="Calibri" w:hint="eastAsia"/>
                <w:color w:val="000000" w:themeColor="text1"/>
                <w:sz w:val="20"/>
                <w:szCs w:val="20"/>
              </w:rPr>
              <w:t>0.0931</w:t>
            </w:r>
          </w:p>
        </w:tc>
        <w:tc>
          <w:tcPr>
            <w:tcW w:w="0" w:type="auto"/>
            <w:shd w:val="clear" w:color="auto" w:fill="auto"/>
            <w:noWrap/>
            <w:vAlign w:val="bottom"/>
            <w:hideMark/>
          </w:tcPr>
          <w:p w:rsidR="00583BD3" w:rsidRPr="00453EFD" w:rsidRDefault="00583BD3" w:rsidP="000727E8">
            <w:pPr>
              <w:jc w:val="center"/>
              <w:rPr>
                <w:rFonts w:ascii="Garamond" w:hAnsi="Garamond" w:cs="Calibri"/>
                <w:color w:val="000000" w:themeColor="text1"/>
                <w:sz w:val="20"/>
                <w:szCs w:val="20"/>
              </w:rPr>
            </w:pPr>
            <w:r w:rsidRPr="00453EFD">
              <w:rPr>
                <w:rFonts w:ascii="Garamond" w:hAnsi="Garamond" w:cs="Calibri" w:hint="eastAsia"/>
                <w:color w:val="000000" w:themeColor="text1"/>
                <w:sz w:val="20"/>
                <w:szCs w:val="20"/>
              </w:rPr>
              <w:t>0.1058</w:t>
            </w:r>
          </w:p>
        </w:tc>
        <w:tc>
          <w:tcPr>
            <w:tcW w:w="0" w:type="auto"/>
            <w:shd w:val="clear" w:color="auto" w:fill="auto"/>
            <w:noWrap/>
            <w:vAlign w:val="center"/>
            <w:hideMark/>
          </w:tcPr>
          <w:p w:rsidR="00583BD3" w:rsidRPr="00453EFD" w:rsidRDefault="00583BD3" w:rsidP="000727E8">
            <w:pPr>
              <w:jc w:val="center"/>
              <w:rPr>
                <w:rFonts w:ascii="Garamond" w:hAnsi="Garamond" w:cs="Calibri"/>
                <w:color w:val="000000" w:themeColor="text1"/>
                <w:sz w:val="20"/>
                <w:szCs w:val="20"/>
              </w:rPr>
            </w:pPr>
            <w:r w:rsidRPr="00453EFD">
              <w:rPr>
                <w:rFonts w:ascii="Garamond" w:hAnsi="Garamond" w:cs="Calibri" w:hint="eastAsia"/>
                <w:color w:val="000000" w:themeColor="text1"/>
                <w:sz w:val="20"/>
                <w:szCs w:val="20"/>
              </w:rPr>
              <w:t>0.0501</w:t>
            </w:r>
          </w:p>
        </w:tc>
        <w:tc>
          <w:tcPr>
            <w:tcW w:w="0" w:type="auto"/>
            <w:shd w:val="clear" w:color="auto" w:fill="auto"/>
            <w:noWrap/>
            <w:vAlign w:val="bottom"/>
            <w:hideMark/>
          </w:tcPr>
          <w:p w:rsidR="00583BD3" w:rsidRPr="00453EFD" w:rsidRDefault="00583BD3" w:rsidP="000727E8">
            <w:pPr>
              <w:jc w:val="center"/>
              <w:rPr>
                <w:rFonts w:ascii="Garamond" w:hAnsi="Garamond" w:cs="Calibri"/>
                <w:color w:val="000000" w:themeColor="text1"/>
                <w:sz w:val="20"/>
                <w:szCs w:val="20"/>
              </w:rPr>
            </w:pPr>
            <w:r w:rsidRPr="00453EFD">
              <w:rPr>
                <w:rFonts w:ascii="Garamond" w:hAnsi="Garamond" w:cs="Calibri" w:hint="eastAsia"/>
                <w:color w:val="000000" w:themeColor="text1"/>
                <w:sz w:val="20"/>
                <w:szCs w:val="20"/>
              </w:rPr>
              <w:t>0.0859</w:t>
            </w:r>
          </w:p>
        </w:tc>
      </w:tr>
      <w:tr w:rsidR="00583BD3" w:rsidRPr="00AD7E96" w:rsidTr="000727E8">
        <w:trPr>
          <w:trHeight w:hRule="exact" w:val="255"/>
        </w:trPr>
        <w:tc>
          <w:tcPr>
            <w:tcW w:w="0" w:type="auto"/>
            <w:shd w:val="clear" w:color="auto" w:fill="auto"/>
            <w:noWrap/>
            <w:hideMark/>
          </w:tcPr>
          <w:p w:rsidR="00583BD3" w:rsidRPr="00AB293B" w:rsidRDefault="00583BD3" w:rsidP="000727E8">
            <w:pPr>
              <w:jc w:val="center"/>
              <w:rPr>
                <w:rFonts w:ascii="Garamond" w:hAnsi="Garamond" w:cs="Calibri"/>
                <w:color w:val="000000" w:themeColor="text1"/>
                <w:sz w:val="20"/>
                <w:szCs w:val="20"/>
              </w:rPr>
            </w:pPr>
            <w:r w:rsidRPr="00AB293B">
              <w:rPr>
                <w:rFonts w:ascii="Garamond" w:hAnsi="Garamond" w:cs="Calibri"/>
                <w:color w:val="000000" w:themeColor="text1"/>
                <w:sz w:val="20"/>
                <w:szCs w:val="20"/>
              </w:rPr>
              <w:t>No. of Observation</w:t>
            </w:r>
          </w:p>
        </w:tc>
        <w:tc>
          <w:tcPr>
            <w:tcW w:w="0" w:type="auto"/>
            <w:shd w:val="clear" w:color="auto" w:fill="auto"/>
            <w:noWrap/>
            <w:vAlign w:val="bottom"/>
            <w:hideMark/>
          </w:tcPr>
          <w:p w:rsidR="00583BD3" w:rsidRPr="00AB293B" w:rsidRDefault="00583BD3" w:rsidP="000727E8">
            <w:pPr>
              <w:jc w:val="center"/>
              <w:rPr>
                <w:rFonts w:ascii="Garamond" w:hAnsi="Garamond" w:cs="Calibri"/>
                <w:color w:val="000000" w:themeColor="text1"/>
                <w:sz w:val="20"/>
                <w:szCs w:val="20"/>
              </w:rPr>
            </w:pPr>
            <w:r w:rsidRPr="00AB293B">
              <w:rPr>
                <w:rFonts w:ascii="Garamond" w:hAnsi="Garamond"/>
                <w:color w:val="000000"/>
                <w:sz w:val="20"/>
                <w:szCs w:val="20"/>
              </w:rPr>
              <w:t>1,909</w:t>
            </w:r>
          </w:p>
        </w:tc>
        <w:tc>
          <w:tcPr>
            <w:tcW w:w="0" w:type="auto"/>
            <w:shd w:val="clear" w:color="auto" w:fill="auto"/>
            <w:noWrap/>
            <w:vAlign w:val="bottom"/>
            <w:hideMark/>
          </w:tcPr>
          <w:p w:rsidR="00583BD3" w:rsidRPr="00AB293B" w:rsidRDefault="00583BD3" w:rsidP="000727E8">
            <w:pPr>
              <w:jc w:val="center"/>
              <w:rPr>
                <w:rFonts w:ascii="Garamond" w:hAnsi="Garamond" w:cs="Calibri"/>
                <w:color w:val="000000" w:themeColor="text1"/>
                <w:sz w:val="20"/>
                <w:szCs w:val="20"/>
              </w:rPr>
            </w:pPr>
            <w:r w:rsidRPr="00AB293B">
              <w:rPr>
                <w:rFonts w:ascii="Garamond" w:hAnsi="Garamond"/>
                <w:color w:val="000000"/>
                <w:sz w:val="20"/>
                <w:szCs w:val="20"/>
              </w:rPr>
              <w:t>2,428</w:t>
            </w:r>
          </w:p>
        </w:tc>
        <w:tc>
          <w:tcPr>
            <w:tcW w:w="0" w:type="auto"/>
            <w:shd w:val="clear" w:color="auto" w:fill="auto"/>
            <w:noWrap/>
            <w:vAlign w:val="bottom"/>
            <w:hideMark/>
          </w:tcPr>
          <w:p w:rsidR="00583BD3" w:rsidRPr="00AB293B" w:rsidRDefault="00583BD3" w:rsidP="000727E8">
            <w:pPr>
              <w:jc w:val="center"/>
              <w:rPr>
                <w:rFonts w:ascii="Garamond" w:hAnsi="Garamond" w:cs="Calibri"/>
                <w:color w:val="000000" w:themeColor="text1"/>
                <w:sz w:val="20"/>
                <w:szCs w:val="20"/>
              </w:rPr>
            </w:pPr>
            <w:r w:rsidRPr="00AB293B">
              <w:rPr>
                <w:rFonts w:ascii="Garamond" w:hAnsi="Garamond"/>
                <w:color w:val="000000"/>
                <w:sz w:val="20"/>
                <w:szCs w:val="20"/>
              </w:rPr>
              <w:t>1,962</w:t>
            </w:r>
          </w:p>
        </w:tc>
        <w:tc>
          <w:tcPr>
            <w:tcW w:w="0" w:type="auto"/>
            <w:shd w:val="clear" w:color="auto" w:fill="auto"/>
            <w:noWrap/>
            <w:vAlign w:val="bottom"/>
            <w:hideMark/>
          </w:tcPr>
          <w:p w:rsidR="00583BD3" w:rsidRPr="00AB293B" w:rsidRDefault="00583BD3" w:rsidP="000727E8">
            <w:pPr>
              <w:jc w:val="center"/>
              <w:rPr>
                <w:rFonts w:ascii="Garamond" w:hAnsi="Garamond" w:cs="Calibri"/>
                <w:color w:val="000000" w:themeColor="text1"/>
                <w:sz w:val="20"/>
                <w:szCs w:val="20"/>
              </w:rPr>
            </w:pPr>
            <w:r w:rsidRPr="00AB293B">
              <w:rPr>
                <w:rFonts w:ascii="Garamond" w:hAnsi="Garamond"/>
                <w:color w:val="000000"/>
                <w:sz w:val="20"/>
                <w:szCs w:val="20"/>
              </w:rPr>
              <w:t>1,946</w:t>
            </w:r>
          </w:p>
        </w:tc>
        <w:tc>
          <w:tcPr>
            <w:tcW w:w="0" w:type="auto"/>
            <w:shd w:val="clear" w:color="auto" w:fill="auto"/>
            <w:noWrap/>
            <w:vAlign w:val="bottom"/>
            <w:hideMark/>
          </w:tcPr>
          <w:p w:rsidR="00583BD3" w:rsidRPr="00AB293B" w:rsidRDefault="00583BD3" w:rsidP="000727E8">
            <w:pPr>
              <w:jc w:val="center"/>
              <w:rPr>
                <w:rFonts w:ascii="Garamond" w:hAnsi="Garamond" w:cs="Calibri"/>
                <w:color w:val="000000" w:themeColor="text1"/>
                <w:sz w:val="20"/>
                <w:szCs w:val="20"/>
              </w:rPr>
            </w:pPr>
            <w:r w:rsidRPr="00AB293B">
              <w:rPr>
                <w:rFonts w:ascii="Garamond" w:hAnsi="Garamond"/>
                <w:color w:val="000000"/>
                <w:sz w:val="20"/>
                <w:szCs w:val="20"/>
              </w:rPr>
              <w:t>2,543</w:t>
            </w:r>
          </w:p>
        </w:tc>
        <w:tc>
          <w:tcPr>
            <w:tcW w:w="0" w:type="auto"/>
            <w:shd w:val="clear" w:color="auto" w:fill="auto"/>
            <w:noWrap/>
            <w:vAlign w:val="bottom"/>
            <w:hideMark/>
          </w:tcPr>
          <w:p w:rsidR="00583BD3" w:rsidRPr="00AB293B" w:rsidRDefault="00583BD3" w:rsidP="000727E8">
            <w:pPr>
              <w:jc w:val="center"/>
              <w:rPr>
                <w:rFonts w:ascii="Garamond" w:hAnsi="Garamond" w:cs="Calibri"/>
                <w:color w:val="000000" w:themeColor="text1"/>
                <w:sz w:val="20"/>
                <w:szCs w:val="20"/>
              </w:rPr>
            </w:pPr>
            <w:r w:rsidRPr="00AB293B">
              <w:rPr>
                <w:rFonts w:ascii="Garamond" w:hAnsi="Garamond"/>
                <w:color w:val="000000"/>
                <w:sz w:val="20"/>
                <w:szCs w:val="20"/>
              </w:rPr>
              <w:t>1,810</w:t>
            </w:r>
          </w:p>
        </w:tc>
      </w:tr>
      <w:tr w:rsidR="00583BD3" w:rsidRPr="00AD7E96" w:rsidTr="000727E8">
        <w:trPr>
          <w:trHeight w:hRule="exact" w:val="255"/>
        </w:trPr>
        <w:tc>
          <w:tcPr>
            <w:tcW w:w="0" w:type="auto"/>
            <w:shd w:val="clear" w:color="auto" w:fill="auto"/>
            <w:noWrap/>
            <w:hideMark/>
          </w:tcPr>
          <w:p w:rsidR="00583BD3" w:rsidRPr="00AB293B" w:rsidRDefault="00583BD3" w:rsidP="000727E8">
            <w:pPr>
              <w:jc w:val="center"/>
              <w:rPr>
                <w:rFonts w:ascii="Garamond" w:hAnsi="Garamond" w:cs="Calibri"/>
                <w:color w:val="000000" w:themeColor="text1"/>
                <w:sz w:val="20"/>
                <w:szCs w:val="20"/>
              </w:rPr>
            </w:pPr>
            <w:r w:rsidRPr="00AB293B">
              <w:rPr>
                <w:rFonts w:ascii="Garamond" w:hAnsi="Garamond" w:cs="Calibri"/>
                <w:color w:val="000000" w:themeColor="text1"/>
                <w:sz w:val="20"/>
                <w:szCs w:val="20"/>
              </w:rPr>
              <w:t>No. of Female CFOs</w:t>
            </w:r>
          </w:p>
        </w:tc>
        <w:tc>
          <w:tcPr>
            <w:tcW w:w="0" w:type="auto"/>
            <w:shd w:val="clear" w:color="auto" w:fill="auto"/>
            <w:noWrap/>
            <w:vAlign w:val="center"/>
            <w:hideMark/>
          </w:tcPr>
          <w:p w:rsidR="00583BD3" w:rsidRPr="00AB293B" w:rsidRDefault="00583BD3" w:rsidP="000727E8">
            <w:pPr>
              <w:jc w:val="center"/>
              <w:rPr>
                <w:rFonts w:ascii="Garamond" w:hAnsi="Garamond" w:cs="Calibri"/>
                <w:color w:val="000000" w:themeColor="text1"/>
                <w:sz w:val="20"/>
                <w:szCs w:val="20"/>
              </w:rPr>
            </w:pPr>
            <w:r w:rsidRPr="00AB293B">
              <w:rPr>
                <w:rFonts w:ascii="Garamond" w:hAnsi="Garamond"/>
                <w:color w:val="000000"/>
                <w:sz w:val="20"/>
                <w:szCs w:val="20"/>
              </w:rPr>
              <w:t>101</w:t>
            </w:r>
          </w:p>
        </w:tc>
        <w:tc>
          <w:tcPr>
            <w:tcW w:w="0" w:type="auto"/>
            <w:shd w:val="clear" w:color="auto" w:fill="auto"/>
            <w:noWrap/>
            <w:vAlign w:val="center"/>
            <w:hideMark/>
          </w:tcPr>
          <w:p w:rsidR="00583BD3" w:rsidRPr="00AB293B" w:rsidRDefault="00583BD3" w:rsidP="000727E8">
            <w:pPr>
              <w:jc w:val="center"/>
              <w:rPr>
                <w:rFonts w:ascii="Garamond" w:hAnsi="Garamond" w:cs="Calibri"/>
                <w:color w:val="000000" w:themeColor="text1"/>
                <w:sz w:val="20"/>
                <w:szCs w:val="20"/>
              </w:rPr>
            </w:pPr>
            <w:r w:rsidRPr="00AB293B">
              <w:rPr>
                <w:rFonts w:ascii="Garamond" w:hAnsi="Garamond"/>
                <w:color w:val="000000"/>
                <w:sz w:val="20"/>
                <w:szCs w:val="20"/>
              </w:rPr>
              <w:t>139</w:t>
            </w:r>
          </w:p>
        </w:tc>
        <w:tc>
          <w:tcPr>
            <w:tcW w:w="0" w:type="auto"/>
            <w:shd w:val="clear" w:color="auto" w:fill="auto"/>
            <w:noWrap/>
            <w:vAlign w:val="center"/>
            <w:hideMark/>
          </w:tcPr>
          <w:p w:rsidR="00583BD3" w:rsidRPr="00AB293B" w:rsidRDefault="00583BD3" w:rsidP="000727E8">
            <w:pPr>
              <w:jc w:val="center"/>
              <w:rPr>
                <w:rFonts w:ascii="Garamond" w:hAnsi="Garamond" w:cs="Calibri"/>
                <w:color w:val="000000" w:themeColor="text1"/>
                <w:sz w:val="20"/>
                <w:szCs w:val="20"/>
              </w:rPr>
            </w:pPr>
            <w:r w:rsidRPr="00AB293B">
              <w:rPr>
                <w:rFonts w:ascii="Garamond" w:hAnsi="Garamond"/>
                <w:color w:val="000000"/>
                <w:sz w:val="20"/>
                <w:szCs w:val="20"/>
              </w:rPr>
              <w:t>89</w:t>
            </w:r>
          </w:p>
        </w:tc>
        <w:tc>
          <w:tcPr>
            <w:tcW w:w="0" w:type="auto"/>
            <w:shd w:val="clear" w:color="auto" w:fill="auto"/>
            <w:noWrap/>
            <w:vAlign w:val="center"/>
            <w:hideMark/>
          </w:tcPr>
          <w:p w:rsidR="00583BD3" w:rsidRPr="00AB293B" w:rsidRDefault="00583BD3" w:rsidP="000727E8">
            <w:pPr>
              <w:jc w:val="center"/>
              <w:rPr>
                <w:rFonts w:ascii="Garamond" w:hAnsi="Garamond" w:cs="Calibri"/>
                <w:color w:val="000000" w:themeColor="text1"/>
                <w:sz w:val="20"/>
                <w:szCs w:val="20"/>
              </w:rPr>
            </w:pPr>
            <w:r w:rsidRPr="00AB293B">
              <w:rPr>
                <w:rFonts w:ascii="Garamond" w:hAnsi="Garamond"/>
                <w:color w:val="000000"/>
                <w:sz w:val="20"/>
                <w:szCs w:val="20"/>
              </w:rPr>
              <w:t>29</w:t>
            </w:r>
          </w:p>
        </w:tc>
        <w:tc>
          <w:tcPr>
            <w:tcW w:w="0" w:type="auto"/>
            <w:shd w:val="clear" w:color="auto" w:fill="auto"/>
            <w:noWrap/>
            <w:vAlign w:val="center"/>
            <w:hideMark/>
          </w:tcPr>
          <w:p w:rsidR="00583BD3" w:rsidRPr="00AB293B" w:rsidRDefault="00583BD3" w:rsidP="000727E8">
            <w:pPr>
              <w:jc w:val="center"/>
              <w:rPr>
                <w:rFonts w:ascii="Garamond" w:hAnsi="Garamond" w:cs="Calibri"/>
                <w:color w:val="000000" w:themeColor="text1"/>
                <w:sz w:val="20"/>
                <w:szCs w:val="20"/>
              </w:rPr>
            </w:pPr>
            <w:r w:rsidRPr="00AB293B">
              <w:rPr>
                <w:rFonts w:ascii="Garamond" w:hAnsi="Garamond"/>
                <w:color w:val="000000"/>
                <w:sz w:val="20"/>
                <w:szCs w:val="20"/>
              </w:rPr>
              <w:t>81</w:t>
            </w:r>
          </w:p>
        </w:tc>
        <w:tc>
          <w:tcPr>
            <w:tcW w:w="0" w:type="auto"/>
            <w:shd w:val="clear" w:color="auto" w:fill="auto"/>
            <w:noWrap/>
            <w:vAlign w:val="center"/>
            <w:hideMark/>
          </w:tcPr>
          <w:p w:rsidR="00583BD3" w:rsidRPr="00AB293B" w:rsidRDefault="00583BD3" w:rsidP="000727E8">
            <w:pPr>
              <w:jc w:val="center"/>
              <w:rPr>
                <w:rFonts w:ascii="Garamond" w:hAnsi="Garamond" w:cs="Calibri"/>
                <w:color w:val="000000" w:themeColor="text1"/>
                <w:sz w:val="20"/>
                <w:szCs w:val="20"/>
              </w:rPr>
            </w:pPr>
            <w:r w:rsidRPr="00AB293B">
              <w:rPr>
                <w:rFonts w:ascii="Garamond" w:hAnsi="Garamond"/>
                <w:color w:val="000000"/>
                <w:sz w:val="20"/>
                <w:szCs w:val="20"/>
              </w:rPr>
              <w:t>219</w:t>
            </w:r>
          </w:p>
        </w:tc>
      </w:tr>
      <w:tr w:rsidR="00583BD3" w:rsidRPr="00AD7E96" w:rsidTr="000727E8">
        <w:trPr>
          <w:trHeight w:hRule="exact" w:val="255"/>
        </w:trPr>
        <w:tc>
          <w:tcPr>
            <w:tcW w:w="0" w:type="auto"/>
            <w:shd w:val="clear" w:color="auto" w:fill="auto"/>
            <w:noWrap/>
            <w:hideMark/>
          </w:tcPr>
          <w:p w:rsidR="00583BD3" w:rsidRPr="004E177A" w:rsidRDefault="00583BD3" w:rsidP="000727E8">
            <w:pPr>
              <w:jc w:val="center"/>
              <w:rPr>
                <w:rFonts w:ascii="Garamond" w:hAnsi="Garamond"/>
                <w:color w:val="000000"/>
                <w:sz w:val="20"/>
                <w:szCs w:val="20"/>
              </w:rPr>
            </w:pPr>
            <w:r w:rsidRPr="004E177A">
              <w:rPr>
                <w:rFonts w:ascii="Garamond" w:hAnsi="Garamond"/>
                <w:color w:val="000000"/>
                <w:sz w:val="20"/>
                <w:szCs w:val="20"/>
              </w:rPr>
              <w:t>Average Leverage</w:t>
            </w:r>
          </w:p>
        </w:tc>
        <w:tc>
          <w:tcPr>
            <w:tcW w:w="0" w:type="auto"/>
            <w:shd w:val="clear" w:color="auto" w:fill="auto"/>
            <w:noWrap/>
            <w:vAlign w:val="center"/>
            <w:hideMark/>
          </w:tcPr>
          <w:p w:rsidR="00583BD3" w:rsidRPr="00AB293B" w:rsidRDefault="00583BD3" w:rsidP="000727E8">
            <w:pPr>
              <w:jc w:val="center"/>
              <w:rPr>
                <w:rFonts w:ascii="Garamond" w:hAnsi="Garamond"/>
                <w:color w:val="000000"/>
                <w:sz w:val="20"/>
                <w:szCs w:val="20"/>
              </w:rPr>
            </w:pPr>
            <w:r w:rsidRPr="004E177A">
              <w:rPr>
                <w:rFonts w:ascii="Garamond" w:hAnsi="Garamond" w:hint="eastAsia"/>
                <w:color w:val="000000"/>
                <w:sz w:val="20"/>
                <w:szCs w:val="20"/>
              </w:rPr>
              <w:t>0.2758</w:t>
            </w:r>
          </w:p>
        </w:tc>
        <w:tc>
          <w:tcPr>
            <w:tcW w:w="0" w:type="auto"/>
            <w:shd w:val="clear" w:color="auto" w:fill="auto"/>
            <w:noWrap/>
            <w:vAlign w:val="center"/>
            <w:hideMark/>
          </w:tcPr>
          <w:p w:rsidR="00583BD3" w:rsidRPr="00AB293B" w:rsidRDefault="00583BD3" w:rsidP="000727E8">
            <w:pPr>
              <w:jc w:val="center"/>
              <w:rPr>
                <w:rFonts w:ascii="Garamond" w:hAnsi="Garamond"/>
                <w:color w:val="000000"/>
                <w:sz w:val="20"/>
                <w:szCs w:val="20"/>
              </w:rPr>
            </w:pPr>
            <w:r w:rsidRPr="004E177A">
              <w:rPr>
                <w:rFonts w:ascii="Garamond" w:hAnsi="Garamond" w:hint="eastAsia"/>
                <w:color w:val="000000"/>
                <w:sz w:val="20"/>
                <w:szCs w:val="20"/>
              </w:rPr>
              <w:t>0.2589</w:t>
            </w:r>
          </w:p>
        </w:tc>
        <w:tc>
          <w:tcPr>
            <w:tcW w:w="0" w:type="auto"/>
            <w:shd w:val="clear" w:color="auto" w:fill="auto"/>
            <w:noWrap/>
            <w:vAlign w:val="center"/>
            <w:hideMark/>
          </w:tcPr>
          <w:p w:rsidR="00583BD3" w:rsidRPr="00AB293B" w:rsidRDefault="00583BD3" w:rsidP="000727E8">
            <w:pPr>
              <w:jc w:val="center"/>
              <w:rPr>
                <w:rFonts w:ascii="Garamond" w:hAnsi="Garamond"/>
                <w:color w:val="000000"/>
                <w:sz w:val="20"/>
                <w:szCs w:val="20"/>
              </w:rPr>
            </w:pPr>
            <w:r w:rsidRPr="004E177A">
              <w:rPr>
                <w:rFonts w:ascii="Garamond" w:hAnsi="Garamond" w:hint="eastAsia"/>
                <w:color w:val="000000"/>
                <w:sz w:val="20"/>
                <w:szCs w:val="20"/>
              </w:rPr>
              <w:t>0.2714</w:t>
            </w:r>
          </w:p>
        </w:tc>
        <w:tc>
          <w:tcPr>
            <w:tcW w:w="0" w:type="auto"/>
            <w:shd w:val="clear" w:color="auto" w:fill="auto"/>
            <w:noWrap/>
            <w:vAlign w:val="center"/>
            <w:hideMark/>
          </w:tcPr>
          <w:p w:rsidR="00583BD3" w:rsidRPr="00AB293B" w:rsidRDefault="00583BD3" w:rsidP="000727E8">
            <w:pPr>
              <w:jc w:val="center"/>
              <w:rPr>
                <w:rFonts w:ascii="Garamond" w:hAnsi="Garamond"/>
                <w:color w:val="000000"/>
                <w:sz w:val="20"/>
                <w:szCs w:val="20"/>
              </w:rPr>
            </w:pPr>
            <w:r w:rsidRPr="004E177A">
              <w:rPr>
                <w:rFonts w:ascii="Garamond" w:hAnsi="Garamond" w:hint="eastAsia"/>
                <w:color w:val="000000"/>
                <w:sz w:val="20"/>
                <w:szCs w:val="20"/>
              </w:rPr>
              <w:t>0.2589</w:t>
            </w:r>
          </w:p>
        </w:tc>
        <w:tc>
          <w:tcPr>
            <w:tcW w:w="0" w:type="auto"/>
            <w:shd w:val="clear" w:color="auto" w:fill="auto"/>
            <w:noWrap/>
            <w:vAlign w:val="center"/>
            <w:hideMark/>
          </w:tcPr>
          <w:p w:rsidR="00583BD3" w:rsidRPr="00AB293B" w:rsidRDefault="00583BD3" w:rsidP="000727E8">
            <w:pPr>
              <w:jc w:val="center"/>
              <w:rPr>
                <w:rFonts w:ascii="Garamond" w:hAnsi="Garamond"/>
                <w:color w:val="000000"/>
                <w:sz w:val="20"/>
                <w:szCs w:val="20"/>
              </w:rPr>
            </w:pPr>
            <w:r w:rsidRPr="004E177A">
              <w:rPr>
                <w:rFonts w:ascii="Garamond" w:hAnsi="Garamond" w:hint="eastAsia"/>
                <w:color w:val="000000"/>
                <w:sz w:val="20"/>
                <w:szCs w:val="20"/>
              </w:rPr>
              <w:t>0.2613</w:t>
            </w:r>
          </w:p>
        </w:tc>
        <w:tc>
          <w:tcPr>
            <w:tcW w:w="0" w:type="auto"/>
            <w:shd w:val="clear" w:color="auto" w:fill="auto"/>
            <w:noWrap/>
            <w:vAlign w:val="center"/>
            <w:hideMark/>
          </w:tcPr>
          <w:p w:rsidR="00583BD3" w:rsidRPr="00AB293B" w:rsidRDefault="00583BD3" w:rsidP="000727E8">
            <w:pPr>
              <w:jc w:val="center"/>
              <w:rPr>
                <w:rFonts w:ascii="Garamond" w:hAnsi="Garamond"/>
                <w:color w:val="000000"/>
                <w:sz w:val="20"/>
                <w:szCs w:val="20"/>
              </w:rPr>
            </w:pPr>
            <w:r w:rsidRPr="004E177A">
              <w:rPr>
                <w:rFonts w:ascii="Garamond" w:hAnsi="Garamond" w:hint="eastAsia"/>
                <w:color w:val="000000"/>
                <w:sz w:val="20"/>
                <w:szCs w:val="20"/>
              </w:rPr>
              <w:t>0.2852</w:t>
            </w:r>
          </w:p>
        </w:tc>
      </w:tr>
    </w:tbl>
    <w:p w:rsidR="00583BD3" w:rsidRDefault="00583BD3" w:rsidP="00583BD3">
      <w:pPr>
        <w:jc w:val="both"/>
      </w:pPr>
    </w:p>
    <w:p w:rsidR="00583BD3" w:rsidRDefault="00583BD3" w:rsidP="00583BD3">
      <w:pPr>
        <w:jc w:val="both"/>
      </w:pPr>
    </w:p>
    <w:p w:rsidR="00583BD3" w:rsidRDefault="00583BD3" w:rsidP="00583BD3">
      <w:pPr>
        <w:jc w:val="both"/>
        <w:sectPr w:rsidR="00583BD3">
          <w:pgSz w:w="11906" w:h="16838"/>
          <w:pgMar w:top="1440" w:right="1440" w:bottom="1440" w:left="1440" w:header="708" w:footer="708" w:gutter="0"/>
          <w:cols w:space="708"/>
          <w:docGrid w:linePitch="360"/>
        </w:sectPr>
      </w:pPr>
    </w:p>
    <w:p w:rsidR="00583BD3" w:rsidRDefault="00583BD3" w:rsidP="00583BD3">
      <w:pPr>
        <w:jc w:val="both"/>
        <w:rPr>
          <w:rFonts w:ascii="Garamond" w:hAnsi="Garamond"/>
          <w:color w:val="000000" w:themeColor="text1"/>
          <w:sz w:val="20"/>
        </w:rPr>
      </w:pPr>
      <w:proofErr w:type="gramStart"/>
      <w:r w:rsidRPr="0027464C">
        <w:rPr>
          <w:rFonts w:ascii="Garamond" w:hAnsi="Garamond"/>
          <w:b/>
          <w:color w:val="000000" w:themeColor="text1"/>
          <w:sz w:val="20"/>
        </w:rPr>
        <w:lastRenderedPageBreak/>
        <w:t xml:space="preserve">Table </w:t>
      </w:r>
      <w:r>
        <w:rPr>
          <w:rFonts w:ascii="Garamond" w:hAnsi="Garamond"/>
          <w:b/>
          <w:color w:val="000000" w:themeColor="text1"/>
          <w:sz w:val="20"/>
        </w:rPr>
        <w:t>7</w:t>
      </w:r>
      <w:r w:rsidRPr="0027464C">
        <w:rPr>
          <w:rFonts w:ascii="Garamond" w:hAnsi="Garamond"/>
          <w:b/>
          <w:color w:val="000000" w:themeColor="text1"/>
          <w:sz w:val="20"/>
        </w:rPr>
        <w:t>:</w:t>
      </w:r>
      <w:r w:rsidRPr="00D0508D">
        <w:rPr>
          <w:rFonts w:ascii="Garamond" w:hAnsi="Garamond"/>
          <w:b/>
          <w:color w:val="000000" w:themeColor="text1"/>
          <w:sz w:val="20"/>
        </w:rPr>
        <w:t xml:space="preserve"> Female CFO </w:t>
      </w:r>
      <w:r>
        <w:rPr>
          <w:rFonts w:ascii="Garamond" w:hAnsi="Garamond"/>
          <w:b/>
          <w:color w:val="000000" w:themeColor="text1"/>
          <w:sz w:val="20"/>
        </w:rPr>
        <w:t xml:space="preserve">and </w:t>
      </w:r>
      <w:r w:rsidRPr="00D0508D">
        <w:rPr>
          <w:rFonts w:ascii="Garamond" w:hAnsi="Garamond"/>
          <w:b/>
          <w:color w:val="000000" w:themeColor="text1"/>
          <w:sz w:val="20"/>
        </w:rPr>
        <w:t>powerful CEO</w:t>
      </w:r>
      <w:r>
        <w:rPr>
          <w:rFonts w:ascii="Garamond" w:hAnsi="Garamond"/>
          <w:b/>
          <w:color w:val="000000" w:themeColor="text1"/>
          <w:sz w:val="20"/>
        </w:rPr>
        <w:t>s</w:t>
      </w:r>
      <w:r w:rsidRPr="00D0508D">
        <w:rPr>
          <w:rFonts w:ascii="Garamond" w:hAnsi="Garamond"/>
          <w:b/>
          <w:color w:val="000000" w:themeColor="text1"/>
          <w:sz w:val="20"/>
        </w:rPr>
        <w:t>.</w:t>
      </w:r>
      <w:proofErr w:type="gramEnd"/>
      <w:r w:rsidRPr="00D0508D">
        <w:rPr>
          <w:rFonts w:ascii="Garamond" w:hAnsi="Garamond"/>
          <w:b/>
          <w:color w:val="000000" w:themeColor="text1"/>
          <w:sz w:val="20"/>
        </w:rPr>
        <w:t xml:space="preserve">  </w:t>
      </w:r>
    </w:p>
    <w:p w:rsidR="00583BD3" w:rsidRDefault="00583BD3" w:rsidP="00583BD3">
      <w:pPr>
        <w:jc w:val="both"/>
        <w:rPr>
          <w:rFonts w:ascii="Garamond" w:hAnsi="Garamond"/>
          <w:color w:val="000000" w:themeColor="text1"/>
          <w:sz w:val="20"/>
        </w:rPr>
      </w:pPr>
      <w:r w:rsidRPr="0027464C">
        <w:rPr>
          <w:rFonts w:ascii="Garamond" w:hAnsi="Garamond"/>
          <w:color w:val="000000" w:themeColor="text1"/>
          <w:sz w:val="20"/>
        </w:rPr>
        <w:t xml:space="preserve">This table presents the regression results for female </w:t>
      </w:r>
      <w:proofErr w:type="spellStart"/>
      <w:r w:rsidRPr="0027464C">
        <w:rPr>
          <w:rFonts w:ascii="Garamond" w:hAnsi="Garamond"/>
          <w:color w:val="000000" w:themeColor="text1"/>
          <w:sz w:val="20"/>
        </w:rPr>
        <w:t>CFO</w:t>
      </w:r>
      <w:r>
        <w:rPr>
          <w:rFonts w:ascii="Garamond" w:hAnsi="Garamond"/>
          <w:color w:val="000000" w:themeColor="text1"/>
          <w:sz w:val="20"/>
        </w:rPr>
        <w:t>s’</w:t>
      </w:r>
      <w:proofErr w:type="spellEnd"/>
      <w:r w:rsidRPr="0027464C">
        <w:rPr>
          <w:rFonts w:ascii="Garamond" w:hAnsi="Garamond"/>
          <w:color w:val="000000" w:themeColor="text1"/>
          <w:sz w:val="20"/>
        </w:rPr>
        <w:t xml:space="preserve"> influence on leverage under different levels of CEO power.  Variable definitions are provided in </w:t>
      </w:r>
      <w:r>
        <w:rPr>
          <w:rFonts w:ascii="Garamond" w:hAnsi="Garamond"/>
          <w:color w:val="000000" w:themeColor="text1"/>
          <w:sz w:val="20"/>
        </w:rPr>
        <w:t>the a</w:t>
      </w:r>
      <w:r w:rsidRPr="0027464C">
        <w:rPr>
          <w:rFonts w:ascii="Garamond" w:hAnsi="Garamond"/>
          <w:color w:val="000000" w:themeColor="text1"/>
          <w:sz w:val="20"/>
        </w:rPr>
        <w:t xml:space="preserve">ppendix. </w:t>
      </w:r>
      <w:proofErr w:type="gramStart"/>
      <w:r w:rsidRPr="00D0508D">
        <w:rPr>
          <w:rFonts w:ascii="Garamond" w:hAnsi="Garamond"/>
          <w:i/>
          <w:color w:val="000000" w:themeColor="text1"/>
          <w:sz w:val="20"/>
        </w:rPr>
        <w:t>t</w:t>
      </w:r>
      <w:r w:rsidRPr="0027464C">
        <w:rPr>
          <w:rFonts w:ascii="Garamond" w:hAnsi="Garamond"/>
          <w:color w:val="000000" w:themeColor="text1"/>
          <w:sz w:val="20"/>
        </w:rPr>
        <w:t>-statistics</w:t>
      </w:r>
      <w:proofErr w:type="gramEnd"/>
      <w:r w:rsidRPr="0027464C">
        <w:rPr>
          <w:rFonts w:ascii="Garamond" w:hAnsi="Garamond"/>
          <w:color w:val="000000" w:themeColor="text1"/>
          <w:sz w:val="20"/>
        </w:rPr>
        <w:t xml:space="preserve"> are reported in parentheses and ***, ** and * indicate significance at the 1%, 5% and 10% level respectively. Standard errors are clustered at firm level.</w:t>
      </w:r>
    </w:p>
    <w:p w:rsidR="00583BD3" w:rsidRDefault="00583BD3" w:rsidP="00583BD3">
      <w:pPr>
        <w:jc w:val="both"/>
        <w:rPr>
          <w:rFonts w:ascii="Garamond" w:hAnsi="Garamond"/>
          <w:color w:val="000000" w:themeColor="text1"/>
          <w:sz w:val="20"/>
        </w:rPr>
      </w:pPr>
    </w:p>
    <w:tbl>
      <w:tblPr>
        <w:tblW w:w="5657" w:type="pct"/>
        <w:jc w:val="center"/>
        <w:tblBorders>
          <w:top w:val="single" w:sz="4" w:space="0" w:color="auto"/>
          <w:bottom w:val="single" w:sz="4" w:space="0" w:color="auto"/>
        </w:tblBorders>
        <w:tblLook w:val="04A0"/>
      </w:tblPr>
      <w:tblGrid>
        <w:gridCol w:w="2383"/>
        <w:gridCol w:w="1053"/>
        <w:gridCol w:w="1335"/>
        <w:gridCol w:w="965"/>
        <w:gridCol w:w="908"/>
        <w:gridCol w:w="967"/>
        <w:gridCol w:w="972"/>
        <w:gridCol w:w="908"/>
        <w:gridCol w:w="965"/>
      </w:tblGrid>
      <w:tr w:rsidR="00583BD3" w:rsidRPr="00D14B9E" w:rsidTr="000727E8">
        <w:trPr>
          <w:trHeight w:hRule="exact" w:val="255"/>
          <w:jc w:val="center"/>
        </w:trPr>
        <w:tc>
          <w:tcPr>
            <w:tcW w:w="1140" w:type="pct"/>
            <w:shd w:val="clear" w:color="auto" w:fill="auto"/>
            <w:noWrap/>
            <w:hideMark/>
          </w:tcPr>
          <w:p w:rsidR="00583BD3" w:rsidRPr="00D14B9E" w:rsidRDefault="00583BD3" w:rsidP="000727E8">
            <w:pPr>
              <w:jc w:val="center"/>
              <w:rPr>
                <w:rFonts w:ascii="Garamond" w:hAnsi="Garamond"/>
                <w:sz w:val="18"/>
                <w:szCs w:val="18"/>
              </w:rPr>
            </w:pPr>
          </w:p>
        </w:tc>
        <w:tc>
          <w:tcPr>
            <w:tcW w:w="1142" w:type="pct"/>
            <w:gridSpan w:val="2"/>
            <w:shd w:val="clear" w:color="auto" w:fill="auto"/>
            <w:noWrap/>
            <w:hideMark/>
          </w:tcPr>
          <w:p w:rsidR="00583BD3" w:rsidRPr="001721E0" w:rsidRDefault="00583BD3" w:rsidP="000727E8">
            <w:pPr>
              <w:jc w:val="center"/>
              <w:rPr>
                <w:rFonts w:ascii="Garamond" w:hAnsi="Garamond" w:cs="Calibri"/>
                <w:color w:val="000000"/>
                <w:sz w:val="18"/>
                <w:szCs w:val="18"/>
              </w:rPr>
            </w:pPr>
            <w:r w:rsidRPr="001721E0">
              <w:rPr>
                <w:rFonts w:ascii="Garamond" w:hAnsi="Garamond" w:cs="Calibri"/>
                <w:color w:val="000000"/>
                <w:sz w:val="18"/>
                <w:szCs w:val="18"/>
              </w:rPr>
              <w:t>CEO is Chairman</w:t>
            </w:r>
          </w:p>
        </w:tc>
        <w:tc>
          <w:tcPr>
            <w:tcW w:w="1358" w:type="pct"/>
            <w:gridSpan w:val="3"/>
            <w:shd w:val="clear" w:color="auto" w:fill="auto"/>
            <w:noWrap/>
            <w:hideMark/>
          </w:tcPr>
          <w:p w:rsidR="00583BD3" w:rsidRPr="001721E0" w:rsidRDefault="00583BD3" w:rsidP="000727E8">
            <w:pPr>
              <w:jc w:val="center"/>
              <w:rPr>
                <w:rFonts w:ascii="Garamond" w:hAnsi="Garamond" w:cs="Calibri"/>
                <w:color w:val="000000"/>
                <w:sz w:val="18"/>
                <w:szCs w:val="18"/>
              </w:rPr>
            </w:pPr>
            <w:r w:rsidRPr="001721E0">
              <w:rPr>
                <w:rFonts w:ascii="Garamond" w:hAnsi="Garamond" w:cs="Calibri"/>
                <w:color w:val="000000"/>
                <w:sz w:val="18"/>
                <w:szCs w:val="18"/>
              </w:rPr>
              <w:t>% of insiders</w:t>
            </w:r>
          </w:p>
        </w:tc>
        <w:tc>
          <w:tcPr>
            <w:tcW w:w="1360" w:type="pct"/>
            <w:gridSpan w:val="3"/>
            <w:shd w:val="clear" w:color="auto" w:fill="auto"/>
            <w:noWrap/>
            <w:hideMark/>
          </w:tcPr>
          <w:p w:rsidR="00583BD3" w:rsidRPr="001721E0" w:rsidRDefault="00583BD3" w:rsidP="000727E8">
            <w:pPr>
              <w:jc w:val="center"/>
              <w:rPr>
                <w:rFonts w:ascii="Garamond" w:hAnsi="Garamond" w:cs="Calibri"/>
                <w:color w:val="000000"/>
                <w:sz w:val="18"/>
                <w:szCs w:val="18"/>
              </w:rPr>
            </w:pPr>
            <w:r w:rsidRPr="001721E0">
              <w:rPr>
                <w:rFonts w:ascii="Garamond" w:hAnsi="Garamond" w:cs="Calibri"/>
                <w:color w:val="000000"/>
                <w:sz w:val="18"/>
                <w:szCs w:val="18"/>
              </w:rPr>
              <w:t>CEO Pay Slice</w:t>
            </w:r>
          </w:p>
        </w:tc>
      </w:tr>
      <w:tr w:rsidR="00583BD3" w:rsidRPr="00D14B9E" w:rsidTr="000727E8">
        <w:trPr>
          <w:trHeight w:hRule="exact" w:val="255"/>
          <w:jc w:val="center"/>
        </w:trPr>
        <w:tc>
          <w:tcPr>
            <w:tcW w:w="1140" w:type="pct"/>
            <w:tcBorders>
              <w:bottom w:val="single" w:sz="4" w:space="0" w:color="auto"/>
            </w:tcBorders>
            <w:shd w:val="clear" w:color="auto" w:fill="auto"/>
            <w:noWrap/>
            <w:hideMark/>
          </w:tcPr>
          <w:p w:rsidR="00583BD3" w:rsidRPr="00D14B9E" w:rsidRDefault="00583BD3" w:rsidP="000727E8">
            <w:pPr>
              <w:jc w:val="center"/>
              <w:rPr>
                <w:rFonts w:ascii="Garamond" w:hAnsi="Garamond" w:cs="Calibri"/>
                <w:color w:val="000000"/>
                <w:sz w:val="18"/>
                <w:szCs w:val="18"/>
              </w:rPr>
            </w:pPr>
          </w:p>
        </w:tc>
        <w:tc>
          <w:tcPr>
            <w:tcW w:w="504" w:type="pct"/>
            <w:tcBorders>
              <w:bottom w:val="single" w:sz="4" w:space="0" w:color="auto"/>
            </w:tcBorders>
            <w:shd w:val="clear" w:color="auto" w:fill="auto"/>
            <w:noWrap/>
            <w:hideMark/>
          </w:tcPr>
          <w:p w:rsidR="00583BD3" w:rsidRPr="001721E0" w:rsidRDefault="00583BD3" w:rsidP="000727E8">
            <w:pPr>
              <w:jc w:val="center"/>
              <w:rPr>
                <w:rFonts w:ascii="Garamond" w:hAnsi="Garamond" w:cs="Calibri"/>
                <w:color w:val="000000"/>
                <w:sz w:val="18"/>
                <w:szCs w:val="18"/>
              </w:rPr>
            </w:pPr>
            <w:r w:rsidRPr="001721E0">
              <w:rPr>
                <w:rFonts w:ascii="Garamond" w:hAnsi="Garamond" w:cs="Calibri"/>
                <w:color w:val="000000"/>
                <w:sz w:val="18"/>
                <w:szCs w:val="18"/>
              </w:rPr>
              <w:t>Yes</w:t>
            </w:r>
          </w:p>
        </w:tc>
        <w:tc>
          <w:tcPr>
            <w:tcW w:w="639" w:type="pct"/>
            <w:tcBorders>
              <w:bottom w:val="single" w:sz="4" w:space="0" w:color="auto"/>
            </w:tcBorders>
            <w:shd w:val="clear" w:color="auto" w:fill="auto"/>
            <w:noWrap/>
            <w:hideMark/>
          </w:tcPr>
          <w:p w:rsidR="00583BD3" w:rsidRPr="001721E0" w:rsidRDefault="00583BD3" w:rsidP="000727E8">
            <w:pPr>
              <w:jc w:val="center"/>
              <w:rPr>
                <w:rFonts w:ascii="Garamond" w:hAnsi="Garamond" w:cs="Calibri"/>
                <w:color w:val="000000"/>
                <w:sz w:val="18"/>
                <w:szCs w:val="18"/>
              </w:rPr>
            </w:pPr>
            <w:r w:rsidRPr="001721E0">
              <w:rPr>
                <w:rFonts w:ascii="Garamond" w:hAnsi="Garamond" w:cs="Calibri"/>
                <w:color w:val="000000"/>
                <w:sz w:val="18"/>
                <w:szCs w:val="18"/>
              </w:rPr>
              <w:t>No</w:t>
            </w:r>
          </w:p>
        </w:tc>
        <w:tc>
          <w:tcPr>
            <w:tcW w:w="461" w:type="pct"/>
            <w:tcBorders>
              <w:bottom w:val="single" w:sz="4" w:space="0" w:color="auto"/>
            </w:tcBorders>
            <w:shd w:val="clear" w:color="auto" w:fill="auto"/>
            <w:noWrap/>
            <w:hideMark/>
          </w:tcPr>
          <w:p w:rsidR="00583BD3" w:rsidRPr="001721E0" w:rsidRDefault="00583BD3" w:rsidP="000727E8">
            <w:pPr>
              <w:jc w:val="center"/>
              <w:rPr>
                <w:rFonts w:ascii="Garamond" w:hAnsi="Garamond" w:cs="Calibri"/>
                <w:color w:val="000000"/>
                <w:sz w:val="18"/>
                <w:szCs w:val="18"/>
              </w:rPr>
            </w:pPr>
            <w:r w:rsidRPr="001721E0">
              <w:rPr>
                <w:rFonts w:ascii="Garamond" w:hAnsi="Garamond" w:cs="Calibri"/>
                <w:color w:val="000000"/>
                <w:sz w:val="18"/>
                <w:szCs w:val="18"/>
              </w:rPr>
              <w:t>Low</w:t>
            </w:r>
          </w:p>
        </w:tc>
        <w:tc>
          <w:tcPr>
            <w:tcW w:w="434" w:type="pct"/>
            <w:tcBorders>
              <w:bottom w:val="single" w:sz="4" w:space="0" w:color="auto"/>
            </w:tcBorders>
            <w:shd w:val="clear" w:color="auto" w:fill="auto"/>
            <w:noWrap/>
            <w:hideMark/>
          </w:tcPr>
          <w:p w:rsidR="00583BD3" w:rsidRPr="001721E0" w:rsidRDefault="00583BD3" w:rsidP="000727E8">
            <w:pPr>
              <w:jc w:val="center"/>
              <w:rPr>
                <w:rFonts w:ascii="Garamond" w:hAnsi="Garamond" w:cs="Calibri"/>
                <w:color w:val="000000"/>
                <w:sz w:val="18"/>
                <w:szCs w:val="18"/>
              </w:rPr>
            </w:pPr>
            <w:r w:rsidRPr="001721E0">
              <w:rPr>
                <w:rFonts w:ascii="Garamond" w:hAnsi="Garamond" w:cs="Calibri"/>
                <w:color w:val="000000"/>
                <w:sz w:val="18"/>
                <w:szCs w:val="18"/>
              </w:rPr>
              <w:t>Middle</w:t>
            </w:r>
          </w:p>
        </w:tc>
        <w:tc>
          <w:tcPr>
            <w:tcW w:w="462" w:type="pct"/>
            <w:tcBorders>
              <w:bottom w:val="single" w:sz="4" w:space="0" w:color="auto"/>
            </w:tcBorders>
            <w:shd w:val="clear" w:color="auto" w:fill="auto"/>
            <w:noWrap/>
            <w:hideMark/>
          </w:tcPr>
          <w:p w:rsidR="00583BD3" w:rsidRPr="001721E0" w:rsidRDefault="00583BD3" w:rsidP="000727E8">
            <w:pPr>
              <w:jc w:val="center"/>
              <w:rPr>
                <w:rFonts w:ascii="Garamond" w:hAnsi="Garamond" w:cs="Calibri"/>
                <w:color w:val="000000"/>
                <w:sz w:val="18"/>
                <w:szCs w:val="18"/>
              </w:rPr>
            </w:pPr>
            <w:r w:rsidRPr="001721E0">
              <w:rPr>
                <w:rFonts w:ascii="Garamond" w:hAnsi="Garamond" w:cs="Calibri"/>
                <w:color w:val="000000"/>
                <w:sz w:val="18"/>
                <w:szCs w:val="18"/>
              </w:rPr>
              <w:t>High</w:t>
            </w:r>
          </w:p>
        </w:tc>
        <w:tc>
          <w:tcPr>
            <w:tcW w:w="465" w:type="pct"/>
            <w:tcBorders>
              <w:bottom w:val="single" w:sz="4" w:space="0" w:color="auto"/>
            </w:tcBorders>
            <w:shd w:val="clear" w:color="auto" w:fill="auto"/>
            <w:noWrap/>
            <w:hideMark/>
          </w:tcPr>
          <w:p w:rsidR="00583BD3" w:rsidRPr="001721E0" w:rsidRDefault="00583BD3" w:rsidP="000727E8">
            <w:pPr>
              <w:jc w:val="center"/>
              <w:rPr>
                <w:rFonts w:ascii="Garamond" w:hAnsi="Garamond" w:cs="Calibri"/>
                <w:color w:val="000000"/>
                <w:sz w:val="18"/>
                <w:szCs w:val="18"/>
              </w:rPr>
            </w:pPr>
            <w:r w:rsidRPr="001721E0">
              <w:rPr>
                <w:rFonts w:ascii="Garamond" w:hAnsi="Garamond" w:cs="Calibri"/>
                <w:color w:val="000000"/>
                <w:sz w:val="18"/>
                <w:szCs w:val="18"/>
              </w:rPr>
              <w:t>Low</w:t>
            </w:r>
          </w:p>
        </w:tc>
        <w:tc>
          <w:tcPr>
            <w:tcW w:w="434" w:type="pct"/>
            <w:tcBorders>
              <w:bottom w:val="single" w:sz="4" w:space="0" w:color="auto"/>
            </w:tcBorders>
            <w:shd w:val="clear" w:color="auto" w:fill="auto"/>
            <w:noWrap/>
            <w:hideMark/>
          </w:tcPr>
          <w:p w:rsidR="00583BD3" w:rsidRPr="00D14B9E" w:rsidRDefault="00583BD3" w:rsidP="000727E8">
            <w:pPr>
              <w:jc w:val="center"/>
              <w:rPr>
                <w:rFonts w:ascii="Garamond" w:hAnsi="Garamond" w:cs="Calibri"/>
                <w:color w:val="000000"/>
                <w:sz w:val="18"/>
                <w:szCs w:val="18"/>
              </w:rPr>
            </w:pPr>
            <w:r w:rsidRPr="00D14B9E">
              <w:rPr>
                <w:rFonts w:ascii="Garamond" w:hAnsi="Garamond" w:cs="Calibri"/>
                <w:color w:val="000000"/>
                <w:sz w:val="18"/>
                <w:szCs w:val="18"/>
              </w:rPr>
              <w:t>Middle</w:t>
            </w:r>
          </w:p>
        </w:tc>
        <w:tc>
          <w:tcPr>
            <w:tcW w:w="461" w:type="pct"/>
            <w:tcBorders>
              <w:bottom w:val="single" w:sz="4" w:space="0" w:color="auto"/>
            </w:tcBorders>
            <w:shd w:val="clear" w:color="auto" w:fill="auto"/>
            <w:noWrap/>
            <w:hideMark/>
          </w:tcPr>
          <w:p w:rsidR="00583BD3" w:rsidRPr="00D14B9E" w:rsidRDefault="00583BD3" w:rsidP="000727E8">
            <w:pPr>
              <w:jc w:val="center"/>
              <w:rPr>
                <w:rFonts w:ascii="Garamond" w:hAnsi="Garamond" w:cs="Calibri"/>
                <w:color w:val="000000"/>
                <w:sz w:val="18"/>
                <w:szCs w:val="18"/>
              </w:rPr>
            </w:pPr>
            <w:r w:rsidRPr="00D14B9E">
              <w:rPr>
                <w:rFonts w:ascii="Garamond" w:hAnsi="Garamond" w:cs="Calibri"/>
                <w:color w:val="000000"/>
                <w:sz w:val="18"/>
                <w:szCs w:val="18"/>
              </w:rPr>
              <w:t>High</w:t>
            </w:r>
          </w:p>
        </w:tc>
      </w:tr>
      <w:tr w:rsidR="00583BD3" w:rsidRPr="001721E0" w:rsidTr="000727E8">
        <w:trPr>
          <w:trHeight w:hRule="exact" w:val="255"/>
          <w:jc w:val="center"/>
        </w:trPr>
        <w:tc>
          <w:tcPr>
            <w:tcW w:w="1140" w:type="pct"/>
            <w:tcBorders>
              <w:top w:val="single" w:sz="4" w:space="0" w:color="auto"/>
              <w:bottom w:val="nil"/>
            </w:tcBorders>
            <w:shd w:val="clear" w:color="auto" w:fill="auto"/>
            <w:noWrap/>
            <w:hideMark/>
          </w:tcPr>
          <w:p w:rsidR="00583BD3" w:rsidRPr="0062470B" w:rsidRDefault="00583BD3" w:rsidP="000727E8">
            <w:pPr>
              <w:jc w:val="center"/>
              <w:rPr>
                <w:rFonts w:ascii="Garamond" w:hAnsi="Garamond" w:cs="Calibri"/>
                <w:color w:val="FF0000"/>
                <w:sz w:val="18"/>
                <w:szCs w:val="18"/>
                <w:vertAlign w:val="subscript"/>
              </w:rPr>
            </w:pPr>
            <w:r w:rsidRPr="00D14B9E">
              <w:rPr>
                <w:rFonts w:ascii="Garamond" w:hAnsi="Garamond" w:cs="Calibri"/>
                <w:color w:val="000000"/>
                <w:sz w:val="18"/>
                <w:szCs w:val="18"/>
              </w:rPr>
              <w:t>CFO Female Dummy</w:t>
            </w:r>
            <w:r w:rsidRPr="0062470B">
              <w:rPr>
                <w:rFonts w:ascii="Garamond" w:hAnsi="Garamond" w:cs="Calibri"/>
                <w:color w:val="000000"/>
                <w:sz w:val="18"/>
                <w:szCs w:val="18"/>
                <w:vertAlign w:val="subscript"/>
              </w:rPr>
              <w:t>t-1</w:t>
            </w:r>
          </w:p>
        </w:tc>
        <w:tc>
          <w:tcPr>
            <w:tcW w:w="504" w:type="pct"/>
            <w:tcBorders>
              <w:top w:val="single" w:sz="4" w:space="0" w:color="auto"/>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-0.0233</w:t>
            </w:r>
          </w:p>
        </w:tc>
        <w:tc>
          <w:tcPr>
            <w:tcW w:w="639" w:type="pct"/>
            <w:tcBorders>
              <w:top w:val="single" w:sz="4" w:space="0" w:color="auto"/>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-0.0467***</w:t>
            </w:r>
          </w:p>
        </w:tc>
        <w:tc>
          <w:tcPr>
            <w:tcW w:w="461" w:type="pct"/>
            <w:tcBorders>
              <w:top w:val="single" w:sz="4" w:space="0" w:color="auto"/>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-0.0961***</w:t>
            </w:r>
          </w:p>
        </w:tc>
        <w:tc>
          <w:tcPr>
            <w:tcW w:w="434" w:type="pct"/>
            <w:tcBorders>
              <w:top w:val="single" w:sz="4" w:space="0" w:color="auto"/>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-0.0575*</w:t>
            </w:r>
          </w:p>
        </w:tc>
        <w:tc>
          <w:tcPr>
            <w:tcW w:w="462" w:type="pct"/>
            <w:tcBorders>
              <w:top w:val="single" w:sz="4" w:space="0" w:color="auto"/>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-0.0107</w:t>
            </w:r>
          </w:p>
        </w:tc>
        <w:tc>
          <w:tcPr>
            <w:tcW w:w="465" w:type="pct"/>
            <w:tcBorders>
              <w:top w:val="single" w:sz="4" w:space="0" w:color="auto"/>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-0.0828**</w:t>
            </w:r>
          </w:p>
        </w:tc>
        <w:tc>
          <w:tcPr>
            <w:tcW w:w="434" w:type="pct"/>
            <w:tcBorders>
              <w:top w:val="single" w:sz="4" w:space="0" w:color="auto"/>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-0.0356*</w:t>
            </w:r>
          </w:p>
        </w:tc>
        <w:tc>
          <w:tcPr>
            <w:tcW w:w="461" w:type="pct"/>
            <w:tcBorders>
              <w:top w:val="single" w:sz="4" w:space="0" w:color="auto"/>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-0.0269</w:t>
            </w:r>
          </w:p>
        </w:tc>
      </w:tr>
      <w:tr w:rsidR="00583BD3" w:rsidRPr="001721E0" w:rsidTr="000727E8">
        <w:trPr>
          <w:trHeight w:hRule="exact" w:val="255"/>
          <w:jc w:val="center"/>
        </w:trPr>
        <w:tc>
          <w:tcPr>
            <w:tcW w:w="1140" w:type="pct"/>
            <w:tcBorders>
              <w:top w:val="nil"/>
              <w:bottom w:val="nil"/>
            </w:tcBorders>
            <w:shd w:val="clear" w:color="auto" w:fill="auto"/>
            <w:noWrap/>
            <w:hideMark/>
          </w:tcPr>
          <w:p w:rsidR="00583BD3" w:rsidRPr="00D14B9E" w:rsidRDefault="00583BD3" w:rsidP="000727E8">
            <w:pPr>
              <w:jc w:val="center"/>
              <w:rPr>
                <w:rFonts w:ascii="Garamond" w:hAnsi="Garamond" w:cs="Calibri"/>
                <w:color w:val="000000"/>
                <w:sz w:val="18"/>
                <w:szCs w:val="18"/>
              </w:rPr>
            </w:pPr>
          </w:p>
        </w:tc>
        <w:tc>
          <w:tcPr>
            <w:tcW w:w="50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(-0.50)</w:t>
            </w:r>
          </w:p>
        </w:tc>
        <w:tc>
          <w:tcPr>
            <w:tcW w:w="639"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(-2.98)</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(-2.93)</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(-1.87)</w:t>
            </w:r>
          </w:p>
        </w:tc>
        <w:tc>
          <w:tcPr>
            <w:tcW w:w="462"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(-0.40)</w:t>
            </w:r>
          </w:p>
        </w:tc>
        <w:tc>
          <w:tcPr>
            <w:tcW w:w="465"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(-2.03)</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(-1.68)</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(-1.22)</w:t>
            </w:r>
          </w:p>
        </w:tc>
      </w:tr>
      <w:tr w:rsidR="00583BD3" w:rsidRPr="001721E0" w:rsidTr="000727E8">
        <w:trPr>
          <w:trHeight w:hRule="exact" w:val="255"/>
          <w:jc w:val="center"/>
        </w:trPr>
        <w:tc>
          <w:tcPr>
            <w:tcW w:w="1140" w:type="pct"/>
            <w:tcBorders>
              <w:top w:val="nil"/>
              <w:bottom w:val="nil"/>
            </w:tcBorders>
            <w:shd w:val="clear" w:color="auto" w:fill="auto"/>
            <w:noWrap/>
            <w:hideMark/>
          </w:tcPr>
          <w:p w:rsidR="00583BD3" w:rsidRPr="00D14B9E" w:rsidRDefault="00583BD3" w:rsidP="000727E8">
            <w:pPr>
              <w:jc w:val="center"/>
              <w:rPr>
                <w:rFonts w:ascii="Garamond" w:hAnsi="Garamond" w:cs="Calibri"/>
                <w:color w:val="000000"/>
                <w:sz w:val="18"/>
                <w:szCs w:val="18"/>
              </w:rPr>
            </w:pPr>
            <w:proofErr w:type="spellStart"/>
            <w:r w:rsidRPr="00D14B9E">
              <w:rPr>
                <w:rFonts w:ascii="Garamond" w:hAnsi="Garamond" w:cs="Calibri"/>
                <w:color w:val="000000"/>
                <w:sz w:val="18"/>
                <w:szCs w:val="18"/>
              </w:rPr>
              <w:t>Ln</w:t>
            </w:r>
            <w:proofErr w:type="spellEnd"/>
            <w:r w:rsidRPr="00D14B9E">
              <w:rPr>
                <w:rFonts w:ascii="Garamond" w:hAnsi="Garamond" w:cs="Calibri"/>
                <w:color w:val="000000"/>
                <w:sz w:val="18"/>
                <w:szCs w:val="18"/>
              </w:rPr>
              <w:t>(number of directors)</w:t>
            </w:r>
            <w:r>
              <w:rPr>
                <w:rFonts w:ascii="Garamond" w:hAnsi="Garamond" w:cs="Calibri"/>
                <w:color w:val="000000"/>
                <w:sz w:val="18"/>
                <w:szCs w:val="18"/>
                <w:vertAlign w:val="subscript"/>
              </w:rPr>
              <w:t>t-1</w:t>
            </w:r>
          </w:p>
        </w:tc>
        <w:tc>
          <w:tcPr>
            <w:tcW w:w="50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-0.0220</w:t>
            </w:r>
          </w:p>
        </w:tc>
        <w:tc>
          <w:tcPr>
            <w:tcW w:w="639"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0.0360*</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0.0186</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-0.00906</w:t>
            </w:r>
          </w:p>
        </w:tc>
        <w:tc>
          <w:tcPr>
            <w:tcW w:w="462"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0.0676**</w:t>
            </w:r>
          </w:p>
        </w:tc>
        <w:tc>
          <w:tcPr>
            <w:tcW w:w="465"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0.0184</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0.0368</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0.0694**</w:t>
            </w:r>
          </w:p>
        </w:tc>
      </w:tr>
      <w:tr w:rsidR="00583BD3" w:rsidRPr="001721E0" w:rsidTr="000727E8">
        <w:trPr>
          <w:trHeight w:hRule="exact" w:val="255"/>
          <w:jc w:val="center"/>
        </w:trPr>
        <w:tc>
          <w:tcPr>
            <w:tcW w:w="1140" w:type="pct"/>
            <w:tcBorders>
              <w:top w:val="nil"/>
              <w:bottom w:val="nil"/>
            </w:tcBorders>
            <w:shd w:val="clear" w:color="auto" w:fill="auto"/>
            <w:noWrap/>
            <w:hideMark/>
          </w:tcPr>
          <w:p w:rsidR="00583BD3" w:rsidRPr="00D14B9E" w:rsidRDefault="00583BD3" w:rsidP="000727E8">
            <w:pPr>
              <w:jc w:val="center"/>
              <w:rPr>
                <w:rFonts w:ascii="Garamond" w:hAnsi="Garamond" w:cs="Calibri"/>
                <w:color w:val="000000"/>
                <w:sz w:val="18"/>
                <w:szCs w:val="18"/>
              </w:rPr>
            </w:pPr>
          </w:p>
        </w:tc>
        <w:tc>
          <w:tcPr>
            <w:tcW w:w="50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(-0.44)</w:t>
            </w:r>
          </w:p>
        </w:tc>
        <w:tc>
          <w:tcPr>
            <w:tcW w:w="639"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(1.83)</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(0.48)</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(-0.27)</w:t>
            </w:r>
          </w:p>
        </w:tc>
        <w:tc>
          <w:tcPr>
            <w:tcW w:w="462"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(2.07)</w:t>
            </w:r>
          </w:p>
        </w:tc>
        <w:tc>
          <w:tcPr>
            <w:tcW w:w="465"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(0.59)</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(1.31)</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(2.14)</w:t>
            </w:r>
          </w:p>
        </w:tc>
      </w:tr>
      <w:tr w:rsidR="00583BD3" w:rsidRPr="001721E0" w:rsidTr="000727E8">
        <w:trPr>
          <w:trHeight w:hRule="exact" w:val="255"/>
          <w:jc w:val="center"/>
        </w:trPr>
        <w:tc>
          <w:tcPr>
            <w:tcW w:w="1140" w:type="pct"/>
            <w:tcBorders>
              <w:top w:val="nil"/>
              <w:bottom w:val="nil"/>
            </w:tcBorders>
            <w:shd w:val="clear" w:color="auto" w:fill="auto"/>
            <w:noWrap/>
            <w:hideMark/>
          </w:tcPr>
          <w:p w:rsidR="00583BD3" w:rsidRPr="00D14B9E" w:rsidRDefault="00583BD3" w:rsidP="000727E8">
            <w:pPr>
              <w:jc w:val="center"/>
              <w:rPr>
                <w:rFonts w:ascii="Garamond" w:hAnsi="Garamond" w:cs="Calibri"/>
                <w:color w:val="000000"/>
                <w:sz w:val="18"/>
                <w:szCs w:val="18"/>
              </w:rPr>
            </w:pPr>
            <w:r w:rsidRPr="00D14B9E">
              <w:rPr>
                <w:rFonts w:ascii="Garamond" w:hAnsi="Garamond" w:cs="Calibri"/>
                <w:color w:val="000000"/>
                <w:sz w:val="18"/>
                <w:szCs w:val="18"/>
              </w:rPr>
              <w:t>Board independence</w:t>
            </w:r>
            <w:r>
              <w:rPr>
                <w:rFonts w:ascii="Garamond" w:hAnsi="Garamond" w:cs="Calibri"/>
                <w:color w:val="000000"/>
                <w:sz w:val="18"/>
                <w:szCs w:val="18"/>
                <w:vertAlign w:val="subscript"/>
              </w:rPr>
              <w:t>t-1</w:t>
            </w:r>
          </w:p>
        </w:tc>
        <w:tc>
          <w:tcPr>
            <w:tcW w:w="50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0.0163</w:t>
            </w:r>
          </w:p>
        </w:tc>
        <w:tc>
          <w:tcPr>
            <w:tcW w:w="639"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0.0339</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0.000305</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0.0286</w:t>
            </w:r>
          </w:p>
        </w:tc>
        <w:tc>
          <w:tcPr>
            <w:tcW w:w="462"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0.0471</w:t>
            </w:r>
          </w:p>
        </w:tc>
        <w:tc>
          <w:tcPr>
            <w:tcW w:w="465"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-0.0100</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0.109</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-0.0518</w:t>
            </w:r>
          </w:p>
        </w:tc>
      </w:tr>
      <w:tr w:rsidR="00583BD3" w:rsidRPr="001721E0" w:rsidTr="000727E8">
        <w:trPr>
          <w:trHeight w:hRule="exact" w:val="255"/>
          <w:jc w:val="center"/>
        </w:trPr>
        <w:tc>
          <w:tcPr>
            <w:tcW w:w="1140" w:type="pct"/>
            <w:tcBorders>
              <w:top w:val="nil"/>
              <w:bottom w:val="nil"/>
            </w:tcBorders>
            <w:shd w:val="clear" w:color="auto" w:fill="auto"/>
            <w:noWrap/>
            <w:hideMark/>
          </w:tcPr>
          <w:p w:rsidR="00583BD3" w:rsidRPr="00D14B9E" w:rsidRDefault="00583BD3" w:rsidP="000727E8">
            <w:pPr>
              <w:jc w:val="center"/>
              <w:rPr>
                <w:rFonts w:ascii="Garamond" w:hAnsi="Garamond" w:cs="Calibri"/>
                <w:color w:val="000000"/>
                <w:sz w:val="18"/>
                <w:szCs w:val="18"/>
              </w:rPr>
            </w:pPr>
          </w:p>
        </w:tc>
        <w:tc>
          <w:tcPr>
            <w:tcW w:w="50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(0.26)</w:t>
            </w:r>
          </w:p>
        </w:tc>
        <w:tc>
          <w:tcPr>
            <w:tcW w:w="639"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(1.07)</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(0.01)</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(0.53)</w:t>
            </w:r>
          </w:p>
        </w:tc>
        <w:tc>
          <w:tcPr>
            <w:tcW w:w="462"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(0.95)</w:t>
            </w:r>
          </w:p>
        </w:tc>
        <w:tc>
          <w:tcPr>
            <w:tcW w:w="465"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(-0.16)</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(1.54)</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(-0.59)</w:t>
            </w:r>
          </w:p>
        </w:tc>
      </w:tr>
      <w:tr w:rsidR="00583BD3" w:rsidRPr="001721E0" w:rsidTr="000727E8">
        <w:trPr>
          <w:trHeight w:hRule="exact" w:val="255"/>
          <w:jc w:val="center"/>
        </w:trPr>
        <w:tc>
          <w:tcPr>
            <w:tcW w:w="1140" w:type="pct"/>
            <w:tcBorders>
              <w:top w:val="nil"/>
              <w:bottom w:val="nil"/>
            </w:tcBorders>
            <w:shd w:val="clear" w:color="auto" w:fill="auto"/>
            <w:noWrap/>
            <w:hideMark/>
          </w:tcPr>
          <w:p w:rsidR="00583BD3" w:rsidRPr="00D14B9E" w:rsidRDefault="00583BD3" w:rsidP="000727E8">
            <w:pPr>
              <w:jc w:val="center"/>
              <w:rPr>
                <w:rFonts w:ascii="Garamond" w:hAnsi="Garamond" w:cs="Calibri"/>
                <w:color w:val="000000"/>
                <w:sz w:val="18"/>
                <w:szCs w:val="18"/>
              </w:rPr>
            </w:pPr>
            <w:r w:rsidRPr="00D14B9E">
              <w:rPr>
                <w:rFonts w:ascii="Garamond" w:hAnsi="Garamond" w:cs="Calibri"/>
                <w:color w:val="000000"/>
                <w:sz w:val="18"/>
                <w:szCs w:val="18"/>
              </w:rPr>
              <w:t>Tobin's Q</w:t>
            </w:r>
            <w:r>
              <w:rPr>
                <w:rFonts w:ascii="Garamond" w:hAnsi="Garamond" w:cs="Calibri"/>
                <w:color w:val="000000"/>
                <w:sz w:val="18"/>
                <w:szCs w:val="18"/>
                <w:vertAlign w:val="subscript"/>
              </w:rPr>
              <w:t>t-1</w:t>
            </w:r>
          </w:p>
        </w:tc>
        <w:tc>
          <w:tcPr>
            <w:tcW w:w="50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-0.00571</w:t>
            </w:r>
          </w:p>
        </w:tc>
        <w:tc>
          <w:tcPr>
            <w:tcW w:w="639"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-0.0161***</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-0.0135**</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-0.00332</w:t>
            </w:r>
          </w:p>
        </w:tc>
        <w:tc>
          <w:tcPr>
            <w:tcW w:w="462"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-0.0220***</w:t>
            </w:r>
          </w:p>
        </w:tc>
        <w:tc>
          <w:tcPr>
            <w:tcW w:w="465"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-0.00868**</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-0.0112</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-0.0339***</w:t>
            </w:r>
          </w:p>
        </w:tc>
      </w:tr>
      <w:tr w:rsidR="00583BD3" w:rsidRPr="001721E0" w:rsidTr="000727E8">
        <w:trPr>
          <w:trHeight w:hRule="exact" w:val="255"/>
          <w:jc w:val="center"/>
        </w:trPr>
        <w:tc>
          <w:tcPr>
            <w:tcW w:w="1140" w:type="pct"/>
            <w:tcBorders>
              <w:top w:val="nil"/>
              <w:bottom w:val="nil"/>
            </w:tcBorders>
            <w:shd w:val="clear" w:color="auto" w:fill="auto"/>
            <w:noWrap/>
            <w:hideMark/>
          </w:tcPr>
          <w:p w:rsidR="00583BD3" w:rsidRPr="00D14B9E" w:rsidRDefault="00583BD3" w:rsidP="000727E8">
            <w:pPr>
              <w:jc w:val="center"/>
              <w:rPr>
                <w:rFonts w:ascii="Garamond" w:hAnsi="Garamond" w:cs="Calibri"/>
                <w:color w:val="000000"/>
                <w:sz w:val="18"/>
                <w:szCs w:val="18"/>
              </w:rPr>
            </w:pPr>
          </w:p>
        </w:tc>
        <w:tc>
          <w:tcPr>
            <w:tcW w:w="50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(-1.17)</w:t>
            </w:r>
          </w:p>
        </w:tc>
        <w:tc>
          <w:tcPr>
            <w:tcW w:w="639"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(-4.17)</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(-2.17)</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(-0.61)</w:t>
            </w:r>
          </w:p>
        </w:tc>
        <w:tc>
          <w:tcPr>
            <w:tcW w:w="462"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(-3.64)</w:t>
            </w:r>
          </w:p>
        </w:tc>
        <w:tc>
          <w:tcPr>
            <w:tcW w:w="465"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(-2.16)</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(-1.57)</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(-3.93)</w:t>
            </w:r>
          </w:p>
        </w:tc>
      </w:tr>
      <w:tr w:rsidR="00583BD3" w:rsidRPr="001721E0" w:rsidTr="000727E8">
        <w:trPr>
          <w:trHeight w:hRule="exact" w:val="255"/>
          <w:jc w:val="center"/>
        </w:trPr>
        <w:tc>
          <w:tcPr>
            <w:tcW w:w="1140" w:type="pct"/>
            <w:tcBorders>
              <w:top w:val="nil"/>
              <w:bottom w:val="nil"/>
            </w:tcBorders>
            <w:shd w:val="clear" w:color="auto" w:fill="auto"/>
            <w:noWrap/>
            <w:hideMark/>
          </w:tcPr>
          <w:p w:rsidR="00583BD3" w:rsidRPr="00D14B9E" w:rsidRDefault="00583BD3" w:rsidP="000727E8">
            <w:pPr>
              <w:jc w:val="center"/>
              <w:rPr>
                <w:rFonts w:ascii="Garamond" w:hAnsi="Garamond" w:cs="Calibri"/>
                <w:color w:val="000000"/>
                <w:sz w:val="18"/>
                <w:szCs w:val="18"/>
              </w:rPr>
            </w:pPr>
            <w:r w:rsidRPr="00D14B9E">
              <w:rPr>
                <w:rFonts w:ascii="Garamond" w:hAnsi="Garamond" w:cs="Calibri"/>
                <w:color w:val="000000"/>
                <w:sz w:val="18"/>
                <w:szCs w:val="18"/>
              </w:rPr>
              <w:t>Industry-</w:t>
            </w:r>
            <w:proofErr w:type="spellStart"/>
            <w:r w:rsidRPr="00D14B9E">
              <w:rPr>
                <w:rFonts w:ascii="Garamond" w:hAnsi="Garamond" w:cs="Calibri"/>
                <w:color w:val="000000"/>
                <w:sz w:val="18"/>
                <w:szCs w:val="18"/>
              </w:rPr>
              <w:t>Adj</w:t>
            </w:r>
            <w:proofErr w:type="spellEnd"/>
            <w:r w:rsidRPr="00D14B9E">
              <w:rPr>
                <w:rFonts w:ascii="Garamond" w:hAnsi="Garamond" w:cs="Calibri"/>
                <w:color w:val="000000"/>
                <w:sz w:val="18"/>
                <w:szCs w:val="18"/>
              </w:rPr>
              <w:t xml:space="preserve"> ROA</w:t>
            </w:r>
            <w:r>
              <w:rPr>
                <w:rFonts w:ascii="Garamond" w:hAnsi="Garamond" w:cs="Calibri"/>
                <w:color w:val="000000"/>
                <w:sz w:val="18"/>
                <w:szCs w:val="18"/>
                <w:vertAlign w:val="subscript"/>
              </w:rPr>
              <w:t>t-1</w:t>
            </w:r>
          </w:p>
        </w:tc>
        <w:tc>
          <w:tcPr>
            <w:tcW w:w="50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-0.00151</w:t>
            </w:r>
          </w:p>
        </w:tc>
        <w:tc>
          <w:tcPr>
            <w:tcW w:w="639"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-0.00521*</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-0.00533</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-0.00954*</w:t>
            </w:r>
          </w:p>
        </w:tc>
        <w:tc>
          <w:tcPr>
            <w:tcW w:w="462"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-0.00450</w:t>
            </w:r>
          </w:p>
        </w:tc>
        <w:tc>
          <w:tcPr>
            <w:tcW w:w="465"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-0.00776</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-0.00393</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-0.00182</w:t>
            </w:r>
          </w:p>
        </w:tc>
      </w:tr>
      <w:tr w:rsidR="00583BD3" w:rsidRPr="001721E0" w:rsidTr="000727E8">
        <w:trPr>
          <w:trHeight w:hRule="exact" w:val="255"/>
          <w:jc w:val="center"/>
        </w:trPr>
        <w:tc>
          <w:tcPr>
            <w:tcW w:w="1140" w:type="pct"/>
            <w:tcBorders>
              <w:top w:val="nil"/>
              <w:bottom w:val="nil"/>
            </w:tcBorders>
            <w:shd w:val="clear" w:color="auto" w:fill="auto"/>
            <w:noWrap/>
            <w:hideMark/>
          </w:tcPr>
          <w:p w:rsidR="00583BD3" w:rsidRPr="00D14B9E" w:rsidRDefault="00583BD3" w:rsidP="000727E8">
            <w:pPr>
              <w:jc w:val="center"/>
              <w:rPr>
                <w:rFonts w:ascii="Garamond" w:hAnsi="Garamond" w:cs="Calibri"/>
                <w:color w:val="000000"/>
                <w:sz w:val="18"/>
                <w:szCs w:val="18"/>
              </w:rPr>
            </w:pPr>
          </w:p>
        </w:tc>
        <w:tc>
          <w:tcPr>
            <w:tcW w:w="50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(-0.21)</w:t>
            </w:r>
          </w:p>
        </w:tc>
        <w:tc>
          <w:tcPr>
            <w:tcW w:w="639"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(-1.65)</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(-1.17)</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(-1.87)</w:t>
            </w:r>
          </w:p>
        </w:tc>
        <w:tc>
          <w:tcPr>
            <w:tcW w:w="462"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(-0.72)</w:t>
            </w:r>
          </w:p>
        </w:tc>
        <w:tc>
          <w:tcPr>
            <w:tcW w:w="465"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(-1.46)</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(-0.96)</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(-0.30)</w:t>
            </w:r>
          </w:p>
        </w:tc>
      </w:tr>
      <w:tr w:rsidR="00583BD3" w:rsidRPr="001721E0" w:rsidTr="000727E8">
        <w:trPr>
          <w:trHeight w:hRule="exact" w:val="255"/>
          <w:jc w:val="center"/>
        </w:trPr>
        <w:tc>
          <w:tcPr>
            <w:tcW w:w="1140" w:type="pct"/>
            <w:tcBorders>
              <w:top w:val="nil"/>
              <w:bottom w:val="nil"/>
            </w:tcBorders>
            <w:shd w:val="clear" w:color="auto" w:fill="auto"/>
            <w:noWrap/>
            <w:hideMark/>
          </w:tcPr>
          <w:p w:rsidR="00583BD3" w:rsidRPr="00D14B9E" w:rsidRDefault="00583BD3" w:rsidP="000727E8">
            <w:pPr>
              <w:jc w:val="center"/>
              <w:rPr>
                <w:rFonts w:ascii="Garamond" w:hAnsi="Garamond" w:cs="Calibri"/>
                <w:color w:val="000000"/>
                <w:sz w:val="18"/>
                <w:szCs w:val="18"/>
              </w:rPr>
            </w:pPr>
            <w:r w:rsidRPr="00D14B9E">
              <w:rPr>
                <w:rFonts w:ascii="Garamond" w:hAnsi="Garamond" w:cs="Calibri"/>
                <w:color w:val="000000"/>
                <w:sz w:val="18"/>
                <w:szCs w:val="18"/>
              </w:rPr>
              <w:t>CEO is Chairman dummy</w:t>
            </w:r>
            <w:r>
              <w:rPr>
                <w:rFonts w:ascii="Garamond" w:hAnsi="Garamond" w:cs="Calibri"/>
                <w:color w:val="000000"/>
                <w:sz w:val="18"/>
                <w:szCs w:val="18"/>
                <w:vertAlign w:val="subscript"/>
              </w:rPr>
              <w:t>t-1</w:t>
            </w:r>
          </w:p>
        </w:tc>
        <w:tc>
          <w:tcPr>
            <w:tcW w:w="50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p>
        </w:tc>
        <w:tc>
          <w:tcPr>
            <w:tcW w:w="639"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-0.0266</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-0.0261</w:t>
            </w:r>
          </w:p>
        </w:tc>
        <w:tc>
          <w:tcPr>
            <w:tcW w:w="462"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0.0279</w:t>
            </w:r>
          </w:p>
        </w:tc>
        <w:tc>
          <w:tcPr>
            <w:tcW w:w="465"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-0.00589</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0.0167</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0.0173</w:t>
            </w:r>
          </w:p>
        </w:tc>
      </w:tr>
      <w:tr w:rsidR="00583BD3" w:rsidRPr="001721E0" w:rsidTr="000727E8">
        <w:trPr>
          <w:trHeight w:hRule="exact" w:val="255"/>
          <w:jc w:val="center"/>
        </w:trPr>
        <w:tc>
          <w:tcPr>
            <w:tcW w:w="1140" w:type="pct"/>
            <w:tcBorders>
              <w:top w:val="nil"/>
              <w:bottom w:val="nil"/>
            </w:tcBorders>
            <w:shd w:val="clear" w:color="auto" w:fill="auto"/>
            <w:noWrap/>
            <w:hideMark/>
          </w:tcPr>
          <w:p w:rsidR="00583BD3" w:rsidRPr="00D14B9E" w:rsidRDefault="00583BD3" w:rsidP="000727E8">
            <w:pPr>
              <w:jc w:val="center"/>
              <w:rPr>
                <w:rFonts w:ascii="Garamond" w:hAnsi="Garamond" w:cs="Calibri"/>
                <w:color w:val="000000"/>
                <w:sz w:val="18"/>
                <w:szCs w:val="18"/>
              </w:rPr>
            </w:pPr>
          </w:p>
        </w:tc>
        <w:tc>
          <w:tcPr>
            <w:tcW w:w="50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p>
        </w:tc>
        <w:tc>
          <w:tcPr>
            <w:tcW w:w="639"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(-1.50)</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(-1.28)</w:t>
            </w:r>
          </w:p>
        </w:tc>
        <w:tc>
          <w:tcPr>
            <w:tcW w:w="462"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(1.02)</w:t>
            </w:r>
          </w:p>
        </w:tc>
        <w:tc>
          <w:tcPr>
            <w:tcW w:w="465"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(-0.37)</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(1.14)</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(0.69)</w:t>
            </w:r>
          </w:p>
        </w:tc>
      </w:tr>
      <w:tr w:rsidR="00583BD3" w:rsidRPr="001721E0" w:rsidTr="000727E8">
        <w:trPr>
          <w:trHeight w:hRule="exact" w:val="255"/>
          <w:jc w:val="center"/>
        </w:trPr>
        <w:tc>
          <w:tcPr>
            <w:tcW w:w="1140" w:type="pct"/>
            <w:tcBorders>
              <w:top w:val="nil"/>
              <w:bottom w:val="nil"/>
            </w:tcBorders>
            <w:shd w:val="clear" w:color="auto" w:fill="auto"/>
            <w:noWrap/>
            <w:hideMark/>
          </w:tcPr>
          <w:p w:rsidR="00583BD3" w:rsidRPr="00932E65" w:rsidRDefault="00583BD3" w:rsidP="000727E8">
            <w:pPr>
              <w:jc w:val="center"/>
              <w:rPr>
                <w:rFonts w:ascii="Garamond" w:hAnsi="Garamond" w:cs="Calibri"/>
                <w:color w:val="000000"/>
                <w:sz w:val="18"/>
                <w:szCs w:val="18"/>
              </w:rPr>
            </w:pPr>
            <w:proofErr w:type="spellStart"/>
            <w:r w:rsidRPr="00932E65">
              <w:rPr>
                <w:rFonts w:ascii="Garamond" w:hAnsi="Garamond" w:cs="Calibri"/>
                <w:color w:val="000000"/>
                <w:sz w:val="18"/>
                <w:szCs w:val="18"/>
              </w:rPr>
              <w:t>Ln</w:t>
            </w:r>
            <w:proofErr w:type="spellEnd"/>
            <w:r w:rsidRPr="00932E65">
              <w:rPr>
                <w:rFonts w:ascii="Garamond" w:hAnsi="Garamond" w:cs="Calibri"/>
                <w:color w:val="000000"/>
                <w:sz w:val="18"/>
                <w:szCs w:val="18"/>
              </w:rPr>
              <w:t>(market-to-book)</w:t>
            </w:r>
            <w:r>
              <w:rPr>
                <w:rFonts w:ascii="Garamond" w:hAnsi="Garamond" w:cs="Calibri"/>
                <w:color w:val="000000"/>
                <w:sz w:val="18"/>
                <w:szCs w:val="18"/>
                <w:vertAlign w:val="subscript"/>
              </w:rPr>
              <w:t>t-1</w:t>
            </w:r>
          </w:p>
        </w:tc>
        <w:tc>
          <w:tcPr>
            <w:tcW w:w="50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0.0412***</w:t>
            </w:r>
          </w:p>
        </w:tc>
        <w:tc>
          <w:tcPr>
            <w:tcW w:w="639"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0.0463***</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0.0397**</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0.0250*</w:t>
            </w:r>
          </w:p>
        </w:tc>
        <w:tc>
          <w:tcPr>
            <w:tcW w:w="462"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0.0535***</w:t>
            </w:r>
          </w:p>
        </w:tc>
        <w:tc>
          <w:tcPr>
            <w:tcW w:w="465"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0.0467***</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0.0373***</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0.0724***</w:t>
            </w:r>
          </w:p>
        </w:tc>
      </w:tr>
      <w:tr w:rsidR="00583BD3" w:rsidRPr="001721E0" w:rsidTr="000727E8">
        <w:trPr>
          <w:trHeight w:hRule="exact" w:val="255"/>
          <w:jc w:val="center"/>
        </w:trPr>
        <w:tc>
          <w:tcPr>
            <w:tcW w:w="1140" w:type="pct"/>
            <w:tcBorders>
              <w:top w:val="nil"/>
              <w:bottom w:val="nil"/>
            </w:tcBorders>
            <w:shd w:val="clear" w:color="auto" w:fill="auto"/>
            <w:noWrap/>
            <w:hideMark/>
          </w:tcPr>
          <w:p w:rsidR="00583BD3" w:rsidRPr="00932E65" w:rsidRDefault="00583BD3" w:rsidP="000727E8">
            <w:pPr>
              <w:jc w:val="center"/>
              <w:rPr>
                <w:rFonts w:ascii="Garamond" w:hAnsi="Garamond" w:cs="Calibri"/>
                <w:color w:val="000000"/>
                <w:sz w:val="18"/>
                <w:szCs w:val="18"/>
              </w:rPr>
            </w:pPr>
          </w:p>
        </w:tc>
        <w:tc>
          <w:tcPr>
            <w:tcW w:w="50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(2.68)</w:t>
            </w:r>
          </w:p>
        </w:tc>
        <w:tc>
          <w:tcPr>
            <w:tcW w:w="639"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(5.18)</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(2.58)</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(1.93)</w:t>
            </w:r>
          </w:p>
        </w:tc>
        <w:tc>
          <w:tcPr>
            <w:tcW w:w="462"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(3.99)</w:t>
            </w:r>
          </w:p>
        </w:tc>
        <w:tc>
          <w:tcPr>
            <w:tcW w:w="465"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(3.57)</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(2.98)</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(4.94)</w:t>
            </w:r>
          </w:p>
        </w:tc>
      </w:tr>
      <w:tr w:rsidR="00583BD3" w:rsidRPr="001721E0" w:rsidTr="000727E8">
        <w:trPr>
          <w:trHeight w:hRule="exact" w:val="255"/>
          <w:jc w:val="center"/>
        </w:trPr>
        <w:tc>
          <w:tcPr>
            <w:tcW w:w="1140" w:type="pct"/>
            <w:tcBorders>
              <w:top w:val="nil"/>
              <w:bottom w:val="nil"/>
            </w:tcBorders>
            <w:shd w:val="clear" w:color="auto" w:fill="auto"/>
            <w:noWrap/>
            <w:hideMark/>
          </w:tcPr>
          <w:p w:rsidR="00583BD3" w:rsidRPr="00932E65" w:rsidRDefault="00583BD3" w:rsidP="000727E8">
            <w:pPr>
              <w:jc w:val="center"/>
              <w:rPr>
                <w:rFonts w:ascii="Garamond" w:hAnsi="Garamond" w:cs="Calibri"/>
                <w:color w:val="000000"/>
                <w:sz w:val="18"/>
                <w:szCs w:val="18"/>
              </w:rPr>
            </w:pPr>
            <w:r w:rsidRPr="00932E65">
              <w:rPr>
                <w:rFonts w:ascii="Garamond" w:hAnsi="Garamond" w:cs="Calibri"/>
                <w:color w:val="000000"/>
                <w:sz w:val="18"/>
                <w:szCs w:val="18"/>
              </w:rPr>
              <w:t>Capital expenditure</w:t>
            </w:r>
            <w:r>
              <w:rPr>
                <w:rFonts w:ascii="Garamond" w:hAnsi="Garamond" w:cs="Calibri"/>
                <w:color w:val="000000"/>
                <w:sz w:val="18"/>
                <w:szCs w:val="18"/>
                <w:vertAlign w:val="subscript"/>
              </w:rPr>
              <w:t>t-1</w:t>
            </w:r>
          </w:p>
        </w:tc>
        <w:tc>
          <w:tcPr>
            <w:tcW w:w="50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0.185</w:t>
            </w:r>
          </w:p>
        </w:tc>
        <w:tc>
          <w:tcPr>
            <w:tcW w:w="639"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0.150**</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-0.0336</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0.157</w:t>
            </w:r>
          </w:p>
        </w:tc>
        <w:tc>
          <w:tcPr>
            <w:tcW w:w="462"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0.253*</w:t>
            </w:r>
          </w:p>
        </w:tc>
        <w:tc>
          <w:tcPr>
            <w:tcW w:w="465"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0.0654</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0.188*</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0.133</w:t>
            </w:r>
          </w:p>
        </w:tc>
      </w:tr>
      <w:tr w:rsidR="00583BD3" w:rsidRPr="001721E0" w:rsidTr="000727E8">
        <w:trPr>
          <w:trHeight w:hRule="exact" w:val="255"/>
          <w:jc w:val="center"/>
        </w:trPr>
        <w:tc>
          <w:tcPr>
            <w:tcW w:w="1140" w:type="pct"/>
            <w:tcBorders>
              <w:top w:val="nil"/>
              <w:bottom w:val="nil"/>
            </w:tcBorders>
            <w:shd w:val="clear" w:color="auto" w:fill="auto"/>
            <w:noWrap/>
            <w:hideMark/>
          </w:tcPr>
          <w:p w:rsidR="00583BD3" w:rsidRPr="00932E65" w:rsidRDefault="00583BD3" w:rsidP="000727E8">
            <w:pPr>
              <w:jc w:val="center"/>
              <w:rPr>
                <w:rFonts w:ascii="Garamond" w:hAnsi="Garamond" w:cs="Calibri"/>
                <w:color w:val="000000"/>
                <w:sz w:val="18"/>
                <w:szCs w:val="18"/>
              </w:rPr>
            </w:pPr>
          </w:p>
        </w:tc>
        <w:tc>
          <w:tcPr>
            <w:tcW w:w="50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(1.14)</w:t>
            </w:r>
          </w:p>
        </w:tc>
        <w:tc>
          <w:tcPr>
            <w:tcW w:w="639"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(1.99)</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(-0.32)</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(1.36)</w:t>
            </w:r>
          </w:p>
        </w:tc>
        <w:tc>
          <w:tcPr>
            <w:tcW w:w="462"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(1.72)</w:t>
            </w:r>
          </w:p>
        </w:tc>
        <w:tc>
          <w:tcPr>
            <w:tcW w:w="465"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(0.55)</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(1.72)</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(0.81)</w:t>
            </w:r>
          </w:p>
        </w:tc>
      </w:tr>
      <w:tr w:rsidR="00583BD3" w:rsidRPr="001721E0" w:rsidTr="000727E8">
        <w:trPr>
          <w:trHeight w:hRule="exact" w:val="255"/>
          <w:jc w:val="center"/>
        </w:trPr>
        <w:tc>
          <w:tcPr>
            <w:tcW w:w="1140" w:type="pct"/>
            <w:tcBorders>
              <w:top w:val="nil"/>
              <w:bottom w:val="nil"/>
            </w:tcBorders>
            <w:shd w:val="clear" w:color="auto" w:fill="auto"/>
            <w:noWrap/>
            <w:hideMark/>
          </w:tcPr>
          <w:p w:rsidR="00583BD3" w:rsidRPr="00932E65" w:rsidRDefault="00583BD3" w:rsidP="000727E8">
            <w:pPr>
              <w:jc w:val="center"/>
              <w:rPr>
                <w:rFonts w:ascii="Garamond" w:hAnsi="Garamond" w:cs="Calibri"/>
                <w:color w:val="000000"/>
                <w:sz w:val="18"/>
                <w:szCs w:val="18"/>
              </w:rPr>
            </w:pPr>
            <w:proofErr w:type="spellStart"/>
            <w:r w:rsidRPr="00932E65">
              <w:rPr>
                <w:rFonts w:ascii="Garamond" w:hAnsi="Garamond" w:cs="Calibri"/>
                <w:color w:val="000000"/>
                <w:sz w:val="18"/>
                <w:szCs w:val="18"/>
              </w:rPr>
              <w:t>Ln</w:t>
            </w:r>
            <w:proofErr w:type="spellEnd"/>
            <w:r w:rsidRPr="00932E65">
              <w:rPr>
                <w:rFonts w:ascii="Garamond" w:hAnsi="Garamond" w:cs="Calibri"/>
                <w:color w:val="000000"/>
                <w:sz w:val="18"/>
                <w:szCs w:val="18"/>
              </w:rPr>
              <w:t>(total assets)</w:t>
            </w:r>
            <w:r>
              <w:rPr>
                <w:rFonts w:ascii="Garamond" w:hAnsi="Garamond" w:cs="Calibri"/>
                <w:color w:val="000000"/>
                <w:sz w:val="18"/>
                <w:szCs w:val="18"/>
                <w:vertAlign w:val="subscript"/>
              </w:rPr>
              <w:t>t-1</w:t>
            </w:r>
          </w:p>
        </w:tc>
        <w:tc>
          <w:tcPr>
            <w:tcW w:w="50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0.0368**</w:t>
            </w:r>
          </w:p>
        </w:tc>
        <w:tc>
          <w:tcPr>
            <w:tcW w:w="639"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0.0380***</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0.0184</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0.0424***</w:t>
            </w:r>
          </w:p>
        </w:tc>
        <w:tc>
          <w:tcPr>
            <w:tcW w:w="462"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0.0412***</w:t>
            </w:r>
          </w:p>
        </w:tc>
        <w:tc>
          <w:tcPr>
            <w:tcW w:w="465"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-0.000769</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0.0541***</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0.0492***</w:t>
            </w:r>
          </w:p>
        </w:tc>
      </w:tr>
      <w:tr w:rsidR="00583BD3" w:rsidRPr="001721E0" w:rsidTr="000727E8">
        <w:trPr>
          <w:trHeight w:hRule="exact" w:val="255"/>
          <w:jc w:val="center"/>
        </w:trPr>
        <w:tc>
          <w:tcPr>
            <w:tcW w:w="1140" w:type="pct"/>
            <w:tcBorders>
              <w:top w:val="nil"/>
              <w:bottom w:val="nil"/>
            </w:tcBorders>
            <w:shd w:val="clear" w:color="auto" w:fill="auto"/>
            <w:noWrap/>
            <w:hideMark/>
          </w:tcPr>
          <w:p w:rsidR="00583BD3" w:rsidRPr="00932E65" w:rsidRDefault="00583BD3" w:rsidP="000727E8">
            <w:pPr>
              <w:jc w:val="center"/>
              <w:rPr>
                <w:rFonts w:ascii="Garamond" w:hAnsi="Garamond" w:cs="Calibri"/>
                <w:color w:val="000000"/>
                <w:sz w:val="18"/>
                <w:szCs w:val="18"/>
              </w:rPr>
            </w:pPr>
          </w:p>
        </w:tc>
        <w:tc>
          <w:tcPr>
            <w:tcW w:w="50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(2.58)</w:t>
            </w:r>
          </w:p>
        </w:tc>
        <w:tc>
          <w:tcPr>
            <w:tcW w:w="639"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(4.44)</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(1.24)</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(2.89)</w:t>
            </w:r>
          </w:p>
        </w:tc>
        <w:tc>
          <w:tcPr>
            <w:tcW w:w="462"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(3.06)</w:t>
            </w:r>
          </w:p>
        </w:tc>
        <w:tc>
          <w:tcPr>
            <w:tcW w:w="465"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(-0.07)</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(4.61)</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(3.16)</w:t>
            </w:r>
          </w:p>
        </w:tc>
      </w:tr>
      <w:tr w:rsidR="00583BD3" w:rsidRPr="001721E0" w:rsidTr="000727E8">
        <w:trPr>
          <w:trHeight w:hRule="exact" w:val="255"/>
          <w:jc w:val="center"/>
        </w:trPr>
        <w:tc>
          <w:tcPr>
            <w:tcW w:w="1140" w:type="pct"/>
            <w:tcBorders>
              <w:top w:val="nil"/>
              <w:bottom w:val="nil"/>
            </w:tcBorders>
            <w:shd w:val="clear" w:color="auto" w:fill="auto"/>
            <w:noWrap/>
            <w:hideMark/>
          </w:tcPr>
          <w:p w:rsidR="00583BD3" w:rsidRPr="00932E65" w:rsidRDefault="00583BD3" w:rsidP="000727E8">
            <w:pPr>
              <w:jc w:val="center"/>
              <w:rPr>
                <w:rFonts w:ascii="Garamond" w:hAnsi="Garamond" w:cs="Calibri"/>
                <w:color w:val="000000"/>
                <w:sz w:val="18"/>
                <w:szCs w:val="18"/>
              </w:rPr>
            </w:pPr>
            <w:proofErr w:type="spellStart"/>
            <w:r w:rsidRPr="00932E65">
              <w:rPr>
                <w:rFonts w:ascii="Garamond" w:hAnsi="Garamond" w:cs="Calibri"/>
                <w:color w:val="000000"/>
                <w:sz w:val="18"/>
                <w:szCs w:val="18"/>
              </w:rPr>
              <w:t>Ln</w:t>
            </w:r>
            <w:proofErr w:type="spellEnd"/>
            <w:r w:rsidRPr="00932E65">
              <w:rPr>
                <w:rFonts w:ascii="Garamond" w:hAnsi="Garamond" w:cs="Calibri"/>
                <w:color w:val="000000"/>
                <w:sz w:val="18"/>
                <w:szCs w:val="18"/>
              </w:rPr>
              <w:t>(firm age)</w:t>
            </w:r>
            <w:r>
              <w:rPr>
                <w:rFonts w:ascii="Garamond" w:hAnsi="Garamond" w:cs="Calibri"/>
                <w:color w:val="000000"/>
                <w:sz w:val="18"/>
                <w:szCs w:val="18"/>
                <w:vertAlign w:val="subscript"/>
              </w:rPr>
              <w:t>t-1</w:t>
            </w:r>
          </w:p>
        </w:tc>
        <w:tc>
          <w:tcPr>
            <w:tcW w:w="50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0.0143</w:t>
            </w:r>
          </w:p>
        </w:tc>
        <w:tc>
          <w:tcPr>
            <w:tcW w:w="639"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0.000923</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-0.00538</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0.0304*</w:t>
            </w:r>
          </w:p>
        </w:tc>
        <w:tc>
          <w:tcPr>
            <w:tcW w:w="462"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0.00896</w:t>
            </w:r>
          </w:p>
        </w:tc>
        <w:tc>
          <w:tcPr>
            <w:tcW w:w="465"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0.000932</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0.0218</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0.0317</w:t>
            </w:r>
          </w:p>
        </w:tc>
      </w:tr>
      <w:tr w:rsidR="00583BD3" w:rsidRPr="001721E0" w:rsidTr="000727E8">
        <w:trPr>
          <w:trHeight w:hRule="exact" w:val="255"/>
          <w:jc w:val="center"/>
        </w:trPr>
        <w:tc>
          <w:tcPr>
            <w:tcW w:w="1140" w:type="pct"/>
            <w:tcBorders>
              <w:top w:val="nil"/>
              <w:bottom w:val="nil"/>
            </w:tcBorders>
            <w:shd w:val="clear" w:color="auto" w:fill="auto"/>
            <w:noWrap/>
            <w:hideMark/>
          </w:tcPr>
          <w:p w:rsidR="00583BD3" w:rsidRPr="00932E65" w:rsidRDefault="00583BD3" w:rsidP="000727E8">
            <w:pPr>
              <w:jc w:val="center"/>
              <w:rPr>
                <w:rFonts w:ascii="Garamond" w:hAnsi="Garamond" w:cs="Calibri"/>
                <w:color w:val="000000"/>
                <w:sz w:val="18"/>
                <w:szCs w:val="18"/>
              </w:rPr>
            </w:pPr>
          </w:p>
        </w:tc>
        <w:tc>
          <w:tcPr>
            <w:tcW w:w="50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(0.80)</w:t>
            </w:r>
          </w:p>
        </w:tc>
        <w:tc>
          <w:tcPr>
            <w:tcW w:w="639"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(0.09)</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(-0.31)</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(1.82)</w:t>
            </w:r>
          </w:p>
        </w:tc>
        <w:tc>
          <w:tcPr>
            <w:tcW w:w="462"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(0.53)</w:t>
            </w:r>
          </w:p>
        </w:tc>
        <w:tc>
          <w:tcPr>
            <w:tcW w:w="465"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(0.08)</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(1.58)</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(1.29)</w:t>
            </w:r>
          </w:p>
        </w:tc>
      </w:tr>
      <w:tr w:rsidR="00583BD3" w:rsidRPr="001721E0" w:rsidTr="000727E8">
        <w:trPr>
          <w:trHeight w:hRule="exact" w:val="255"/>
          <w:jc w:val="center"/>
        </w:trPr>
        <w:tc>
          <w:tcPr>
            <w:tcW w:w="1140" w:type="pct"/>
            <w:tcBorders>
              <w:top w:val="nil"/>
              <w:bottom w:val="nil"/>
            </w:tcBorders>
            <w:shd w:val="clear" w:color="auto" w:fill="auto"/>
            <w:noWrap/>
            <w:hideMark/>
          </w:tcPr>
          <w:p w:rsidR="00583BD3" w:rsidRPr="00932E65" w:rsidRDefault="00583BD3" w:rsidP="000727E8">
            <w:pPr>
              <w:jc w:val="center"/>
              <w:rPr>
                <w:rFonts w:ascii="Garamond" w:hAnsi="Garamond" w:cs="Calibri"/>
                <w:color w:val="000000"/>
                <w:sz w:val="18"/>
                <w:szCs w:val="18"/>
              </w:rPr>
            </w:pPr>
            <w:r>
              <w:rPr>
                <w:rFonts w:ascii="Garamond" w:hAnsi="Garamond" w:cs="Calibri"/>
                <w:color w:val="000000"/>
                <w:sz w:val="18"/>
                <w:szCs w:val="18"/>
              </w:rPr>
              <w:t>CFO British Dummy</w:t>
            </w:r>
            <w:r>
              <w:rPr>
                <w:rFonts w:ascii="Garamond" w:hAnsi="Garamond" w:cs="Calibri"/>
                <w:color w:val="000000"/>
                <w:sz w:val="18"/>
                <w:szCs w:val="18"/>
                <w:vertAlign w:val="subscript"/>
              </w:rPr>
              <w:t>t-1</w:t>
            </w:r>
          </w:p>
        </w:tc>
        <w:tc>
          <w:tcPr>
            <w:tcW w:w="50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0.0387</w:t>
            </w:r>
          </w:p>
        </w:tc>
        <w:tc>
          <w:tcPr>
            <w:tcW w:w="639"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0.0227</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0.0325</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0.0576*</w:t>
            </w:r>
          </w:p>
        </w:tc>
        <w:tc>
          <w:tcPr>
            <w:tcW w:w="462"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0.0428</w:t>
            </w:r>
          </w:p>
        </w:tc>
        <w:tc>
          <w:tcPr>
            <w:tcW w:w="465"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-0.0413</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-0.00608</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0.0385</w:t>
            </w:r>
          </w:p>
        </w:tc>
      </w:tr>
      <w:tr w:rsidR="00583BD3" w:rsidRPr="001721E0" w:rsidTr="000727E8">
        <w:trPr>
          <w:trHeight w:hRule="exact" w:val="255"/>
          <w:jc w:val="center"/>
        </w:trPr>
        <w:tc>
          <w:tcPr>
            <w:tcW w:w="1140" w:type="pct"/>
            <w:tcBorders>
              <w:top w:val="nil"/>
              <w:bottom w:val="nil"/>
            </w:tcBorders>
            <w:shd w:val="clear" w:color="auto" w:fill="auto"/>
            <w:noWrap/>
            <w:hideMark/>
          </w:tcPr>
          <w:p w:rsidR="00583BD3" w:rsidRPr="00932E65" w:rsidRDefault="00583BD3" w:rsidP="000727E8">
            <w:pPr>
              <w:jc w:val="center"/>
              <w:rPr>
                <w:rFonts w:ascii="Garamond" w:hAnsi="Garamond" w:cs="Calibri"/>
                <w:color w:val="000000"/>
                <w:sz w:val="18"/>
                <w:szCs w:val="18"/>
              </w:rPr>
            </w:pPr>
          </w:p>
        </w:tc>
        <w:tc>
          <w:tcPr>
            <w:tcW w:w="50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(0.47)</w:t>
            </w:r>
          </w:p>
        </w:tc>
        <w:tc>
          <w:tcPr>
            <w:tcW w:w="639"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(1.15)</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(0.96)</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(1.91)</w:t>
            </w:r>
          </w:p>
        </w:tc>
        <w:tc>
          <w:tcPr>
            <w:tcW w:w="462"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(1.15)</w:t>
            </w:r>
          </w:p>
        </w:tc>
        <w:tc>
          <w:tcPr>
            <w:tcW w:w="465"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(-1.57)</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(-0.19)</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(1.49)</w:t>
            </w:r>
          </w:p>
        </w:tc>
      </w:tr>
      <w:tr w:rsidR="00583BD3" w:rsidRPr="001721E0" w:rsidTr="000727E8">
        <w:trPr>
          <w:trHeight w:hRule="exact" w:val="255"/>
          <w:jc w:val="center"/>
        </w:trPr>
        <w:tc>
          <w:tcPr>
            <w:tcW w:w="1140" w:type="pct"/>
            <w:tcBorders>
              <w:top w:val="nil"/>
              <w:bottom w:val="nil"/>
            </w:tcBorders>
            <w:shd w:val="clear" w:color="auto" w:fill="auto"/>
            <w:noWrap/>
            <w:hideMark/>
          </w:tcPr>
          <w:p w:rsidR="00583BD3" w:rsidRPr="00932E65" w:rsidRDefault="00583BD3" w:rsidP="000727E8">
            <w:pPr>
              <w:jc w:val="center"/>
              <w:rPr>
                <w:rFonts w:ascii="Garamond" w:hAnsi="Garamond" w:cs="Calibri"/>
                <w:color w:val="000000"/>
                <w:sz w:val="18"/>
                <w:szCs w:val="18"/>
              </w:rPr>
            </w:pPr>
            <w:proofErr w:type="spellStart"/>
            <w:r w:rsidRPr="00932E65">
              <w:rPr>
                <w:rFonts w:ascii="Garamond" w:hAnsi="Garamond" w:cs="Calibri"/>
                <w:color w:val="000000"/>
                <w:sz w:val="18"/>
                <w:szCs w:val="18"/>
              </w:rPr>
              <w:t>Ln</w:t>
            </w:r>
            <w:proofErr w:type="spellEnd"/>
            <w:r w:rsidRPr="00932E65">
              <w:rPr>
                <w:rFonts w:ascii="Garamond" w:hAnsi="Garamond" w:cs="Calibri"/>
                <w:color w:val="000000"/>
                <w:sz w:val="18"/>
                <w:szCs w:val="18"/>
              </w:rPr>
              <w:t>(CFO tenure)</w:t>
            </w:r>
            <w:r>
              <w:rPr>
                <w:rFonts w:ascii="Garamond" w:hAnsi="Garamond" w:cs="Calibri"/>
                <w:color w:val="000000"/>
                <w:sz w:val="18"/>
                <w:szCs w:val="18"/>
                <w:vertAlign w:val="subscript"/>
              </w:rPr>
              <w:t>t-1</w:t>
            </w:r>
          </w:p>
        </w:tc>
        <w:tc>
          <w:tcPr>
            <w:tcW w:w="50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0.00402</w:t>
            </w:r>
          </w:p>
        </w:tc>
        <w:tc>
          <w:tcPr>
            <w:tcW w:w="639"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0.00163</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0.0123**</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-0.00602</w:t>
            </w:r>
          </w:p>
        </w:tc>
        <w:tc>
          <w:tcPr>
            <w:tcW w:w="462"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0.00447</w:t>
            </w:r>
          </w:p>
        </w:tc>
        <w:tc>
          <w:tcPr>
            <w:tcW w:w="465"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0.00365</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0.00528</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0.00384</w:t>
            </w:r>
          </w:p>
        </w:tc>
      </w:tr>
      <w:tr w:rsidR="00583BD3" w:rsidRPr="001721E0" w:rsidTr="000727E8">
        <w:trPr>
          <w:trHeight w:hRule="exact" w:val="255"/>
          <w:jc w:val="center"/>
        </w:trPr>
        <w:tc>
          <w:tcPr>
            <w:tcW w:w="1140" w:type="pct"/>
            <w:tcBorders>
              <w:top w:val="nil"/>
              <w:bottom w:val="nil"/>
            </w:tcBorders>
            <w:shd w:val="clear" w:color="auto" w:fill="auto"/>
            <w:noWrap/>
            <w:hideMark/>
          </w:tcPr>
          <w:p w:rsidR="00583BD3" w:rsidRPr="00932E65" w:rsidRDefault="00583BD3" w:rsidP="000727E8">
            <w:pPr>
              <w:jc w:val="center"/>
              <w:rPr>
                <w:rFonts w:ascii="Garamond" w:hAnsi="Garamond" w:cs="Calibri"/>
                <w:color w:val="000000"/>
                <w:sz w:val="18"/>
                <w:szCs w:val="18"/>
              </w:rPr>
            </w:pPr>
          </w:p>
        </w:tc>
        <w:tc>
          <w:tcPr>
            <w:tcW w:w="50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(0.67)</w:t>
            </w:r>
          </w:p>
        </w:tc>
        <w:tc>
          <w:tcPr>
            <w:tcW w:w="639"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(0.48)</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(2.20)</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(-1.29)</w:t>
            </w:r>
          </w:p>
        </w:tc>
        <w:tc>
          <w:tcPr>
            <w:tcW w:w="462"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(0.95)</w:t>
            </w:r>
          </w:p>
        </w:tc>
        <w:tc>
          <w:tcPr>
            <w:tcW w:w="465"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(0.75)</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(1.12)</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(0.77)</w:t>
            </w:r>
          </w:p>
        </w:tc>
      </w:tr>
      <w:tr w:rsidR="00583BD3" w:rsidRPr="001721E0" w:rsidTr="000727E8">
        <w:trPr>
          <w:trHeight w:hRule="exact" w:val="255"/>
          <w:jc w:val="center"/>
        </w:trPr>
        <w:tc>
          <w:tcPr>
            <w:tcW w:w="1140" w:type="pct"/>
            <w:tcBorders>
              <w:top w:val="nil"/>
              <w:bottom w:val="nil"/>
            </w:tcBorders>
            <w:shd w:val="clear" w:color="auto" w:fill="auto"/>
            <w:noWrap/>
            <w:hideMark/>
          </w:tcPr>
          <w:p w:rsidR="00583BD3" w:rsidRPr="00932E65" w:rsidRDefault="00583BD3" w:rsidP="000727E8">
            <w:pPr>
              <w:jc w:val="center"/>
              <w:rPr>
                <w:rFonts w:ascii="Garamond" w:hAnsi="Garamond" w:cs="Calibri"/>
                <w:color w:val="000000"/>
                <w:sz w:val="18"/>
                <w:szCs w:val="18"/>
              </w:rPr>
            </w:pPr>
            <w:proofErr w:type="spellStart"/>
            <w:r w:rsidRPr="00932E65">
              <w:rPr>
                <w:rFonts w:ascii="Garamond" w:hAnsi="Garamond" w:cs="Calibri"/>
                <w:color w:val="000000"/>
                <w:sz w:val="18"/>
                <w:szCs w:val="18"/>
              </w:rPr>
              <w:t>Ln</w:t>
            </w:r>
            <w:proofErr w:type="spellEnd"/>
            <w:r w:rsidRPr="00932E65">
              <w:rPr>
                <w:rFonts w:ascii="Garamond" w:hAnsi="Garamond" w:cs="Calibri"/>
                <w:color w:val="000000"/>
                <w:sz w:val="18"/>
                <w:szCs w:val="18"/>
              </w:rPr>
              <w:t>(CFO age)</w:t>
            </w:r>
            <w:r>
              <w:rPr>
                <w:rFonts w:ascii="Garamond" w:hAnsi="Garamond" w:cs="Calibri"/>
                <w:color w:val="000000"/>
                <w:sz w:val="18"/>
                <w:szCs w:val="18"/>
                <w:vertAlign w:val="subscript"/>
              </w:rPr>
              <w:t>t-1</w:t>
            </w:r>
          </w:p>
        </w:tc>
        <w:tc>
          <w:tcPr>
            <w:tcW w:w="50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0.0459</w:t>
            </w:r>
          </w:p>
        </w:tc>
        <w:tc>
          <w:tcPr>
            <w:tcW w:w="639"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-0.0316</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-0.133**</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-0.0468</w:t>
            </w:r>
          </w:p>
        </w:tc>
        <w:tc>
          <w:tcPr>
            <w:tcW w:w="462"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-0.0298</w:t>
            </w:r>
          </w:p>
        </w:tc>
        <w:tc>
          <w:tcPr>
            <w:tcW w:w="465"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-0.0516</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0.000799</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-0.0845</w:t>
            </w:r>
          </w:p>
        </w:tc>
      </w:tr>
      <w:tr w:rsidR="00583BD3" w:rsidRPr="001721E0" w:rsidTr="000727E8">
        <w:trPr>
          <w:trHeight w:hRule="exact" w:val="255"/>
          <w:jc w:val="center"/>
        </w:trPr>
        <w:tc>
          <w:tcPr>
            <w:tcW w:w="1140" w:type="pct"/>
            <w:tcBorders>
              <w:top w:val="nil"/>
              <w:bottom w:val="nil"/>
            </w:tcBorders>
            <w:shd w:val="clear" w:color="auto" w:fill="auto"/>
            <w:noWrap/>
            <w:hideMark/>
          </w:tcPr>
          <w:p w:rsidR="00583BD3" w:rsidRPr="00932E65" w:rsidRDefault="00583BD3" w:rsidP="000727E8">
            <w:pPr>
              <w:jc w:val="center"/>
              <w:rPr>
                <w:rFonts w:ascii="Garamond" w:hAnsi="Garamond" w:cs="Calibri"/>
                <w:color w:val="000000"/>
                <w:sz w:val="18"/>
                <w:szCs w:val="18"/>
              </w:rPr>
            </w:pPr>
          </w:p>
        </w:tc>
        <w:tc>
          <w:tcPr>
            <w:tcW w:w="50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(0.61)</w:t>
            </w:r>
          </w:p>
        </w:tc>
        <w:tc>
          <w:tcPr>
            <w:tcW w:w="639"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(-0.81)</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(-2.41)</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(-0.73)</w:t>
            </w:r>
          </w:p>
        </w:tc>
        <w:tc>
          <w:tcPr>
            <w:tcW w:w="462"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(-0.55)</w:t>
            </w:r>
          </w:p>
        </w:tc>
        <w:tc>
          <w:tcPr>
            <w:tcW w:w="465"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(-0.92)</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(0.02)</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(-1.23)</w:t>
            </w:r>
          </w:p>
        </w:tc>
      </w:tr>
      <w:tr w:rsidR="00583BD3" w:rsidRPr="001721E0" w:rsidTr="000727E8">
        <w:trPr>
          <w:trHeight w:hRule="exact" w:val="255"/>
          <w:jc w:val="center"/>
        </w:trPr>
        <w:tc>
          <w:tcPr>
            <w:tcW w:w="1140" w:type="pct"/>
            <w:tcBorders>
              <w:top w:val="nil"/>
              <w:bottom w:val="nil"/>
            </w:tcBorders>
            <w:shd w:val="clear" w:color="auto" w:fill="auto"/>
            <w:noWrap/>
            <w:hideMark/>
          </w:tcPr>
          <w:p w:rsidR="00583BD3" w:rsidRPr="00932E65" w:rsidRDefault="00583BD3" w:rsidP="000727E8">
            <w:pPr>
              <w:jc w:val="center"/>
              <w:rPr>
                <w:rFonts w:ascii="Garamond" w:hAnsi="Garamond" w:cs="Calibri"/>
                <w:color w:val="000000"/>
                <w:sz w:val="18"/>
                <w:szCs w:val="18"/>
              </w:rPr>
            </w:pPr>
            <w:proofErr w:type="spellStart"/>
            <w:r w:rsidRPr="00932E65">
              <w:rPr>
                <w:rFonts w:ascii="Garamond" w:hAnsi="Garamond" w:cs="Calibri"/>
                <w:color w:val="000000"/>
                <w:sz w:val="18"/>
                <w:szCs w:val="18"/>
              </w:rPr>
              <w:t>Ln</w:t>
            </w:r>
            <w:proofErr w:type="spellEnd"/>
            <w:r w:rsidRPr="00932E65">
              <w:rPr>
                <w:rFonts w:ascii="Garamond" w:hAnsi="Garamond" w:cs="Calibri"/>
                <w:color w:val="000000"/>
                <w:sz w:val="18"/>
                <w:szCs w:val="18"/>
              </w:rPr>
              <w:t>(CFO network size)</w:t>
            </w:r>
            <w:r>
              <w:rPr>
                <w:rFonts w:ascii="Garamond" w:hAnsi="Garamond" w:cs="Calibri"/>
                <w:color w:val="000000"/>
                <w:sz w:val="18"/>
                <w:szCs w:val="18"/>
                <w:vertAlign w:val="subscript"/>
              </w:rPr>
              <w:t>t-1</w:t>
            </w:r>
          </w:p>
        </w:tc>
        <w:tc>
          <w:tcPr>
            <w:tcW w:w="50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0.00986</w:t>
            </w:r>
          </w:p>
        </w:tc>
        <w:tc>
          <w:tcPr>
            <w:tcW w:w="639"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-0.00446</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-0.00180</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-0.00144</w:t>
            </w:r>
          </w:p>
        </w:tc>
        <w:tc>
          <w:tcPr>
            <w:tcW w:w="462"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-0.00246</w:t>
            </w:r>
          </w:p>
        </w:tc>
        <w:tc>
          <w:tcPr>
            <w:tcW w:w="465"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0.00393</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-0.000701</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0.00364</w:t>
            </w:r>
          </w:p>
        </w:tc>
      </w:tr>
      <w:tr w:rsidR="00583BD3" w:rsidRPr="001721E0" w:rsidTr="000727E8">
        <w:trPr>
          <w:trHeight w:hRule="exact" w:val="255"/>
          <w:jc w:val="center"/>
        </w:trPr>
        <w:tc>
          <w:tcPr>
            <w:tcW w:w="1140" w:type="pct"/>
            <w:tcBorders>
              <w:top w:val="nil"/>
              <w:bottom w:val="nil"/>
            </w:tcBorders>
            <w:shd w:val="clear" w:color="auto" w:fill="auto"/>
            <w:noWrap/>
            <w:hideMark/>
          </w:tcPr>
          <w:p w:rsidR="00583BD3" w:rsidRPr="00932E65" w:rsidRDefault="00583BD3" w:rsidP="000727E8">
            <w:pPr>
              <w:jc w:val="center"/>
              <w:rPr>
                <w:rFonts w:ascii="Garamond" w:hAnsi="Garamond" w:cs="Calibri"/>
                <w:color w:val="000000"/>
                <w:sz w:val="18"/>
                <w:szCs w:val="18"/>
              </w:rPr>
            </w:pPr>
          </w:p>
        </w:tc>
        <w:tc>
          <w:tcPr>
            <w:tcW w:w="50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(1.14)</w:t>
            </w:r>
          </w:p>
        </w:tc>
        <w:tc>
          <w:tcPr>
            <w:tcW w:w="639"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(-1.39)</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(-0.35)</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(-0.23)</w:t>
            </w:r>
          </w:p>
        </w:tc>
        <w:tc>
          <w:tcPr>
            <w:tcW w:w="462"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(-0.62)</w:t>
            </w:r>
          </w:p>
        </w:tc>
        <w:tc>
          <w:tcPr>
            <w:tcW w:w="465"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(0.73)</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(-0.14)</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(0.69)</w:t>
            </w:r>
          </w:p>
        </w:tc>
      </w:tr>
      <w:tr w:rsidR="00583BD3" w:rsidRPr="001721E0" w:rsidTr="000727E8">
        <w:trPr>
          <w:trHeight w:hRule="exact" w:val="255"/>
          <w:jc w:val="center"/>
        </w:trPr>
        <w:tc>
          <w:tcPr>
            <w:tcW w:w="1140" w:type="pct"/>
            <w:tcBorders>
              <w:top w:val="nil"/>
              <w:bottom w:val="nil"/>
            </w:tcBorders>
            <w:shd w:val="clear" w:color="auto" w:fill="auto"/>
            <w:noWrap/>
            <w:hideMark/>
          </w:tcPr>
          <w:p w:rsidR="00583BD3" w:rsidRPr="00932E65" w:rsidRDefault="00583BD3" w:rsidP="000727E8">
            <w:pPr>
              <w:jc w:val="center"/>
              <w:rPr>
                <w:rFonts w:ascii="Garamond" w:hAnsi="Garamond" w:cs="Calibri"/>
                <w:color w:val="000000"/>
                <w:sz w:val="18"/>
                <w:szCs w:val="18"/>
              </w:rPr>
            </w:pPr>
            <w:proofErr w:type="spellStart"/>
            <w:r w:rsidRPr="00932E65">
              <w:rPr>
                <w:rFonts w:ascii="Garamond" w:hAnsi="Garamond" w:cs="Calibri"/>
                <w:color w:val="000000"/>
                <w:sz w:val="18"/>
                <w:szCs w:val="18"/>
              </w:rPr>
              <w:t>Ln</w:t>
            </w:r>
            <w:proofErr w:type="spellEnd"/>
            <w:r w:rsidRPr="00932E65">
              <w:rPr>
                <w:rFonts w:ascii="Garamond" w:hAnsi="Garamond" w:cs="Calibri"/>
                <w:color w:val="000000"/>
                <w:sz w:val="18"/>
                <w:szCs w:val="18"/>
              </w:rPr>
              <w:t>(CFO total compensation)</w:t>
            </w:r>
            <w:r>
              <w:rPr>
                <w:rFonts w:ascii="Garamond" w:hAnsi="Garamond" w:cs="Calibri"/>
                <w:color w:val="000000"/>
                <w:sz w:val="18"/>
                <w:szCs w:val="18"/>
                <w:vertAlign w:val="subscript"/>
              </w:rPr>
              <w:t>t-1</w:t>
            </w:r>
          </w:p>
        </w:tc>
        <w:tc>
          <w:tcPr>
            <w:tcW w:w="50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-0.0167*</w:t>
            </w:r>
          </w:p>
        </w:tc>
        <w:tc>
          <w:tcPr>
            <w:tcW w:w="639"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-0.0163***</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-0.0156*</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-0.0191**</w:t>
            </w:r>
          </w:p>
        </w:tc>
        <w:tc>
          <w:tcPr>
            <w:tcW w:w="462"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-0.0163**</w:t>
            </w:r>
          </w:p>
        </w:tc>
        <w:tc>
          <w:tcPr>
            <w:tcW w:w="465"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-0.0101</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-0.00875</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-0.0290***</w:t>
            </w:r>
          </w:p>
        </w:tc>
      </w:tr>
      <w:tr w:rsidR="00583BD3" w:rsidRPr="001721E0" w:rsidTr="000727E8">
        <w:trPr>
          <w:trHeight w:hRule="exact" w:val="255"/>
          <w:jc w:val="center"/>
        </w:trPr>
        <w:tc>
          <w:tcPr>
            <w:tcW w:w="1140" w:type="pct"/>
            <w:tcBorders>
              <w:top w:val="nil"/>
              <w:bottom w:val="nil"/>
            </w:tcBorders>
            <w:shd w:val="clear" w:color="auto" w:fill="auto"/>
            <w:noWrap/>
            <w:hideMark/>
          </w:tcPr>
          <w:p w:rsidR="00583BD3" w:rsidRPr="00932E65" w:rsidRDefault="00583BD3" w:rsidP="000727E8">
            <w:pPr>
              <w:jc w:val="center"/>
              <w:rPr>
                <w:rFonts w:ascii="Garamond" w:hAnsi="Garamond" w:cs="Calibri"/>
                <w:color w:val="000000"/>
                <w:sz w:val="18"/>
                <w:szCs w:val="18"/>
              </w:rPr>
            </w:pPr>
          </w:p>
        </w:tc>
        <w:tc>
          <w:tcPr>
            <w:tcW w:w="50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(-1.81)</w:t>
            </w:r>
          </w:p>
        </w:tc>
        <w:tc>
          <w:tcPr>
            <w:tcW w:w="639"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(-3.50)</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(-1.88)</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(-2.30)</w:t>
            </w:r>
          </w:p>
        </w:tc>
        <w:tc>
          <w:tcPr>
            <w:tcW w:w="462"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(-2.43)</w:t>
            </w:r>
          </w:p>
        </w:tc>
        <w:tc>
          <w:tcPr>
            <w:tcW w:w="465"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(-1.57)</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(-1.29)</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(-3.91)</w:t>
            </w:r>
          </w:p>
        </w:tc>
      </w:tr>
      <w:tr w:rsidR="00583BD3" w:rsidRPr="001721E0" w:rsidTr="000727E8">
        <w:trPr>
          <w:trHeight w:hRule="exact" w:val="255"/>
          <w:jc w:val="center"/>
        </w:trPr>
        <w:tc>
          <w:tcPr>
            <w:tcW w:w="1140" w:type="pct"/>
            <w:tcBorders>
              <w:top w:val="nil"/>
              <w:bottom w:val="nil"/>
            </w:tcBorders>
            <w:shd w:val="clear" w:color="auto" w:fill="auto"/>
            <w:noWrap/>
            <w:hideMark/>
          </w:tcPr>
          <w:p w:rsidR="00583BD3" w:rsidRPr="00932E65" w:rsidRDefault="00583BD3" w:rsidP="000727E8">
            <w:pPr>
              <w:jc w:val="center"/>
              <w:rPr>
                <w:rFonts w:ascii="Garamond" w:hAnsi="Garamond" w:cs="Calibri"/>
                <w:color w:val="000000"/>
                <w:sz w:val="18"/>
                <w:szCs w:val="18"/>
              </w:rPr>
            </w:pPr>
            <w:r w:rsidRPr="00932E65">
              <w:rPr>
                <w:rFonts w:ascii="Garamond" w:hAnsi="Garamond" w:cs="Calibri"/>
                <w:color w:val="000000"/>
                <w:sz w:val="18"/>
                <w:szCs w:val="18"/>
              </w:rPr>
              <w:t>Constant</w:t>
            </w:r>
          </w:p>
        </w:tc>
        <w:tc>
          <w:tcPr>
            <w:tcW w:w="50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-0.407</w:t>
            </w:r>
          </w:p>
        </w:tc>
        <w:tc>
          <w:tcPr>
            <w:tcW w:w="639"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-0.0737</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0.536*</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-0.0590</w:t>
            </w:r>
          </w:p>
        </w:tc>
        <w:tc>
          <w:tcPr>
            <w:tcW w:w="462"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-0.232</w:t>
            </w:r>
          </w:p>
        </w:tc>
        <w:tc>
          <w:tcPr>
            <w:tcW w:w="465"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0.392</w:t>
            </w:r>
          </w:p>
        </w:tc>
        <w:tc>
          <w:tcPr>
            <w:tcW w:w="434"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-0.521**</w:t>
            </w:r>
          </w:p>
        </w:tc>
        <w:tc>
          <w:tcPr>
            <w:tcW w:w="461" w:type="pct"/>
            <w:tcBorders>
              <w:top w:val="nil"/>
              <w:bottom w:val="nil"/>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-0.0944</w:t>
            </w:r>
          </w:p>
        </w:tc>
      </w:tr>
      <w:tr w:rsidR="00583BD3" w:rsidRPr="001721E0" w:rsidTr="000727E8">
        <w:trPr>
          <w:trHeight w:hRule="exact" w:val="255"/>
          <w:jc w:val="center"/>
        </w:trPr>
        <w:tc>
          <w:tcPr>
            <w:tcW w:w="1140" w:type="pct"/>
            <w:tcBorders>
              <w:top w:val="nil"/>
              <w:bottom w:val="single" w:sz="4" w:space="0" w:color="auto"/>
            </w:tcBorders>
            <w:shd w:val="clear" w:color="auto" w:fill="auto"/>
            <w:noWrap/>
            <w:hideMark/>
          </w:tcPr>
          <w:p w:rsidR="00583BD3" w:rsidRPr="00932E65" w:rsidRDefault="00583BD3" w:rsidP="000727E8">
            <w:pPr>
              <w:jc w:val="center"/>
              <w:rPr>
                <w:rFonts w:ascii="Garamond" w:hAnsi="Garamond" w:cs="Calibri"/>
                <w:color w:val="000000"/>
                <w:sz w:val="18"/>
                <w:szCs w:val="18"/>
              </w:rPr>
            </w:pPr>
          </w:p>
        </w:tc>
        <w:tc>
          <w:tcPr>
            <w:tcW w:w="504" w:type="pct"/>
            <w:tcBorders>
              <w:top w:val="nil"/>
              <w:bottom w:val="single" w:sz="4" w:space="0" w:color="auto"/>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(-1.11)</w:t>
            </w:r>
          </w:p>
        </w:tc>
        <w:tc>
          <w:tcPr>
            <w:tcW w:w="639" w:type="pct"/>
            <w:tcBorders>
              <w:top w:val="nil"/>
              <w:bottom w:val="single" w:sz="4" w:space="0" w:color="auto"/>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(-0.41)</w:t>
            </w:r>
          </w:p>
        </w:tc>
        <w:tc>
          <w:tcPr>
            <w:tcW w:w="461" w:type="pct"/>
            <w:tcBorders>
              <w:top w:val="nil"/>
              <w:bottom w:val="single" w:sz="4" w:space="0" w:color="auto"/>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(1.87)</w:t>
            </w:r>
          </w:p>
        </w:tc>
        <w:tc>
          <w:tcPr>
            <w:tcW w:w="434" w:type="pct"/>
            <w:tcBorders>
              <w:top w:val="nil"/>
              <w:bottom w:val="single" w:sz="4" w:space="0" w:color="auto"/>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(-0.19)</w:t>
            </w:r>
          </w:p>
        </w:tc>
        <w:tc>
          <w:tcPr>
            <w:tcW w:w="462" w:type="pct"/>
            <w:tcBorders>
              <w:top w:val="nil"/>
              <w:bottom w:val="single" w:sz="4" w:space="0" w:color="auto"/>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(-0.94)</w:t>
            </w:r>
          </w:p>
        </w:tc>
        <w:tc>
          <w:tcPr>
            <w:tcW w:w="465" w:type="pct"/>
            <w:tcBorders>
              <w:top w:val="nil"/>
              <w:bottom w:val="single" w:sz="4" w:space="0" w:color="auto"/>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(1.34)</w:t>
            </w:r>
          </w:p>
        </w:tc>
        <w:tc>
          <w:tcPr>
            <w:tcW w:w="434" w:type="pct"/>
            <w:tcBorders>
              <w:top w:val="nil"/>
              <w:bottom w:val="single" w:sz="4" w:space="0" w:color="auto"/>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(-2.27)</w:t>
            </w:r>
          </w:p>
        </w:tc>
        <w:tc>
          <w:tcPr>
            <w:tcW w:w="461" w:type="pct"/>
            <w:tcBorders>
              <w:top w:val="nil"/>
              <w:bottom w:val="single" w:sz="4" w:space="0" w:color="auto"/>
            </w:tcBorders>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(-0.30)</w:t>
            </w:r>
          </w:p>
        </w:tc>
      </w:tr>
      <w:tr w:rsidR="00583BD3" w:rsidRPr="00932E65" w:rsidTr="000727E8">
        <w:trPr>
          <w:trHeight w:hRule="exact" w:val="255"/>
          <w:jc w:val="center"/>
        </w:trPr>
        <w:tc>
          <w:tcPr>
            <w:tcW w:w="1140" w:type="pct"/>
            <w:tcBorders>
              <w:top w:val="single" w:sz="4" w:space="0" w:color="auto"/>
            </w:tcBorders>
            <w:shd w:val="clear" w:color="auto" w:fill="auto"/>
            <w:noWrap/>
            <w:hideMark/>
          </w:tcPr>
          <w:p w:rsidR="00583BD3" w:rsidRPr="00932E65" w:rsidRDefault="00583BD3" w:rsidP="000727E8">
            <w:pPr>
              <w:jc w:val="center"/>
              <w:rPr>
                <w:rFonts w:ascii="Garamond" w:hAnsi="Garamond" w:cs="Calibri"/>
                <w:color w:val="000000"/>
                <w:sz w:val="18"/>
                <w:szCs w:val="18"/>
              </w:rPr>
            </w:pPr>
            <w:r w:rsidRPr="00932E65">
              <w:rPr>
                <w:rFonts w:ascii="Garamond" w:hAnsi="Garamond" w:cs="Calibri"/>
                <w:color w:val="000000"/>
                <w:sz w:val="18"/>
                <w:szCs w:val="18"/>
              </w:rPr>
              <w:t>Year Fixed Effects</w:t>
            </w:r>
          </w:p>
        </w:tc>
        <w:tc>
          <w:tcPr>
            <w:tcW w:w="504" w:type="pct"/>
            <w:tcBorders>
              <w:top w:val="single" w:sz="4" w:space="0" w:color="auto"/>
            </w:tcBorders>
            <w:shd w:val="clear" w:color="auto" w:fill="auto"/>
            <w:noWrap/>
            <w:hideMark/>
          </w:tcPr>
          <w:p w:rsidR="00583BD3" w:rsidRPr="007A2EC6" w:rsidRDefault="00583BD3" w:rsidP="000727E8">
            <w:pPr>
              <w:jc w:val="center"/>
              <w:rPr>
                <w:rFonts w:ascii="Garamond" w:hAnsi="Garamond" w:cs="Calibri"/>
                <w:color w:val="000000"/>
                <w:sz w:val="18"/>
                <w:szCs w:val="18"/>
              </w:rPr>
            </w:pPr>
            <w:r w:rsidRPr="007A2EC6">
              <w:rPr>
                <w:rFonts w:ascii="Garamond" w:hAnsi="Garamond" w:cs="Calibri"/>
                <w:color w:val="000000"/>
                <w:sz w:val="18"/>
                <w:szCs w:val="18"/>
              </w:rPr>
              <w:t>Yes</w:t>
            </w:r>
          </w:p>
        </w:tc>
        <w:tc>
          <w:tcPr>
            <w:tcW w:w="639" w:type="pct"/>
            <w:tcBorders>
              <w:top w:val="single" w:sz="4" w:space="0" w:color="auto"/>
            </w:tcBorders>
            <w:shd w:val="clear" w:color="auto" w:fill="auto"/>
            <w:noWrap/>
            <w:hideMark/>
          </w:tcPr>
          <w:p w:rsidR="00583BD3" w:rsidRPr="007A2EC6" w:rsidRDefault="00583BD3" w:rsidP="000727E8">
            <w:pPr>
              <w:jc w:val="center"/>
              <w:rPr>
                <w:rFonts w:ascii="Garamond" w:hAnsi="Garamond" w:cs="Calibri"/>
                <w:color w:val="000000"/>
                <w:sz w:val="18"/>
                <w:szCs w:val="18"/>
              </w:rPr>
            </w:pPr>
            <w:r w:rsidRPr="007A2EC6">
              <w:rPr>
                <w:rFonts w:ascii="Garamond" w:hAnsi="Garamond" w:cs="Calibri"/>
                <w:color w:val="000000"/>
                <w:sz w:val="18"/>
                <w:szCs w:val="18"/>
              </w:rPr>
              <w:t>Yes</w:t>
            </w:r>
          </w:p>
        </w:tc>
        <w:tc>
          <w:tcPr>
            <w:tcW w:w="461" w:type="pct"/>
            <w:tcBorders>
              <w:top w:val="single" w:sz="4" w:space="0" w:color="auto"/>
            </w:tcBorders>
            <w:shd w:val="clear" w:color="auto" w:fill="auto"/>
            <w:noWrap/>
            <w:hideMark/>
          </w:tcPr>
          <w:p w:rsidR="00583BD3" w:rsidRPr="007A2EC6" w:rsidRDefault="00583BD3" w:rsidP="000727E8">
            <w:pPr>
              <w:jc w:val="center"/>
              <w:rPr>
                <w:rFonts w:ascii="Garamond" w:hAnsi="Garamond" w:cs="Calibri"/>
                <w:color w:val="000000"/>
                <w:sz w:val="18"/>
                <w:szCs w:val="18"/>
              </w:rPr>
            </w:pPr>
            <w:r w:rsidRPr="007A2EC6">
              <w:rPr>
                <w:rFonts w:ascii="Garamond" w:hAnsi="Garamond" w:cs="Calibri"/>
                <w:color w:val="000000"/>
                <w:sz w:val="18"/>
                <w:szCs w:val="18"/>
              </w:rPr>
              <w:t>Yes</w:t>
            </w:r>
          </w:p>
        </w:tc>
        <w:tc>
          <w:tcPr>
            <w:tcW w:w="434" w:type="pct"/>
            <w:tcBorders>
              <w:top w:val="single" w:sz="4" w:space="0" w:color="auto"/>
            </w:tcBorders>
            <w:shd w:val="clear" w:color="auto" w:fill="auto"/>
            <w:noWrap/>
            <w:hideMark/>
          </w:tcPr>
          <w:p w:rsidR="00583BD3" w:rsidRPr="007A2EC6" w:rsidRDefault="00583BD3" w:rsidP="000727E8">
            <w:pPr>
              <w:jc w:val="center"/>
              <w:rPr>
                <w:rFonts w:ascii="Garamond" w:hAnsi="Garamond" w:cs="Calibri"/>
                <w:color w:val="000000"/>
                <w:sz w:val="18"/>
                <w:szCs w:val="18"/>
              </w:rPr>
            </w:pPr>
            <w:r w:rsidRPr="007A2EC6">
              <w:rPr>
                <w:rFonts w:ascii="Garamond" w:hAnsi="Garamond" w:cs="Calibri"/>
                <w:color w:val="000000"/>
                <w:sz w:val="18"/>
                <w:szCs w:val="18"/>
              </w:rPr>
              <w:t>Yes</w:t>
            </w:r>
          </w:p>
        </w:tc>
        <w:tc>
          <w:tcPr>
            <w:tcW w:w="462" w:type="pct"/>
            <w:tcBorders>
              <w:top w:val="single" w:sz="4" w:space="0" w:color="auto"/>
            </w:tcBorders>
            <w:shd w:val="clear" w:color="auto" w:fill="auto"/>
            <w:noWrap/>
            <w:hideMark/>
          </w:tcPr>
          <w:p w:rsidR="00583BD3" w:rsidRPr="007A2EC6" w:rsidRDefault="00583BD3" w:rsidP="000727E8">
            <w:pPr>
              <w:jc w:val="center"/>
              <w:rPr>
                <w:rFonts w:ascii="Garamond" w:hAnsi="Garamond" w:cs="Calibri"/>
                <w:color w:val="000000"/>
                <w:sz w:val="18"/>
                <w:szCs w:val="18"/>
              </w:rPr>
            </w:pPr>
            <w:r w:rsidRPr="007A2EC6">
              <w:rPr>
                <w:rFonts w:ascii="Garamond" w:hAnsi="Garamond" w:cs="Calibri"/>
                <w:color w:val="000000"/>
                <w:sz w:val="18"/>
                <w:szCs w:val="18"/>
              </w:rPr>
              <w:t>Yes</w:t>
            </w:r>
          </w:p>
        </w:tc>
        <w:tc>
          <w:tcPr>
            <w:tcW w:w="465" w:type="pct"/>
            <w:tcBorders>
              <w:top w:val="single" w:sz="4" w:space="0" w:color="auto"/>
            </w:tcBorders>
            <w:shd w:val="clear" w:color="auto" w:fill="auto"/>
            <w:noWrap/>
            <w:hideMark/>
          </w:tcPr>
          <w:p w:rsidR="00583BD3" w:rsidRPr="007A2EC6" w:rsidRDefault="00583BD3" w:rsidP="000727E8">
            <w:pPr>
              <w:jc w:val="center"/>
              <w:rPr>
                <w:rFonts w:ascii="Garamond" w:hAnsi="Garamond" w:cs="Calibri"/>
                <w:color w:val="000000"/>
                <w:sz w:val="18"/>
                <w:szCs w:val="18"/>
              </w:rPr>
            </w:pPr>
            <w:r w:rsidRPr="007A2EC6">
              <w:rPr>
                <w:rFonts w:ascii="Garamond" w:hAnsi="Garamond" w:cs="Calibri"/>
                <w:color w:val="000000"/>
                <w:sz w:val="18"/>
                <w:szCs w:val="18"/>
              </w:rPr>
              <w:t>Yes</w:t>
            </w:r>
          </w:p>
        </w:tc>
        <w:tc>
          <w:tcPr>
            <w:tcW w:w="434" w:type="pct"/>
            <w:tcBorders>
              <w:top w:val="single" w:sz="4" w:space="0" w:color="auto"/>
            </w:tcBorders>
            <w:shd w:val="clear" w:color="auto" w:fill="auto"/>
            <w:noWrap/>
            <w:hideMark/>
          </w:tcPr>
          <w:p w:rsidR="00583BD3" w:rsidRPr="007A2EC6" w:rsidRDefault="00583BD3" w:rsidP="000727E8">
            <w:pPr>
              <w:jc w:val="center"/>
              <w:rPr>
                <w:rFonts w:ascii="Garamond" w:hAnsi="Garamond" w:cs="Calibri"/>
                <w:color w:val="000000"/>
                <w:sz w:val="18"/>
                <w:szCs w:val="18"/>
              </w:rPr>
            </w:pPr>
            <w:r w:rsidRPr="007A2EC6">
              <w:rPr>
                <w:rFonts w:ascii="Garamond" w:hAnsi="Garamond" w:cs="Calibri"/>
                <w:color w:val="000000"/>
                <w:sz w:val="18"/>
                <w:szCs w:val="18"/>
              </w:rPr>
              <w:t>Yes</w:t>
            </w:r>
          </w:p>
        </w:tc>
        <w:tc>
          <w:tcPr>
            <w:tcW w:w="461" w:type="pct"/>
            <w:tcBorders>
              <w:top w:val="single" w:sz="4" w:space="0" w:color="auto"/>
            </w:tcBorders>
            <w:shd w:val="clear" w:color="auto" w:fill="auto"/>
            <w:noWrap/>
            <w:hideMark/>
          </w:tcPr>
          <w:p w:rsidR="00583BD3" w:rsidRPr="007A2EC6" w:rsidRDefault="00583BD3" w:rsidP="000727E8">
            <w:pPr>
              <w:jc w:val="center"/>
              <w:rPr>
                <w:rFonts w:ascii="Garamond" w:hAnsi="Garamond" w:cs="Calibri"/>
                <w:color w:val="000000"/>
                <w:sz w:val="18"/>
                <w:szCs w:val="18"/>
              </w:rPr>
            </w:pPr>
            <w:r w:rsidRPr="007A2EC6">
              <w:rPr>
                <w:rFonts w:ascii="Garamond" w:hAnsi="Garamond" w:cs="Calibri"/>
                <w:color w:val="000000"/>
                <w:sz w:val="18"/>
                <w:szCs w:val="18"/>
              </w:rPr>
              <w:t>Yes</w:t>
            </w:r>
          </w:p>
        </w:tc>
      </w:tr>
      <w:tr w:rsidR="00583BD3" w:rsidRPr="00932E65" w:rsidTr="000727E8">
        <w:trPr>
          <w:trHeight w:hRule="exact" w:val="255"/>
          <w:jc w:val="center"/>
        </w:trPr>
        <w:tc>
          <w:tcPr>
            <w:tcW w:w="1140" w:type="pct"/>
            <w:shd w:val="clear" w:color="auto" w:fill="auto"/>
            <w:noWrap/>
            <w:hideMark/>
          </w:tcPr>
          <w:p w:rsidR="00583BD3" w:rsidRPr="00932E65" w:rsidRDefault="00583BD3" w:rsidP="000727E8">
            <w:pPr>
              <w:jc w:val="center"/>
              <w:rPr>
                <w:rFonts w:ascii="Garamond" w:hAnsi="Garamond" w:cs="Calibri"/>
                <w:color w:val="000000"/>
                <w:sz w:val="18"/>
                <w:szCs w:val="18"/>
              </w:rPr>
            </w:pPr>
            <w:r>
              <w:rPr>
                <w:rFonts w:ascii="Garamond" w:hAnsi="Garamond" w:cs="Calibri"/>
                <w:color w:val="000000"/>
                <w:sz w:val="18"/>
                <w:szCs w:val="18"/>
              </w:rPr>
              <w:t>Firm</w:t>
            </w:r>
            <w:r w:rsidRPr="00932E65">
              <w:rPr>
                <w:rFonts w:ascii="Garamond" w:hAnsi="Garamond" w:cs="Calibri"/>
                <w:color w:val="000000"/>
                <w:sz w:val="18"/>
                <w:szCs w:val="18"/>
              </w:rPr>
              <w:t xml:space="preserve"> Fixed Effects</w:t>
            </w:r>
          </w:p>
        </w:tc>
        <w:tc>
          <w:tcPr>
            <w:tcW w:w="504" w:type="pct"/>
            <w:shd w:val="clear" w:color="auto" w:fill="auto"/>
            <w:noWrap/>
            <w:hideMark/>
          </w:tcPr>
          <w:p w:rsidR="00583BD3" w:rsidRPr="007A2EC6" w:rsidRDefault="00583BD3" w:rsidP="000727E8">
            <w:pPr>
              <w:jc w:val="center"/>
              <w:rPr>
                <w:rFonts w:ascii="Garamond" w:hAnsi="Garamond" w:cs="Calibri"/>
                <w:color w:val="000000"/>
                <w:sz w:val="18"/>
                <w:szCs w:val="18"/>
              </w:rPr>
            </w:pPr>
            <w:r w:rsidRPr="007A2EC6">
              <w:rPr>
                <w:rFonts w:ascii="Garamond" w:hAnsi="Garamond" w:cs="Calibri"/>
                <w:color w:val="000000"/>
                <w:sz w:val="18"/>
                <w:szCs w:val="18"/>
              </w:rPr>
              <w:t>Yes</w:t>
            </w:r>
          </w:p>
        </w:tc>
        <w:tc>
          <w:tcPr>
            <w:tcW w:w="639" w:type="pct"/>
            <w:shd w:val="clear" w:color="auto" w:fill="auto"/>
            <w:noWrap/>
            <w:hideMark/>
          </w:tcPr>
          <w:p w:rsidR="00583BD3" w:rsidRPr="007A2EC6" w:rsidRDefault="00583BD3" w:rsidP="000727E8">
            <w:pPr>
              <w:jc w:val="center"/>
              <w:rPr>
                <w:rFonts w:ascii="Garamond" w:hAnsi="Garamond" w:cs="Calibri"/>
                <w:color w:val="000000"/>
                <w:sz w:val="18"/>
                <w:szCs w:val="18"/>
              </w:rPr>
            </w:pPr>
            <w:r w:rsidRPr="007A2EC6">
              <w:rPr>
                <w:rFonts w:ascii="Garamond" w:hAnsi="Garamond" w:cs="Calibri"/>
                <w:color w:val="000000"/>
                <w:sz w:val="18"/>
                <w:szCs w:val="18"/>
              </w:rPr>
              <w:t>Yes</w:t>
            </w:r>
          </w:p>
        </w:tc>
        <w:tc>
          <w:tcPr>
            <w:tcW w:w="461" w:type="pct"/>
            <w:shd w:val="clear" w:color="auto" w:fill="auto"/>
            <w:noWrap/>
            <w:hideMark/>
          </w:tcPr>
          <w:p w:rsidR="00583BD3" w:rsidRPr="007A2EC6" w:rsidRDefault="00583BD3" w:rsidP="000727E8">
            <w:pPr>
              <w:jc w:val="center"/>
              <w:rPr>
                <w:rFonts w:ascii="Garamond" w:hAnsi="Garamond" w:cs="Calibri"/>
                <w:color w:val="000000"/>
                <w:sz w:val="18"/>
                <w:szCs w:val="18"/>
              </w:rPr>
            </w:pPr>
            <w:r w:rsidRPr="007A2EC6">
              <w:rPr>
                <w:rFonts w:ascii="Garamond" w:hAnsi="Garamond" w:cs="Calibri"/>
                <w:color w:val="000000"/>
                <w:sz w:val="18"/>
                <w:szCs w:val="18"/>
              </w:rPr>
              <w:t>Yes</w:t>
            </w:r>
          </w:p>
        </w:tc>
        <w:tc>
          <w:tcPr>
            <w:tcW w:w="434" w:type="pct"/>
            <w:shd w:val="clear" w:color="auto" w:fill="auto"/>
            <w:noWrap/>
            <w:hideMark/>
          </w:tcPr>
          <w:p w:rsidR="00583BD3" w:rsidRPr="007A2EC6" w:rsidRDefault="00583BD3" w:rsidP="000727E8">
            <w:pPr>
              <w:jc w:val="center"/>
              <w:rPr>
                <w:rFonts w:ascii="Garamond" w:hAnsi="Garamond" w:cs="Calibri"/>
                <w:color w:val="000000"/>
                <w:sz w:val="18"/>
                <w:szCs w:val="18"/>
              </w:rPr>
            </w:pPr>
            <w:r w:rsidRPr="007A2EC6">
              <w:rPr>
                <w:rFonts w:ascii="Garamond" w:hAnsi="Garamond" w:cs="Calibri"/>
                <w:color w:val="000000"/>
                <w:sz w:val="18"/>
                <w:szCs w:val="18"/>
              </w:rPr>
              <w:t>Yes</w:t>
            </w:r>
          </w:p>
        </w:tc>
        <w:tc>
          <w:tcPr>
            <w:tcW w:w="462" w:type="pct"/>
            <w:shd w:val="clear" w:color="auto" w:fill="auto"/>
            <w:noWrap/>
            <w:hideMark/>
          </w:tcPr>
          <w:p w:rsidR="00583BD3" w:rsidRPr="007A2EC6" w:rsidRDefault="00583BD3" w:rsidP="000727E8">
            <w:pPr>
              <w:jc w:val="center"/>
              <w:rPr>
                <w:rFonts w:ascii="Garamond" w:hAnsi="Garamond" w:cs="Calibri"/>
                <w:color w:val="000000"/>
                <w:sz w:val="18"/>
                <w:szCs w:val="18"/>
              </w:rPr>
            </w:pPr>
            <w:r w:rsidRPr="007A2EC6">
              <w:rPr>
                <w:rFonts w:ascii="Garamond" w:hAnsi="Garamond" w:cs="Calibri"/>
                <w:color w:val="000000"/>
                <w:sz w:val="18"/>
                <w:szCs w:val="18"/>
              </w:rPr>
              <w:t>Yes</w:t>
            </w:r>
          </w:p>
        </w:tc>
        <w:tc>
          <w:tcPr>
            <w:tcW w:w="465" w:type="pct"/>
            <w:shd w:val="clear" w:color="auto" w:fill="auto"/>
            <w:noWrap/>
            <w:hideMark/>
          </w:tcPr>
          <w:p w:rsidR="00583BD3" w:rsidRPr="007A2EC6" w:rsidRDefault="00583BD3" w:rsidP="000727E8">
            <w:pPr>
              <w:jc w:val="center"/>
              <w:rPr>
                <w:rFonts w:ascii="Garamond" w:hAnsi="Garamond" w:cs="Calibri"/>
                <w:color w:val="000000"/>
                <w:sz w:val="18"/>
                <w:szCs w:val="18"/>
              </w:rPr>
            </w:pPr>
            <w:r w:rsidRPr="007A2EC6">
              <w:rPr>
                <w:rFonts w:ascii="Garamond" w:hAnsi="Garamond" w:cs="Calibri"/>
                <w:color w:val="000000"/>
                <w:sz w:val="18"/>
                <w:szCs w:val="18"/>
              </w:rPr>
              <w:t>Yes</w:t>
            </w:r>
          </w:p>
        </w:tc>
        <w:tc>
          <w:tcPr>
            <w:tcW w:w="434" w:type="pct"/>
            <w:shd w:val="clear" w:color="auto" w:fill="auto"/>
            <w:noWrap/>
            <w:hideMark/>
          </w:tcPr>
          <w:p w:rsidR="00583BD3" w:rsidRPr="007A2EC6" w:rsidRDefault="00583BD3" w:rsidP="000727E8">
            <w:pPr>
              <w:jc w:val="center"/>
              <w:rPr>
                <w:rFonts w:ascii="Garamond" w:hAnsi="Garamond" w:cs="Calibri"/>
                <w:color w:val="000000"/>
                <w:sz w:val="18"/>
                <w:szCs w:val="18"/>
              </w:rPr>
            </w:pPr>
            <w:r w:rsidRPr="007A2EC6">
              <w:rPr>
                <w:rFonts w:ascii="Garamond" w:hAnsi="Garamond" w:cs="Calibri"/>
                <w:color w:val="000000"/>
                <w:sz w:val="18"/>
                <w:szCs w:val="18"/>
              </w:rPr>
              <w:t>Yes</w:t>
            </w:r>
          </w:p>
        </w:tc>
        <w:tc>
          <w:tcPr>
            <w:tcW w:w="461" w:type="pct"/>
            <w:shd w:val="clear" w:color="auto" w:fill="auto"/>
            <w:noWrap/>
            <w:hideMark/>
          </w:tcPr>
          <w:p w:rsidR="00583BD3" w:rsidRPr="007A2EC6" w:rsidRDefault="00583BD3" w:rsidP="000727E8">
            <w:pPr>
              <w:jc w:val="center"/>
              <w:rPr>
                <w:rFonts w:ascii="Garamond" w:hAnsi="Garamond" w:cs="Calibri"/>
                <w:color w:val="000000"/>
                <w:sz w:val="18"/>
                <w:szCs w:val="18"/>
              </w:rPr>
            </w:pPr>
            <w:r w:rsidRPr="007A2EC6">
              <w:rPr>
                <w:rFonts w:ascii="Garamond" w:hAnsi="Garamond" w:cs="Calibri"/>
                <w:color w:val="000000"/>
                <w:sz w:val="18"/>
                <w:szCs w:val="18"/>
              </w:rPr>
              <w:t>Yes</w:t>
            </w:r>
          </w:p>
        </w:tc>
      </w:tr>
      <w:tr w:rsidR="00583BD3" w:rsidRPr="00025A78" w:rsidTr="000727E8">
        <w:trPr>
          <w:trHeight w:hRule="exact" w:val="255"/>
          <w:jc w:val="center"/>
        </w:trPr>
        <w:tc>
          <w:tcPr>
            <w:tcW w:w="1140" w:type="pct"/>
            <w:shd w:val="clear" w:color="auto" w:fill="auto"/>
            <w:noWrap/>
            <w:hideMark/>
          </w:tcPr>
          <w:p w:rsidR="00583BD3" w:rsidRPr="00932E65" w:rsidRDefault="00583BD3" w:rsidP="000727E8">
            <w:pPr>
              <w:jc w:val="center"/>
              <w:rPr>
                <w:rFonts w:ascii="Garamond" w:hAnsi="Garamond" w:cs="Calibri"/>
                <w:color w:val="000000"/>
                <w:sz w:val="18"/>
                <w:szCs w:val="18"/>
              </w:rPr>
            </w:pPr>
            <w:proofErr w:type="spellStart"/>
            <w:r w:rsidRPr="00932E65">
              <w:rPr>
                <w:rFonts w:ascii="Garamond" w:hAnsi="Garamond" w:cs="Calibri"/>
                <w:color w:val="000000"/>
                <w:sz w:val="18"/>
                <w:szCs w:val="18"/>
              </w:rPr>
              <w:t>Adj</w:t>
            </w:r>
            <w:proofErr w:type="spellEnd"/>
            <w:r w:rsidRPr="00932E65">
              <w:rPr>
                <w:rFonts w:ascii="Garamond" w:hAnsi="Garamond" w:cs="Calibri"/>
                <w:color w:val="000000"/>
                <w:sz w:val="18"/>
                <w:szCs w:val="18"/>
              </w:rPr>
              <w:t xml:space="preserve"> R-square</w:t>
            </w:r>
          </w:p>
        </w:tc>
        <w:tc>
          <w:tcPr>
            <w:tcW w:w="504" w:type="pct"/>
            <w:shd w:val="clear" w:color="auto" w:fill="auto"/>
            <w:noWrap/>
            <w:vAlign w:val="bottom"/>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0.0483</w:t>
            </w:r>
          </w:p>
        </w:tc>
        <w:tc>
          <w:tcPr>
            <w:tcW w:w="639" w:type="pct"/>
            <w:shd w:val="clear" w:color="auto" w:fill="auto"/>
            <w:noWrap/>
            <w:vAlign w:val="bottom"/>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0.0624</w:t>
            </w:r>
          </w:p>
        </w:tc>
        <w:tc>
          <w:tcPr>
            <w:tcW w:w="461" w:type="pct"/>
            <w:shd w:val="clear" w:color="auto" w:fill="auto"/>
            <w:noWrap/>
            <w:vAlign w:val="bottom"/>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0.0755</w:t>
            </w:r>
          </w:p>
        </w:tc>
        <w:tc>
          <w:tcPr>
            <w:tcW w:w="434" w:type="pct"/>
            <w:shd w:val="clear" w:color="auto" w:fill="auto"/>
            <w:noWrap/>
            <w:vAlign w:val="bottom"/>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0.0520</w:t>
            </w:r>
          </w:p>
        </w:tc>
        <w:tc>
          <w:tcPr>
            <w:tcW w:w="462" w:type="pct"/>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0.0871</w:t>
            </w:r>
          </w:p>
        </w:tc>
        <w:tc>
          <w:tcPr>
            <w:tcW w:w="465" w:type="pct"/>
            <w:shd w:val="clear" w:color="auto" w:fill="auto"/>
            <w:noWrap/>
            <w:vAlign w:val="bottom"/>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0.0589</w:t>
            </w:r>
          </w:p>
        </w:tc>
        <w:tc>
          <w:tcPr>
            <w:tcW w:w="434" w:type="pct"/>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0.0810</w:t>
            </w:r>
          </w:p>
        </w:tc>
        <w:tc>
          <w:tcPr>
            <w:tcW w:w="461" w:type="pct"/>
            <w:shd w:val="clear" w:color="auto" w:fill="auto"/>
            <w:noWrap/>
            <w:vAlign w:val="center"/>
            <w:hideMark/>
          </w:tcPr>
          <w:p w:rsidR="00583BD3" w:rsidRPr="00025A78" w:rsidRDefault="00583BD3" w:rsidP="000727E8">
            <w:pPr>
              <w:jc w:val="center"/>
              <w:rPr>
                <w:rFonts w:ascii="Garamond" w:hAnsi="Garamond" w:cs="Calibri"/>
                <w:color w:val="000000"/>
                <w:sz w:val="18"/>
                <w:szCs w:val="18"/>
              </w:rPr>
            </w:pPr>
            <w:r w:rsidRPr="00025A78">
              <w:rPr>
                <w:rFonts w:ascii="Garamond" w:hAnsi="Garamond" w:cs="Calibri" w:hint="eastAsia"/>
                <w:color w:val="000000"/>
                <w:sz w:val="18"/>
                <w:szCs w:val="18"/>
              </w:rPr>
              <w:t>0.0983</w:t>
            </w:r>
          </w:p>
        </w:tc>
      </w:tr>
      <w:tr w:rsidR="00583BD3" w:rsidRPr="00932E65" w:rsidTr="000727E8">
        <w:trPr>
          <w:trHeight w:hRule="exact" w:val="255"/>
          <w:jc w:val="center"/>
        </w:trPr>
        <w:tc>
          <w:tcPr>
            <w:tcW w:w="1140" w:type="pct"/>
            <w:shd w:val="clear" w:color="auto" w:fill="auto"/>
            <w:noWrap/>
            <w:hideMark/>
          </w:tcPr>
          <w:p w:rsidR="00583BD3" w:rsidRPr="00932E65" w:rsidRDefault="00583BD3" w:rsidP="000727E8">
            <w:pPr>
              <w:jc w:val="center"/>
              <w:rPr>
                <w:rFonts w:ascii="Garamond" w:hAnsi="Garamond" w:cs="Calibri"/>
                <w:color w:val="000000"/>
                <w:sz w:val="18"/>
                <w:szCs w:val="18"/>
              </w:rPr>
            </w:pPr>
            <w:r w:rsidRPr="00932E65">
              <w:rPr>
                <w:rFonts w:ascii="Garamond" w:hAnsi="Garamond" w:cs="Calibri"/>
                <w:color w:val="000000"/>
                <w:sz w:val="18"/>
                <w:szCs w:val="18"/>
              </w:rPr>
              <w:t>No. of Observation</w:t>
            </w:r>
          </w:p>
        </w:tc>
        <w:tc>
          <w:tcPr>
            <w:tcW w:w="504" w:type="pct"/>
            <w:shd w:val="clear" w:color="auto" w:fill="auto"/>
            <w:noWrap/>
            <w:vAlign w:val="bottom"/>
            <w:hideMark/>
          </w:tcPr>
          <w:p w:rsidR="00583BD3" w:rsidRPr="00932E65" w:rsidRDefault="00583BD3" w:rsidP="000727E8">
            <w:pPr>
              <w:jc w:val="center"/>
              <w:rPr>
                <w:rFonts w:ascii="Garamond" w:hAnsi="Garamond" w:cs="Calibri"/>
                <w:color w:val="000000"/>
                <w:sz w:val="18"/>
                <w:szCs w:val="18"/>
              </w:rPr>
            </w:pPr>
            <w:r w:rsidRPr="00932E65">
              <w:rPr>
                <w:rFonts w:ascii="Garamond" w:hAnsi="Garamond" w:cs="Calibri"/>
                <w:color w:val="000000"/>
                <w:sz w:val="18"/>
                <w:szCs w:val="18"/>
              </w:rPr>
              <w:t>1,342</w:t>
            </w:r>
          </w:p>
        </w:tc>
        <w:tc>
          <w:tcPr>
            <w:tcW w:w="639" w:type="pct"/>
            <w:shd w:val="clear" w:color="auto" w:fill="auto"/>
            <w:noWrap/>
            <w:vAlign w:val="bottom"/>
            <w:hideMark/>
          </w:tcPr>
          <w:p w:rsidR="00583BD3" w:rsidRPr="00932E65" w:rsidRDefault="00583BD3" w:rsidP="000727E8">
            <w:pPr>
              <w:jc w:val="center"/>
              <w:rPr>
                <w:rFonts w:ascii="Garamond" w:hAnsi="Garamond" w:cs="Calibri"/>
                <w:color w:val="000000"/>
                <w:sz w:val="18"/>
                <w:szCs w:val="18"/>
              </w:rPr>
            </w:pPr>
            <w:r w:rsidRPr="00932E65">
              <w:rPr>
                <w:rFonts w:ascii="Garamond" w:hAnsi="Garamond" w:cs="Calibri"/>
                <w:color w:val="000000"/>
                <w:sz w:val="18"/>
                <w:szCs w:val="18"/>
              </w:rPr>
              <w:t>4,957</w:t>
            </w:r>
          </w:p>
        </w:tc>
        <w:tc>
          <w:tcPr>
            <w:tcW w:w="461" w:type="pct"/>
            <w:shd w:val="clear" w:color="auto" w:fill="auto"/>
            <w:noWrap/>
            <w:vAlign w:val="bottom"/>
            <w:hideMark/>
          </w:tcPr>
          <w:p w:rsidR="00583BD3" w:rsidRPr="00932E65" w:rsidRDefault="00583BD3" w:rsidP="000727E8">
            <w:pPr>
              <w:jc w:val="center"/>
              <w:rPr>
                <w:rFonts w:ascii="Garamond" w:hAnsi="Garamond" w:cs="Calibri"/>
                <w:color w:val="000000"/>
                <w:sz w:val="18"/>
                <w:szCs w:val="18"/>
              </w:rPr>
            </w:pPr>
            <w:r w:rsidRPr="00932E65">
              <w:rPr>
                <w:rFonts w:ascii="Garamond" w:hAnsi="Garamond" w:cs="Calibri"/>
                <w:color w:val="000000"/>
                <w:sz w:val="18"/>
                <w:szCs w:val="18"/>
              </w:rPr>
              <w:t>1,612</w:t>
            </w:r>
          </w:p>
        </w:tc>
        <w:tc>
          <w:tcPr>
            <w:tcW w:w="434" w:type="pct"/>
            <w:shd w:val="clear" w:color="auto" w:fill="auto"/>
            <w:noWrap/>
            <w:vAlign w:val="bottom"/>
            <w:hideMark/>
          </w:tcPr>
          <w:p w:rsidR="00583BD3" w:rsidRPr="00932E65" w:rsidRDefault="00583BD3" w:rsidP="000727E8">
            <w:pPr>
              <w:jc w:val="center"/>
              <w:rPr>
                <w:rFonts w:ascii="Garamond" w:hAnsi="Garamond" w:cs="Calibri"/>
                <w:color w:val="000000"/>
                <w:sz w:val="18"/>
                <w:szCs w:val="18"/>
              </w:rPr>
            </w:pPr>
            <w:r w:rsidRPr="00932E65">
              <w:rPr>
                <w:rFonts w:ascii="Garamond" w:hAnsi="Garamond" w:cs="Calibri"/>
                <w:color w:val="000000"/>
                <w:sz w:val="18"/>
                <w:szCs w:val="18"/>
              </w:rPr>
              <w:t>2,146</w:t>
            </w:r>
          </w:p>
        </w:tc>
        <w:tc>
          <w:tcPr>
            <w:tcW w:w="462" w:type="pct"/>
            <w:shd w:val="clear" w:color="auto" w:fill="auto"/>
            <w:noWrap/>
            <w:vAlign w:val="bottom"/>
            <w:hideMark/>
          </w:tcPr>
          <w:p w:rsidR="00583BD3" w:rsidRPr="00932E65" w:rsidRDefault="00583BD3" w:rsidP="000727E8">
            <w:pPr>
              <w:jc w:val="center"/>
              <w:rPr>
                <w:rFonts w:ascii="Garamond" w:hAnsi="Garamond" w:cs="Calibri"/>
                <w:color w:val="000000"/>
                <w:sz w:val="18"/>
                <w:szCs w:val="18"/>
              </w:rPr>
            </w:pPr>
            <w:r w:rsidRPr="00932E65">
              <w:rPr>
                <w:rFonts w:ascii="Garamond" w:hAnsi="Garamond" w:cs="Calibri"/>
                <w:color w:val="000000"/>
                <w:sz w:val="18"/>
                <w:szCs w:val="18"/>
              </w:rPr>
              <w:t>1,609</w:t>
            </w:r>
          </w:p>
        </w:tc>
        <w:tc>
          <w:tcPr>
            <w:tcW w:w="465" w:type="pct"/>
            <w:shd w:val="clear" w:color="auto" w:fill="auto"/>
            <w:noWrap/>
            <w:vAlign w:val="bottom"/>
            <w:hideMark/>
          </w:tcPr>
          <w:p w:rsidR="00583BD3" w:rsidRPr="00932E65" w:rsidRDefault="00583BD3" w:rsidP="000727E8">
            <w:pPr>
              <w:jc w:val="center"/>
              <w:rPr>
                <w:rFonts w:ascii="Garamond" w:hAnsi="Garamond" w:cs="Calibri"/>
                <w:color w:val="000000"/>
                <w:sz w:val="18"/>
                <w:szCs w:val="18"/>
              </w:rPr>
            </w:pPr>
            <w:r w:rsidRPr="00932E65">
              <w:rPr>
                <w:rFonts w:ascii="Garamond" w:hAnsi="Garamond" w:cs="Calibri"/>
                <w:color w:val="000000"/>
                <w:sz w:val="18"/>
                <w:szCs w:val="18"/>
              </w:rPr>
              <w:t>1,916</w:t>
            </w:r>
          </w:p>
        </w:tc>
        <w:tc>
          <w:tcPr>
            <w:tcW w:w="434" w:type="pct"/>
            <w:shd w:val="clear" w:color="auto" w:fill="auto"/>
            <w:noWrap/>
            <w:vAlign w:val="center"/>
            <w:hideMark/>
          </w:tcPr>
          <w:p w:rsidR="00583BD3" w:rsidRPr="00932E65" w:rsidRDefault="00583BD3" w:rsidP="000727E8">
            <w:pPr>
              <w:jc w:val="center"/>
              <w:rPr>
                <w:rFonts w:ascii="Garamond" w:hAnsi="Garamond" w:cs="Calibri"/>
                <w:color w:val="000000"/>
                <w:sz w:val="18"/>
                <w:szCs w:val="18"/>
              </w:rPr>
            </w:pPr>
            <w:r w:rsidRPr="00932E65">
              <w:rPr>
                <w:rFonts w:ascii="Garamond" w:hAnsi="Garamond" w:cs="Calibri"/>
                <w:color w:val="000000"/>
                <w:sz w:val="18"/>
                <w:szCs w:val="18"/>
              </w:rPr>
              <w:t>2,630</w:t>
            </w:r>
          </w:p>
        </w:tc>
        <w:tc>
          <w:tcPr>
            <w:tcW w:w="461" w:type="pct"/>
            <w:shd w:val="clear" w:color="auto" w:fill="auto"/>
            <w:noWrap/>
            <w:vAlign w:val="center"/>
            <w:hideMark/>
          </w:tcPr>
          <w:p w:rsidR="00583BD3" w:rsidRPr="00932E65" w:rsidRDefault="00583BD3" w:rsidP="000727E8">
            <w:pPr>
              <w:jc w:val="center"/>
              <w:rPr>
                <w:rFonts w:ascii="Garamond" w:hAnsi="Garamond" w:cs="Calibri"/>
                <w:color w:val="000000"/>
                <w:sz w:val="18"/>
                <w:szCs w:val="18"/>
              </w:rPr>
            </w:pPr>
            <w:r w:rsidRPr="00932E65">
              <w:rPr>
                <w:rFonts w:ascii="Garamond" w:hAnsi="Garamond" w:cs="Calibri" w:hint="eastAsia"/>
                <w:color w:val="000000"/>
                <w:sz w:val="18"/>
                <w:szCs w:val="18"/>
              </w:rPr>
              <w:t>1</w:t>
            </w:r>
            <w:r w:rsidRPr="00932E65">
              <w:rPr>
                <w:rFonts w:ascii="Garamond" w:hAnsi="Garamond" w:cs="Calibri"/>
                <w:color w:val="000000"/>
                <w:sz w:val="18"/>
                <w:szCs w:val="18"/>
              </w:rPr>
              <w:t>,</w:t>
            </w:r>
            <w:r w:rsidRPr="00932E65">
              <w:rPr>
                <w:rFonts w:ascii="Garamond" w:hAnsi="Garamond" w:cs="Calibri" w:hint="eastAsia"/>
                <w:color w:val="000000"/>
                <w:sz w:val="18"/>
                <w:szCs w:val="18"/>
              </w:rPr>
              <w:t>753</w:t>
            </w:r>
          </w:p>
        </w:tc>
      </w:tr>
      <w:tr w:rsidR="00583BD3" w:rsidRPr="00932E65" w:rsidTr="000727E8">
        <w:trPr>
          <w:trHeight w:hRule="exact" w:val="255"/>
          <w:jc w:val="center"/>
        </w:trPr>
        <w:tc>
          <w:tcPr>
            <w:tcW w:w="1140" w:type="pct"/>
            <w:shd w:val="clear" w:color="auto" w:fill="auto"/>
            <w:noWrap/>
            <w:hideMark/>
          </w:tcPr>
          <w:p w:rsidR="00583BD3" w:rsidRPr="00932E65" w:rsidRDefault="00583BD3" w:rsidP="000727E8">
            <w:pPr>
              <w:jc w:val="center"/>
              <w:rPr>
                <w:rFonts w:ascii="Garamond" w:hAnsi="Garamond" w:cs="Calibri"/>
                <w:color w:val="000000"/>
                <w:sz w:val="18"/>
                <w:szCs w:val="18"/>
              </w:rPr>
            </w:pPr>
            <w:r w:rsidRPr="00932E65">
              <w:rPr>
                <w:rFonts w:ascii="Garamond" w:hAnsi="Garamond" w:cs="Calibri"/>
                <w:color w:val="000000"/>
                <w:sz w:val="18"/>
                <w:szCs w:val="18"/>
              </w:rPr>
              <w:t>No. of Female CFOs</w:t>
            </w:r>
          </w:p>
        </w:tc>
        <w:tc>
          <w:tcPr>
            <w:tcW w:w="504" w:type="pct"/>
            <w:shd w:val="clear" w:color="auto" w:fill="auto"/>
            <w:noWrap/>
            <w:vAlign w:val="center"/>
            <w:hideMark/>
          </w:tcPr>
          <w:p w:rsidR="00583BD3" w:rsidRPr="00932E65" w:rsidRDefault="00583BD3" w:rsidP="000727E8">
            <w:pPr>
              <w:jc w:val="center"/>
              <w:rPr>
                <w:rFonts w:ascii="Garamond" w:hAnsi="Garamond" w:cs="Calibri"/>
                <w:color w:val="000000"/>
                <w:sz w:val="18"/>
                <w:szCs w:val="18"/>
              </w:rPr>
            </w:pPr>
            <w:r w:rsidRPr="00932E65">
              <w:rPr>
                <w:rFonts w:ascii="Garamond" w:hAnsi="Garamond" w:cs="Calibri"/>
                <w:color w:val="000000"/>
                <w:sz w:val="18"/>
                <w:szCs w:val="18"/>
              </w:rPr>
              <w:t>55</w:t>
            </w:r>
          </w:p>
        </w:tc>
        <w:tc>
          <w:tcPr>
            <w:tcW w:w="639" w:type="pct"/>
            <w:shd w:val="clear" w:color="auto" w:fill="auto"/>
            <w:noWrap/>
            <w:vAlign w:val="center"/>
            <w:hideMark/>
          </w:tcPr>
          <w:p w:rsidR="00583BD3" w:rsidRPr="00932E65" w:rsidRDefault="00583BD3" w:rsidP="000727E8">
            <w:pPr>
              <w:jc w:val="center"/>
              <w:rPr>
                <w:rFonts w:ascii="Garamond" w:hAnsi="Garamond" w:cs="Calibri"/>
                <w:color w:val="000000"/>
                <w:sz w:val="18"/>
                <w:szCs w:val="18"/>
              </w:rPr>
            </w:pPr>
            <w:r w:rsidRPr="00932E65">
              <w:rPr>
                <w:rFonts w:ascii="Garamond" w:hAnsi="Garamond" w:cs="Calibri"/>
                <w:color w:val="000000"/>
                <w:sz w:val="18"/>
                <w:szCs w:val="18"/>
              </w:rPr>
              <w:t>274</w:t>
            </w:r>
          </w:p>
        </w:tc>
        <w:tc>
          <w:tcPr>
            <w:tcW w:w="461" w:type="pct"/>
            <w:shd w:val="clear" w:color="auto" w:fill="auto"/>
            <w:noWrap/>
            <w:vAlign w:val="center"/>
            <w:hideMark/>
          </w:tcPr>
          <w:p w:rsidR="00583BD3" w:rsidRPr="00932E65" w:rsidRDefault="00583BD3" w:rsidP="000727E8">
            <w:pPr>
              <w:jc w:val="center"/>
              <w:rPr>
                <w:rFonts w:ascii="Garamond" w:hAnsi="Garamond" w:cs="Calibri"/>
                <w:color w:val="000000"/>
                <w:sz w:val="18"/>
                <w:szCs w:val="18"/>
              </w:rPr>
            </w:pPr>
            <w:r w:rsidRPr="00932E65">
              <w:rPr>
                <w:rFonts w:ascii="Garamond" w:hAnsi="Garamond" w:cs="Calibri"/>
                <w:color w:val="000000"/>
                <w:sz w:val="18"/>
                <w:szCs w:val="18"/>
              </w:rPr>
              <w:t>101</w:t>
            </w:r>
          </w:p>
        </w:tc>
        <w:tc>
          <w:tcPr>
            <w:tcW w:w="434" w:type="pct"/>
            <w:shd w:val="clear" w:color="auto" w:fill="auto"/>
            <w:noWrap/>
            <w:vAlign w:val="center"/>
            <w:hideMark/>
          </w:tcPr>
          <w:p w:rsidR="00583BD3" w:rsidRPr="00932E65" w:rsidRDefault="00583BD3" w:rsidP="000727E8">
            <w:pPr>
              <w:jc w:val="center"/>
              <w:rPr>
                <w:rFonts w:ascii="Garamond" w:hAnsi="Garamond" w:cs="Calibri"/>
                <w:color w:val="000000"/>
                <w:sz w:val="18"/>
                <w:szCs w:val="18"/>
              </w:rPr>
            </w:pPr>
            <w:r w:rsidRPr="00932E65">
              <w:rPr>
                <w:rFonts w:ascii="Garamond" w:hAnsi="Garamond" w:cs="Calibri"/>
                <w:color w:val="000000"/>
                <w:sz w:val="18"/>
                <w:szCs w:val="18"/>
              </w:rPr>
              <w:t>99</w:t>
            </w:r>
          </w:p>
        </w:tc>
        <w:tc>
          <w:tcPr>
            <w:tcW w:w="462" w:type="pct"/>
            <w:shd w:val="clear" w:color="auto" w:fill="auto"/>
            <w:noWrap/>
            <w:vAlign w:val="center"/>
            <w:hideMark/>
          </w:tcPr>
          <w:p w:rsidR="00583BD3" w:rsidRPr="00932E65" w:rsidRDefault="00583BD3" w:rsidP="000727E8">
            <w:pPr>
              <w:jc w:val="center"/>
              <w:rPr>
                <w:rFonts w:ascii="Garamond" w:hAnsi="Garamond" w:cs="Calibri"/>
                <w:color w:val="000000"/>
                <w:sz w:val="18"/>
                <w:szCs w:val="18"/>
              </w:rPr>
            </w:pPr>
            <w:r w:rsidRPr="00932E65">
              <w:rPr>
                <w:rFonts w:ascii="Garamond" w:hAnsi="Garamond" w:cs="Calibri"/>
                <w:color w:val="000000"/>
                <w:sz w:val="18"/>
                <w:szCs w:val="18"/>
              </w:rPr>
              <w:t>71</w:t>
            </w:r>
          </w:p>
        </w:tc>
        <w:tc>
          <w:tcPr>
            <w:tcW w:w="465" w:type="pct"/>
            <w:shd w:val="clear" w:color="auto" w:fill="auto"/>
            <w:noWrap/>
            <w:vAlign w:val="center"/>
            <w:hideMark/>
          </w:tcPr>
          <w:p w:rsidR="00583BD3" w:rsidRPr="00932E65" w:rsidRDefault="00583BD3" w:rsidP="000727E8">
            <w:pPr>
              <w:jc w:val="center"/>
              <w:rPr>
                <w:rFonts w:ascii="Garamond" w:hAnsi="Garamond" w:cs="Calibri"/>
                <w:color w:val="000000"/>
                <w:sz w:val="18"/>
                <w:szCs w:val="18"/>
              </w:rPr>
            </w:pPr>
            <w:r w:rsidRPr="00932E65">
              <w:rPr>
                <w:rFonts w:ascii="Garamond" w:hAnsi="Garamond" w:cs="Calibri"/>
                <w:color w:val="000000"/>
                <w:sz w:val="18"/>
                <w:szCs w:val="18"/>
              </w:rPr>
              <w:t>86</w:t>
            </w:r>
          </w:p>
        </w:tc>
        <w:tc>
          <w:tcPr>
            <w:tcW w:w="434" w:type="pct"/>
            <w:shd w:val="clear" w:color="auto" w:fill="auto"/>
            <w:noWrap/>
            <w:vAlign w:val="center"/>
            <w:hideMark/>
          </w:tcPr>
          <w:p w:rsidR="00583BD3" w:rsidRPr="00932E65" w:rsidRDefault="00583BD3" w:rsidP="000727E8">
            <w:pPr>
              <w:jc w:val="center"/>
              <w:rPr>
                <w:rFonts w:ascii="Garamond" w:hAnsi="Garamond" w:cs="Calibri"/>
                <w:color w:val="000000"/>
                <w:sz w:val="18"/>
                <w:szCs w:val="18"/>
              </w:rPr>
            </w:pPr>
            <w:r w:rsidRPr="00932E65">
              <w:rPr>
                <w:rFonts w:ascii="Garamond" w:hAnsi="Garamond" w:cs="Calibri"/>
                <w:color w:val="000000"/>
                <w:sz w:val="18"/>
                <w:szCs w:val="18"/>
              </w:rPr>
              <w:t>164</w:t>
            </w:r>
          </w:p>
        </w:tc>
        <w:tc>
          <w:tcPr>
            <w:tcW w:w="461" w:type="pct"/>
            <w:shd w:val="clear" w:color="auto" w:fill="auto"/>
            <w:noWrap/>
            <w:vAlign w:val="center"/>
            <w:hideMark/>
          </w:tcPr>
          <w:p w:rsidR="00583BD3" w:rsidRPr="00932E65" w:rsidRDefault="00583BD3" w:rsidP="000727E8">
            <w:pPr>
              <w:jc w:val="center"/>
              <w:rPr>
                <w:rFonts w:ascii="Garamond" w:hAnsi="Garamond" w:cs="Calibri"/>
                <w:color w:val="000000"/>
                <w:sz w:val="18"/>
                <w:szCs w:val="18"/>
              </w:rPr>
            </w:pPr>
            <w:r w:rsidRPr="00932E65">
              <w:rPr>
                <w:rFonts w:ascii="Garamond" w:hAnsi="Garamond" w:cs="Calibri" w:hint="eastAsia"/>
                <w:color w:val="000000"/>
                <w:sz w:val="18"/>
                <w:szCs w:val="18"/>
              </w:rPr>
              <w:t>79</w:t>
            </w:r>
          </w:p>
        </w:tc>
      </w:tr>
      <w:tr w:rsidR="00583BD3" w:rsidRPr="00932E65" w:rsidTr="000727E8">
        <w:trPr>
          <w:trHeight w:hRule="exact" w:val="255"/>
          <w:jc w:val="center"/>
        </w:trPr>
        <w:tc>
          <w:tcPr>
            <w:tcW w:w="1140" w:type="pct"/>
            <w:shd w:val="clear" w:color="auto" w:fill="auto"/>
            <w:noWrap/>
            <w:hideMark/>
          </w:tcPr>
          <w:p w:rsidR="00583BD3" w:rsidRPr="00932E65" w:rsidRDefault="00583BD3" w:rsidP="000727E8">
            <w:pPr>
              <w:jc w:val="center"/>
              <w:rPr>
                <w:rFonts w:ascii="Garamond" w:hAnsi="Garamond" w:cs="Calibri"/>
                <w:color w:val="000000"/>
                <w:sz w:val="18"/>
                <w:szCs w:val="18"/>
              </w:rPr>
            </w:pPr>
            <w:r>
              <w:rPr>
                <w:rFonts w:ascii="Garamond" w:hAnsi="Garamond" w:cs="Calibri"/>
                <w:color w:val="000000"/>
                <w:sz w:val="18"/>
                <w:szCs w:val="18"/>
              </w:rPr>
              <w:t>Average Leverage</w:t>
            </w:r>
          </w:p>
        </w:tc>
        <w:tc>
          <w:tcPr>
            <w:tcW w:w="504" w:type="pct"/>
            <w:shd w:val="clear" w:color="auto" w:fill="auto"/>
            <w:noWrap/>
            <w:vAlign w:val="center"/>
            <w:hideMark/>
          </w:tcPr>
          <w:p w:rsidR="00583BD3" w:rsidRPr="00E60E51" w:rsidRDefault="00583BD3" w:rsidP="000727E8">
            <w:pPr>
              <w:jc w:val="center"/>
              <w:rPr>
                <w:rFonts w:ascii="Garamond" w:hAnsi="Garamond" w:cs="Calibri"/>
                <w:color w:val="000000"/>
                <w:sz w:val="18"/>
                <w:szCs w:val="18"/>
              </w:rPr>
            </w:pPr>
            <w:r w:rsidRPr="00E60E51">
              <w:rPr>
                <w:rFonts w:ascii="Garamond" w:hAnsi="Garamond" w:cs="Calibri" w:hint="eastAsia"/>
                <w:color w:val="000000"/>
                <w:sz w:val="18"/>
                <w:szCs w:val="18"/>
              </w:rPr>
              <w:t>0.2391</w:t>
            </w:r>
          </w:p>
        </w:tc>
        <w:tc>
          <w:tcPr>
            <w:tcW w:w="639" w:type="pct"/>
            <w:shd w:val="clear" w:color="auto" w:fill="auto"/>
            <w:noWrap/>
            <w:vAlign w:val="center"/>
            <w:hideMark/>
          </w:tcPr>
          <w:p w:rsidR="00583BD3" w:rsidRPr="00E60E51" w:rsidRDefault="00583BD3" w:rsidP="000727E8">
            <w:pPr>
              <w:jc w:val="center"/>
              <w:rPr>
                <w:rFonts w:ascii="Garamond" w:hAnsi="Garamond" w:cs="Calibri"/>
                <w:color w:val="000000"/>
                <w:sz w:val="18"/>
                <w:szCs w:val="18"/>
              </w:rPr>
            </w:pPr>
            <w:r w:rsidRPr="00E60E51">
              <w:rPr>
                <w:rFonts w:ascii="Garamond" w:hAnsi="Garamond" w:cs="Calibri" w:hint="eastAsia"/>
                <w:color w:val="000000"/>
                <w:sz w:val="18"/>
                <w:szCs w:val="18"/>
              </w:rPr>
              <w:t>0.2754</w:t>
            </w:r>
          </w:p>
        </w:tc>
        <w:tc>
          <w:tcPr>
            <w:tcW w:w="461" w:type="pct"/>
            <w:shd w:val="clear" w:color="auto" w:fill="auto"/>
            <w:noWrap/>
            <w:vAlign w:val="center"/>
            <w:hideMark/>
          </w:tcPr>
          <w:p w:rsidR="00583BD3" w:rsidRPr="00E60E51" w:rsidRDefault="00583BD3" w:rsidP="000727E8">
            <w:pPr>
              <w:jc w:val="center"/>
              <w:rPr>
                <w:rFonts w:ascii="Garamond" w:hAnsi="Garamond" w:cs="Calibri"/>
                <w:color w:val="000000"/>
                <w:sz w:val="18"/>
                <w:szCs w:val="18"/>
              </w:rPr>
            </w:pPr>
            <w:r w:rsidRPr="00E60E51">
              <w:rPr>
                <w:rFonts w:ascii="Garamond" w:hAnsi="Garamond" w:cs="Calibri" w:hint="eastAsia"/>
                <w:color w:val="000000"/>
                <w:sz w:val="18"/>
                <w:szCs w:val="18"/>
              </w:rPr>
              <w:t>0.2496</w:t>
            </w:r>
          </w:p>
        </w:tc>
        <w:tc>
          <w:tcPr>
            <w:tcW w:w="434" w:type="pct"/>
            <w:shd w:val="clear" w:color="auto" w:fill="auto"/>
            <w:noWrap/>
            <w:vAlign w:val="center"/>
            <w:hideMark/>
          </w:tcPr>
          <w:p w:rsidR="00583BD3" w:rsidRPr="00E60E51" w:rsidRDefault="00583BD3" w:rsidP="000727E8">
            <w:pPr>
              <w:jc w:val="center"/>
              <w:rPr>
                <w:rFonts w:ascii="Garamond" w:hAnsi="Garamond" w:cs="Calibri"/>
                <w:color w:val="000000"/>
                <w:sz w:val="18"/>
                <w:szCs w:val="18"/>
              </w:rPr>
            </w:pPr>
            <w:r w:rsidRPr="00E60E51">
              <w:rPr>
                <w:rFonts w:ascii="Garamond" w:hAnsi="Garamond" w:cs="Calibri" w:hint="eastAsia"/>
                <w:color w:val="000000"/>
                <w:sz w:val="18"/>
                <w:szCs w:val="18"/>
              </w:rPr>
              <w:t>0.275</w:t>
            </w:r>
            <w:r>
              <w:rPr>
                <w:rFonts w:ascii="Garamond" w:hAnsi="Garamond" w:cs="Calibri"/>
                <w:color w:val="000000"/>
                <w:sz w:val="18"/>
                <w:szCs w:val="18"/>
              </w:rPr>
              <w:t>0</w:t>
            </w:r>
          </w:p>
        </w:tc>
        <w:tc>
          <w:tcPr>
            <w:tcW w:w="462" w:type="pct"/>
            <w:shd w:val="clear" w:color="auto" w:fill="auto"/>
            <w:noWrap/>
            <w:vAlign w:val="center"/>
            <w:hideMark/>
          </w:tcPr>
          <w:p w:rsidR="00583BD3" w:rsidRPr="00E60E51" w:rsidRDefault="00583BD3" w:rsidP="000727E8">
            <w:pPr>
              <w:jc w:val="center"/>
              <w:rPr>
                <w:rFonts w:ascii="Garamond" w:hAnsi="Garamond" w:cs="Calibri"/>
                <w:color w:val="000000"/>
                <w:sz w:val="18"/>
                <w:szCs w:val="18"/>
              </w:rPr>
            </w:pPr>
            <w:r w:rsidRPr="00E60E51">
              <w:rPr>
                <w:rFonts w:ascii="Garamond" w:hAnsi="Garamond" w:cs="Calibri" w:hint="eastAsia"/>
                <w:color w:val="000000"/>
                <w:sz w:val="18"/>
                <w:szCs w:val="18"/>
              </w:rPr>
              <w:t>0.2762</w:t>
            </w:r>
          </w:p>
        </w:tc>
        <w:tc>
          <w:tcPr>
            <w:tcW w:w="465" w:type="pct"/>
            <w:shd w:val="clear" w:color="auto" w:fill="auto"/>
            <w:noWrap/>
            <w:vAlign w:val="center"/>
            <w:hideMark/>
          </w:tcPr>
          <w:p w:rsidR="00583BD3" w:rsidRPr="00E60E51" w:rsidRDefault="00583BD3" w:rsidP="000727E8">
            <w:pPr>
              <w:jc w:val="center"/>
              <w:rPr>
                <w:rFonts w:ascii="Garamond" w:hAnsi="Garamond" w:cs="Calibri"/>
                <w:color w:val="000000"/>
                <w:sz w:val="18"/>
                <w:szCs w:val="18"/>
              </w:rPr>
            </w:pPr>
            <w:r w:rsidRPr="00E60E51">
              <w:rPr>
                <w:rFonts w:ascii="Garamond" w:hAnsi="Garamond" w:cs="Calibri" w:hint="eastAsia"/>
                <w:color w:val="000000"/>
                <w:sz w:val="18"/>
                <w:szCs w:val="18"/>
              </w:rPr>
              <w:t>0.2067</w:t>
            </w:r>
          </w:p>
        </w:tc>
        <w:tc>
          <w:tcPr>
            <w:tcW w:w="434" w:type="pct"/>
            <w:shd w:val="clear" w:color="auto" w:fill="auto"/>
            <w:noWrap/>
            <w:vAlign w:val="center"/>
            <w:hideMark/>
          </w:tcPr>
          <w:p w:rsidR="00583BD3" w:rsidRPr="00E60E51" w:rsidRDefault="00583BD3" w:rsidP="000727E8">
            <w:pPr>
              <w:jc w:val="center"/>
              <w:rPr>
                <w:rFonts w:ascii="Garamond" w:hAnsi="Garamond" w:cs="Calibri"/>
                <w:color w:val="000000"/>
                <w:sz w:val="18"/>
                <w:szCs w:val="18"/>
              </w:rPr>
            </w:pPr>
            <w:r w:rsidRPr="00E60E51">
              <w:rPr>
                <w:rFonts w:ascii="Garamond" w:hAnsi="Garamond" w:cs="Calibri" w:hint="eastAsia"/>
                <w:color w:val="000000"/>
                <w:sz w:val="18"/>
                <w:szCs w:val="18"/>
              </w:rPr>
              <w:t>0.271</w:t>
            </w:r>
          </w:p>
        </w:tc>
        <w:tc>
          <w:tcPr>
            <w:tcW w:w="461" w:type="pct"/>
            <w:shd w:val="clear" w:color="auto" w:fill="auto"/>
            <w:noWrap/>
            <w:vAlign w:val="center"/>
            <w:hideMark/>
          </w:tcPr>
          <w:p w:rsidR="00583BD3" w:rsidRPr="00E60E51" w:rsidRDefault="00583BD3" w:rsidP="000727E8">
            <w:pPr>
              <w:jc w:val="center"/>
              <w:rPr>
                <w:rFonts w:ascii="Garamond" w:hAnsi="Garamond" w:cs="Calibri"/>
                <w:color w:val="000000"/>
                <w:sz w:val="18"/>
                <w:szCs w:val="18"/>
              </w:rPr>
            </w:pPr>
            <w:r w:rsidRPr="00E60E51">
              <w:rPr>
                <w:rFonts w:ascii="Garamond" w:hAnsi="Garamond" w:cs="Calibri" w:hint="eastAsia"/>
                <w:color w:val="000000"/>
                <w:sz w:val="18"/>
                <w:szCs w:val="18"/>
              </w:rPr>
              <w:t>0.3383</w:t>
            </w:r>
          </w:p>
        </w:tc>
      </w:tr>
    </w:tbl>
    <w:p w:rsidR="00583BD3" w:rsidRDefault="00583BD3" w:rsidP="00583BD3">
      <w:pPr>
        <w:sectPr w:rsidR="00583BD3">
          <w:pgSz w:w="11906" w:h="16838"/>
          <w:pgMar w:top="1440" w:right="1440" w:bottom="1440" w:left="1440" w:header="708" w:footer="708" w:gutter="0"/>
          <w:cols w:space="708"/>
          <w:docGrid w:linePitch="360"/>
        </w:sectPr>
      </w:pPr>
    </w:p>
    <w:p w:rsidR="00583BD3" w:rsidRDefault="00583BD3" w:rsidP="00583BD3">
      <w:pPr>
        <w:jc w:val="both"/>
        <w:rPr>
          <w:rFonts w:ascii="Garamond" w:hAnsi="Garamond"/>
          <w:color w:val="000000" w:themeColor="text1"/>
          <w:sz w:val="20"/>
        </w:rPr>
      </w:pPr>
      <w:r w:rsidRPr="0027464C">
        <w:rPr>
          <w:rFonts w:ascii="Garamond" w:hAnsi="Garamond"/>
          <w:b/>
          <w:color w:val="000000" w:themeColor="text1"/>
          <w:sz w:val="20"/>
        </w:rPr>
        <w:lastRenderedPageBreak/>
        <w:t xml:space="preserve">Table </w:t>
      </w:r>
      <w:r>
        <w:rPr>
          <w:rFonts w:ascii="Garamond" w:hAnsi="Garamond"/>
          <w:b/>
          <w:color w:val="000000" w:themeColor="text1"/>
          <w:sz w:val="20"/>
        </w:rPr>
        <w:t>8</w:t>
      </w:r>
      <w:r w:rsidRPr="0027464C">
        <w:rPr>
          <w:rFonts w:ascii="Garamond" w:hAnsi="Garamond"/>
          <w:b/>
          <w:color w:val="000000" w:themeColor="text1"/>
          <w:sz w:val="20"/>
        </w:rPr>
        <w:t>:</w:t>
      </w:r>
      <w:r w:rsidRPr="0027464C">
        <w:rPr>
          <w:rFonts w:ascii="Garamond" w:hAnsi="Garamond"/>
          <w:color w:val="000000" w:themeColor="text1"/>
          <w:sz w:val="20"/>
        </w:rPr>
        <w:t xml:space="preserve"> </w:t>
      </w:r>
      <w:r w:rsidRPr="00D0508D">
        <w:rPr>
          <w:rFonts w:ascii="Garamond" w:hAnsi="Garamond"/>
          <w:b/>
          <w:color w:val="000000" w:themeColor="text1"/>
          <w:sz w:val="20"/>
        </w:rPr>
        <w:t xml:space="preserve">Internally appointed </w:t>
      </w:r>
      <w:r>
        <w:rPr>
          <w:rFonts w:ascii="Garamond" w:hAnsi="Garamond"/>
          <w:b/>
          <w:color w:val="000000" w:themeColor="text1"/>
          <w:sz w:val="20"/>
        </w:rPr>
        <w:t xml:space="preserve">versus externally appointed </w:t>
      </w:r>
      <w:r w:rsidRPr="00D0508D">
        <w:rPr>
          <w:rFonts w:ascii="Garamond" w:hAnsi="Garamond"/>
          <w:b/>
          <w:color w:val="000000" w:themeColor="text1"/>
          <w:sz w:val="20"/>
        </w:rPr>
        <w:t>CFOs.</w:t>
      </w:r>
      <w:r w:rsidRPr="0027464C">
        <w:rPr>
          <w:rFonts w:ascii="Garamond" w:hAnsi="Garamond"/>
          <w:color w:val="000000" w:themeColor="text1"/>
          <w:sz w:val="20"/>
        </w:rPr>
        <w:t xml:space="preserve">  </w:t>
      </w:r>
    </w:p>
    <w:p w:rsidR="00583BD3" w:rsidRPr="0027464C" w:rsidRDefault="00583BD3" w:rsidP="00583BD3">
      <w:pPr>
        <w:jc w:val="both"/>
        <w:rPr>
          <w:rFonts w:ascii="Garamond" w:hAnsi="Garamond"/>
          <w:color w:val="000000" w:themeColor="text1"/>
          <w:sz w:val="20"/>
        </w:rPr>
      </w:pPr>
      <w:r>
        <w:rPr>
          <w:rFonts w:ascii="Garamond" w:hAnsi="Garamond"/>
          <w:color w:val="000000" w:themeColor="text1"/>
          <w:sz w:val="20"/>
        </w:rPr>
        <w:t>Panel A</w:t>
      </w:r>
      <w:r w:rsidRPr="0027464C">
        <w:rPr>
          <w:rFonts w:ascii="Garamond" w:hAnsi="Garamond"/>
          <w:color w:val="000000" w:themeColor="text1"/>
          <w:sz w:val="20"/>
        </w:rPr>
        <w:t xml:space="preserve"> presents the regression results for internally appointed CFOs. </w:t>
      </w:r>
      <w:r>
        <w:rPr>
          <w:rFonts w:ascii="Garamond" w:hAnsi="Garamond"/>
          <w:color w:val="000000" w:themeColor="text1"/>
          <w:sz w:val="20"/>
        </w:rPr>
        <w:t>Panel B</w:t>
      </w:r>
      <w:r w:rsidRPr="0027464C">
        <w:rPr>
          <w:rFonts w:ascii="Garamond" w:hAnsi="Garamond"/>
          <w:color w:val="000000" w:themeColor="text1"/>
          <w:sz w:val="20"/>
        </w:rPr>
        <w:t xml:space="preserve"> presents the regression results for </w:t>
      </w:r>
      <w:r>
        <w:rPr>
          <w:rFonts w:ascii="Garamond" w:hAnsi="Garamond"/>
          <w:color w:val="000000" w:themeColor="text1"/>
          <w:sz w:val="20"/>
        </w:rPr>
        <w:t>externally</w:t>
      </w:r>
      <w:r w:rsidRPr="0027464C">
        <w:rPr>
          <w:rFonts w:ascii="Garamond" w:hAnsi="Garamond"/>
          <w:color w:val="000000" w:themeColor="text1"/>
          <w:sz w:val="20"/>
        </w:rPr>
        <w:t xml:space="preserve"> appointed CFOs. </w:t>
      </w:r>
      <w:r>
        <w:rPr>
          <w:rFonts w:ascii="Garamond" w:hAnsi="Garamond"/>
          <w:color w:val="000000" w:themeColor="text1"/>
          <w:sz w:val="20"/>
        </w:rPr>
        <w:t>V</w:t>
      </w:r>
      <w:r w:rsidRPr="0027464C">
        <w:rPr>
          <w:rFonts w:ascii="Garamond" w:hAnsi="Garamond"/>
          <w:color w:val="000000" w:themeColor="text1"/>
          <w:sz w:val="20"/>
        </w:rPr>
        <w:t xml:space="preserve">ariable definitions are provided in </w:t>
      </w:r>
      <w:r>
        <w:rPr>
          <w:rFonts w:ascii="Garamond" w:hAnsi="Garamond"/>
          <w:color w:val="000000" w:themeColor="text1"/>
          <w:sz w:val="20"/>
        </w:rPr>
        <w:t>the a</w:t>
      </w:r>
      <w:r w:rsidRPr="0027464C">
        <w:rPr>
          <w:rFonts w:ascii="Garamond" w:hAnsi="Garamond"/>
          <w:color w:val="000000" w:themeColor="text1"/>
          <w:sz w:val="20"/>
        </w:rPr>
        <w:t xml:space="preserve">ppendix. </w:t>
      </w:r>
      <w:proofErr w:type="gramStart"/>
      <w:r w:rsidRPr="00D0508D">
        <w:rPr>
          <w:rFonts w:ascii="Garamond" w:hAnsi="Garamond"/>
          <w:i/>
          <w:color w:val="000000" w:themeColor="text1"/>
          <w:sz w:val="20"/>
        </w:rPr>
        <w:t>t</w:t>
      </w:r>
      <w:r w:rsidRPr="0027464C">
        <w:rPr>
          <w:rFonts w:ascii="Garamond" w:hAnsi="Garamond"/>
          <w:color w:val="000000" w:themeColor="text1"/>
          <w:sz w:val="20"/>
        </w:rPr>
        <w:t>-statistics</w:t>
      </w:r>
      <w:proofErr w:type="gramEnd"/>
      <w:r w:rsidRPr="0027464C">
        <w:rPr>
          <w:rFonts w:ascii="Garamond" w:hAnsi="Garamond"/>
          <w:color w:val="000000" w:themeColor="text1"/>
          <w:sz w:val="20"/>
        </w:rPr>
        <w:t xml:space="preserve"> are reported in parentheses and ***, ** and * indicate significance at the 1%, 5% and 10% level respectively. Standard errors are clustered at firm level.</w:t>
      </w:r>
    </w:p>
    <w:tbl>
      <w:tblPr>
        <w:tblW w:w="0" w:type="auto"/>
        <w:tblBorders>
          <w:top w:val="single" w:sz="4" w:space="0" w:color="auto"/>
          <w:bottom w:val="single" w:sz="4" w:space="0" w:color="auto"/>
        </w:tblBorders>
        <w:tblLook w:val="04A0"/>
      </w:tblPr>
      <w:tblGrid>
        <w:gridCol w:w="2620"/>
        <w:gridCol w:w="1048"/>
        <w:gridCol w:w="1048"/>
        <w:gridCol w:w="1048"/>
        <w:gridCol w:w="1048"/>
        <w:gridCol w:w="1048"/>
        <w:gridCol w:w="1048"/>
      </w:tblGrid>
      <w:tr w:rsidR="00583BD3" w:rsidRPr="00B454FC" w:rsidTr="000727E8">
        <w:trPr>
          <w:trHeight w:hRule="exact" w:val="255"/>
        </w:trPr>
        <w:tc>
          <w:tcPr>
            <w:tcW w:w="0" w:type="auto"/>
            <w:tcBorders>
              <w:top w:val="single" w:sz="4" w:space="0" w:color="auto"/>
              <w:bottom w:val="single" w:sz="4" w:space="0" w:color="auto"/>
            </w:tcBorders>
            <w:shd w:val="clear" w:color="auto" w:fill="auto"/>
            <w:noWrap/>
            <w:hideMark/>
          </w:tcPr>
          <w:p w:rsidR="00583BD3" w:rsidRPr="00B454FC" w:rsidRDefault="00583BD3" w:rsidP="000727E8">
            <w:pPr>
              <w:jc w:val="center"/>
              <w:rPr>
                <w:rFonts w:ascii="Garamond" w:hAnsi="Garamond"/>
                <w:color w:val="000000" w:themeColor="text1"/>
                <w:sz w:val="20"/>
                <w:szCs w:val="20"/>
              </w:rPr>
            </w:pPr>
            <w:r>
              <w:rPr>
                <w:rFonts w:ascii="Garamond" w:hAnsi="Garamond"/>
                <w:color w:val="000000" w:themeColor="text1"/>
                <w:sz w:val="20"/>
                <w:szCs w:val="20"/>
              </w:rPr>
              <w:t>Internally Appointed CFO</w:t>
            </w:r>
          </w:p>
        </w:tc>
        <w:tc>
          <w:tcPr>
            <w:tcW w:w="0" w:type="auto"/>
            <w:tcBorders>
              <w:top w:val="single" w:sz="4" w:space="0" w:color="auto"/>
              <w:bottom w:val="single" w:sz="4" w:space="0" w:color="auto"/>
            </w:tcBorders>
            <w:shd w:val="clear" w:color="auto" w:fill="auto"/>
            <w:noWrap/>
            <w:hideMark/>
          </w:tcPr>
          <w:p w:rsidR="00583BD3" w:rsidRPr="00B454FC" w:rsidRDefault="00583BD3" w:rsidP="000727E8">
            <w:pPr>
              <w:jc w:val="center"/>
              <w:rPr>
                <w:rFonts w:ascii="Garamond" w:hAnsi="Garamond" w:cs="Calibri"/>
                <w:color w:val="000000" w:themeColor="text1"/>
                <w:sz w:val="20"/>
                <w:szCs w:val="20"/>
              </w:rPr>
            </w:pPr>
            <w:r w:rsidRPr="00B454FC">
              <w:rPr>
                <w:rFonts w:ascii="Garamond" w:hAnsi="Garamond" w:cs="Calibri"/>
                <w:color w:val="000000" w:themeColor="text1"/>
                <w:sz w:val="20"/>
                <w:szCs w:val="20"/>
              </w:rPr>
              <w:t>(1)</w:t>
            </w:r>
          </w:p>
        </w:tc>
        <w:tc>
          <w:tcPr>
            <w:tcW w:w="0" w:type="auto"/>
            <w:tcBorders>
              <w:top w:val="single" w:sz="4" w:space="0" w:color="auto"/>
              <w:bottom w:val="single" w:sz="4" w:space="0" w:color="auto"/>
            </w:tcBorders>
            <w:shd w:val="clear" w:color="auto" w:fill="auto"/>
            <w:noWrap/>
            <w:hideMark/>
          </w:tcPr>
          <w:p w:rsidR="00583BD3" w:rsidRPr="00B454FC" w:rsidRDefault="00583BD3" w:rsidP="000727E8">
            <w:pPr>
              <w:jc w:val="center"/>
              <w:rPr>
                <w:rFonts w:ascii="Garamond" w:hAnsi="Garamond" w:cs="Calibri"/>
                <w:color w:val="000000" w:themeColor="text1"/>
                <w:sz w:val="20"/>
                <w:szCs w:val="20"/>
              </w:rPr>
            </w:pPr>
            <w:r w:rsidRPr="00B454FC">
              <w:rPr>
                <w:rFonts w:ascii="Garamond" w:hAnsi="Garamond" w:cs="Calibri"/>
                <w:color w:val="000000" w:themeColor="text1"/>
                <w:sz w:val="20"/>
                <w:szCs w:val="20"/>
              </w:rPr>
              <w:t>(2)</w:t>
            </w:r>
          </w:p>
        </w:tc>
        <w:tc>
          <w:tcPr>
            <w:tcW w:w="0" w:type="auto"/>
            <w:tcBorders>
              <w:top w:val="single" w:sz="4" w:space="0" w:color="auto"/>
              <w:bottom w:val="single" w:sz="4" w:space="0" w:color="auto"/>
            </w:tcBorders>
            <w:shd w:val="clear" w:color="auto" w:fill="auto"/>
            <w:noWrap/>
            <w:hideMark/>
          </w:tcPr>
          <w:p w:rsidR="00583BD3" w:rsidRPr="00B454FC" w:rsidRDefault="00583BD3" w:rsidP="000727E8">
            <w:pPr>
              <w:jc w:val="center"/>
              <w:rPr>
                <w:rFonts w:ascii="Garamond" w:hAnsi="Garamond" w:cs="Calibri"/>
                <w:color w:val="000000" w:themeColor="text1"/>
                <w:sz w:val="20"/>
                <w:szCs w:val="20"/>
              </w:rPr>
            </w:pPr>
            <w:r w:rsidRPr="00B454FC">
              <w:rPr>
                <w:rFonts w:ascii="Garamond" w:hAnsi="Garamond" w:cs="Calibri"/>
                <w:color w:val="000000" w:themeColor="text1"/>
                <w:sz w:val="20"/>
                <w:szCs w:val="20"/>
              </w:rPr>
              <w:t>(3)</w:t>
            </w:r>
          </w:p>
        </w:tc>
        <w:tc>
          <w:tcPr>
            <w:tcW w:w="0" w:type="auto"/>
            <w:tcBorders>
              <w:top w:val="single" w:sz="4" w:space="0" w:color="auto"/>
              <w:bottom w:val="single" w:sz="4" w:space="0" w:color="auto"/>
            </w:tcBorders>
            <w:shd w:val="clear" w:color="auto" w:fill="auto"/>
            <w:noWrap/>
            <w:hideMark/>
          </w:tcPr>
          <w:p w:rsidR="00583BD3" w:rsidRPr="00B454FC" w:rsidRDefault="00583BD3" w:rsidP="000727E8">
            <w:pPr>
              <w:jc w:val="center"/>
              <w:rPr>
                <w:rFonts w:ascii="Garamond" w:hAnsi="Garamond" w:cs="Calibri"/>
                <w:color w:val="000000" w:themeColor="text1"/>
                <w:sz w:val="20"/>
                <w:szCs w:val="20"/>
              </w:rPr>
            </w:pPr>
            <w:r w:rsidRPr="00B454FC">
              <w:rPr>
                <w:rFonts w:ascii="Garamond" w:hAnsi="Garamond" w:cs="Calibri"/>
                <w:color w:val="000000" w:themeColor="text1"/>
                <w:sz w:val="20"/>
                <w:szCs w:val="20"/>
              </w:rPr>
              <w:t>(4)</w:t>
            </w:r>
          </w:p>
        </w:tc>
        <w:tc>
          <w:tcPr>
            <w:tcW w:w="0" w:type="auto"/>
            <w:tcBorders>
              <w:top w:val="single" w:sz="4" w:space="0" w:color="auto"/>
              <w:bottom w:val="single" w:sz="4" w:space="0" w:color="auto"/>
            </w:tcBorders>
            <w:shd w:val="clear" w:color="auto" w:fill="auto"/>
            <w:noWrap/>
            <w:hideMark/>
          </w:tcPr>
          <w:p w:rsidR="00583BD3" w:rsidRPr="00B454FC" w:rsidRDefault="00583BD3" w:rsidP="000727E8">
            <w:pPr>
              <w:jc w:val="center"/>
              <w:rPr>
                <w:rFonts w:ascii="Garamond" w:hAnsi="Garamond" w:cs="Calibri"/>
                <w:color w:val="000000" w:themeColor="text1"/>
                <w:sz w:val="20"/>
                <w:szCs w:val="20"/>
              </w:rPr>
            </w:pPr>
            <w:r w:rsidRPr="00B454FC">
              <w:rPr>
                <w:rFonts w:ascii="Garamond" w:hAnsi="Garamond" w:cs="Calibri"/>
                <w:color w:val="000000" w:themeColor="text1"/>
                <w:sz w:val="20"/>
                <w:szCs w:val="20"/>
              </w:rPr>
              <w:t>(5)</w:t>
            </w:r>
          </w:p>
        </w:tc>
        <w:tc>
          <w:tcPr>
            <w:tcW w:w="1048" w:type="dxa"/>
            <w:tcBorders>
              <w:top w:val="single" w:sz="4" w:space="0" w:color="auto"/>
              <w:bottom w:val="single" w:sz="4" w:space="0" w:color="auto"/>
            </w:tcBorders>
            <w:shd w:val="clear" w:color="auto" w:fill="auto"/>
            <w:noWrap/>
            <w:hideMark/>
          </w:tcPr>
          <w:p w:rsidR="00583BD3" w:rsidRPr="00B454FC" w:rsidRDefault="00583BD3" w:rsidP="000727E8">
            <w:pPr>
              <w:jc w:val="center"/>
              <w:rPr>
                <w:rFonts w:ascii="Garamond" w:hAnsi="Garamond" w:cs="Calibri"/>
                <w:color w:val="000000" w:themeColor="text1"/>
                <w:sz w:val="20"/>
                <w:szCs w:val="20"/>
              </w:rPr>
            </w:pPr>
            <w:r w:rsidRPr="00B454FC">
              <w:rPr>
                <w:rFonts w:ascii="Garamond" w:hAnsi="Garamond" w:cs="Calibri"/>
                <w:color w:val="000000" w:themeColor="text1"/>
                <w:sz w:val="20"/>
                <w:szCs w:val="20"/>
              </w:rPr>
              <w:t>(6)</w:t>
            </w:r>
          </w:p>
        </w:tc>
      </w:tr>
      <w:tr w:rsidR="00583BD3" w:rsidRPr="00025A78" w:rsidTr="000727E8">
        <w:trPr>
          <w:trHeight w:hRule="exact" w:val="255"/>
        </w:trPr>
        <w:tc>
          <w:tcPr>
            <w:tcW w:w="0" w:type="auto"/>
            <w:tcBorders>
              <w:top w:val="single" w:sz="4" w:space="0" w:color="auto"/>
            </w:tcBorders>
            <w:shd w:val="clear" w:color="auto" w:fill="auto"/>
            <w:noWrap/>
            <w:hideMark/>
          </w:tcPr>
          <w:p w:rsidR="00583BD3" w:rsidRPr="00591C68" w:rsidRDefault="00583BD3" w:rsidP="000727E8">
            <w:pPr>
              <w:jc w:val="center"/>
              <w:rPr>
                <w:rFonts w:ascii="Garamond" w:hAnsi="Garamond" w:cs="Calibri"/>
                <w:color w:val="FF0000"/>
                <w:sz w:val="20"/>
                <w:szCs w:val="20"/>
                <w:vertAlign w:val="subscript"/>
              </w:rPr>
            </w:pPr>
            <w:r w:rsidRPr="00591C68">
              <w:rPr>
                <w:rFonts w:ascii="Garamond" w:hAnsi="Garamond" w:cs="Calibri"/>
                <w:color w:val="000000"/>
                <w:sz w:val="20"/>
                <w:szCs w:val="20"/>
              </w:rPr>
              <w:t>CFO Female Dummy</w:t>
            </w:r>
            <w:r w:rsidRPr="00591C68">
              <w:rPr>
                <w:rFonts w:ascii="Garamond" w:hAnsi="Garamond" w:cs="Calibri"/>
                <w:color w:val="000000"/>
                <w:sz w:val="20"/>
                <w:szCs w:val="20"/>
                <w:vertAlign w:val="subscript"/>
              </w:rPr>
              <w:t>t-1</w:t>
            </w:r>
          </w:p>
        </w:tc>
        <w:tc>
          <w:tcPr>
            <w:tcW w:w="0" w:type="auto"/>
            <w:tcBorders>
              <w:top w:val="single" w:sz="4" w:space="0" w:color="auto"/>
            </w:tcBorders>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0.0101</w:t>
            </w:r>
          </w:p>
        </w:tc>
        <w:tc>
          <w:tcPr>
            <w:tcW w:w="0" w:type="auto"/>
            <w:tcBorders>
              <w:top w:val="single" w:sz="4" w:space="0" w:color="auto"/>
            </w:tcBorders>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0.00914</w:t>
            </w:r>
          </w:p>
        </w:tc>
        <w:tc>
          <w:tcPr>
            <w:tcW w:w="0" w:type="auto"/>
            <w:tcBorders>
              <w:top w:val="single" w:sz="4" w:space="0" w:color="auto"/>
            </w:tcBorders>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0.0100</w:t>
            </w:r>
          </w:p>
        </w:tc>
        <w:tc>
          <w:tcPr>
            <w:tcW w:w="0" w:type="auto"/>
            <w:tcBorders>
              <w:top w:val="single" w:sz="4" w:space="0" w:color="auto"/>
            </w:tcBorders>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0.00976</w:t>
            </w:r>
          </w:p>
        </w:tc>
        <w:tc>
          <w:tcPr>
            <w:tcW w:w="0" w:type="auto"/>
            <w:tcBorders>
              <w:top w:val="single" w:sz="4" w:space="0" w:color="auto"/>
            </w:tcBorders>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0.00883</w:t>
            </w:r>
          </w:p>
        </w:tc>
        <w:tc>
          <w:tcPr>
            <w:tcW w:w="1048" w:type="dxa"/>
            <w:tcBorders>
              <w:top w:val="single" w:sz="4" w:space="0" w:color="auto"/>
            </w:tcBorders>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0.00597</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(0.41)</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(0.38)</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(0.41)</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(0.40)</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(0.36)</w:t>
            </w:r>
          </w:p>
        </w:tc>
        <w:tc>
          <w:tcPr>
            <w:tcW w:w="1048" w:type="dxa"/>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(0.24)</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themeColor="text1"/>
                <w:sz w:val="20"/>
                <w:szCs w:val="20"/>
              </w:rPr>
            </w:pPr>
            <w:r w:rsidRPr="00591C68">
              <w:rPr>
                <w:rFonts w:ascii="Garamond" w:hAnsi="Garamond" w:cs="Calibri"/>
                <w:color w:val="000000" w:themeColor="text1"/>
                <w:sz w:val="20"/>
                <w:szCs w:val="20"/>
              </w:rPr>
              <w:t>Board Gender Diversity</w:t>
            </w:r>
            <w:r w:rsidRPr="00591C68">
              <w:rPr>
                <w:rFonts w:ascii="Garamond" w:hAnsi="Garamond" w:cs="Calibri"/>
                <w:color w:val="000000"/>
                <w:sz w:val="20"/>
                <w:szCs w:val="20"/>
                <w:vertAlign w:val="subscript"/>
              </w:rPr>
              <w:t>t-1</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0.0414</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0.0417</w:t>
            </w:r>
          </w:p>
        </w:tc>
        <w:tc>
          <w:tcPr>
            <w:tcW w:w="1048" w:type="dxa"/>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(0.66)</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(0.65)</w:t>
            </w:r>
          </w:p>
        </w:tc>
        <w:tc>
          <w:tcPr>
            <w:tcW w:w="1048" w:type="dxa"/>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themeColor="text1"/>
                <w:sz w:val="20"/>
                <w:szCs w:val="20"/>
              </w:rPr>
            </w:pPr>
            <w:r w:rsidRPr="00591C68">
              <w:rPr>
                <w:rFonts w:ascii="Garamond" w:hAnsi="Garamond" w:cs="Calibri"/>
                <w:color w:val="000000" w:themeColor="text1"/>
                <w:sz w:val="20"/>
                <w:szCs w:val="20"/>
              </w:rPr>
              <w:t>Board Nationality Diversity</w:t>
            </w:r>
            <w:r w:rsidRPr="00591C68">
              <w:rPr>
                <w:rFonts w:ascii="Garamond" w:hAnsi="Garamond" w:cs="Calibri"/>
                <w:color w:val="000000"/>
                <w:sz w:val="20"/>
                <w:szCs w:val="20"/>
                <w:vertAlign w:val="subscript"/>
              </w:rPr>
              <w:t>t-1</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0.00504</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0.0000298</w:t>
            </w:r>
          </w:p>
        </w:tc>
        <w:tc>
          <w:tcPr>
            <w:tcW w:w="1048" w:type="dxa"/>
            <w:shd w:val="clear" w:color="auto" w:fill="auto"/>
            <w:noWrap/>
            <w:vAlign w:val="center"/>
            <w:hideMark/>
          </w:tcPr>
          <w:p w:rsidR="00583BD3" w:rsidRPr="00E60E51" w:rsidRDefault="00583BD3" w:rsidP="000727E8">
            <w:pPr>
              <w:jc w:val="center"/>
              <w:rPr>
                <w:rFonts w:ascii="Garamond" w:hAnsi="Garamond" w:cs="Calibri"/>
                <w:color w:val="000000" w:themeColor="text1"/>
                <w:sz w:val="20"/>
                <w:szCs w:val="20"/>
              </w:rPr>
            </w:pP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(0.10)</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w:t>
            </w:r>
          </w:p>
        </w:tc>
        <w:tc>
          <w:tcPr>
            <w:tcW w:w="1048" w:type="dxa"/>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themeColor="text1"/>
                <w:sz w:val="20"/>
                <w:szCs w:val="20"/>
              </w:rPr>
            </w:pPr>
            <w:r w:rsidRPr="00591C68">
              <w:rPr>
                <w:rFonts w:ascii="Garamond" w:hAnsi="Garamond" w:cs="Calibri"/>
                <w:color w:val="000000" w:themeColor="text1"/>
                <w:sz w:val="20"/>
                <w:szCs w:val="20"/>
              </w:rPr>
              <w:t>Board Age Diversity</w:t>
            </w:r>
            <w:r w:rsidRPr="00591C68">
              <w:rPr>
                <w:rFonts w:ascii="Garamond" w:hAnsi="Garamond" w:cs="Calibri"/>
                <w:color w:val="000000"/>
                <w:sz w:val="20"/>
                <w:szCs w:val="20"/>
                <w:vertAlign w:val="subscript"/>
              </w:rPr>
              <w:t>t-1</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0.00643</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0.00656</w:t>
            </w:r>
          </w:p>
        </w:tc>
        <w:tc>
          <w:tcPr>
            <w:tcW w:w="1048" w:type="dxa"/>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(0.37)</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(0.38)</w:t>
            </w:r>
          </w:p>
        </w:tc>
        <w:tc>
          <w:tcPr>
            <w:tcW w:w="1048" w:type="dxa"/>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themeColor="text1"/>
                <w:sz w:val="20"/>
                <w:szCs w:val="20"/>
              </w:rPr>
            </w:pPr>
            <w:r w:rsidRPr="00591C68">
              <w:rPr>
                <w:rFonts w:ascii="Garamond" w:hAnsi="Garamond" w:cs="Calibri"/>
                <w:color w:val="000000" w:themeColor="text1"/>
                <w:sz w:val="20"/>
                <w:szCs w:val="20"/>
              </w:rPr>
              <w:t>Board Aggregate Diversity</w:t>
            </w:r>
            <w:r w:rsidRPr="00591C68">
              <w:rPr>
                <w:rFonts w:ascii="Garamond" w:hAnsi="Garamond" w:cs="Calibri"/>
                <w:color w:val="000000"/>
                <w:sz w:val="20"/>
                <w:szCs w:val="20"/>
                <w:vertAlign w:val="subscript"/>
              </w:rPr>
              <w:t>t-1</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p>
        </w:tc>
        <w:tc>
          <w:tcPr>
            <w:tcW w:w="1048" w:type="dxa"/>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0.00249</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p>
        </w:tc>
        <w:tc>
          <w:tcPr>
            <w:tcW w:w="1048" w:type="dxa"/>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(0.66)</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proofErr w:type="spellStart"/>
            <w:r w:rsidRPr="00591C68">
              <w:rPr>
                <w:rFonts w:ascii="Garamond" w:hAnsi="Garamond" w:cs="Calibri"/>
                <w:color w:val="000000"/>
                <w:sz w:val="20"/>
                <w:szCs w:val="20"/>
              </w:rPr>
              <w:t>Ln</w:t>
            </w:r>
            <w:proofErr w:type="spellEnd"/>
            <w:r w:rsidRPr="00591C68">
              <w:rPr>
                <w:rFonts w:ascii="Garamond" w:hAnsi="Garamond" w:cs="Calibri"/>
                <w:color w:val="000000"/>
                <w:sz w:val="20"/>
                <w:szCs w:val="20"/>
              </w:rPr>
              <w:t>(number of directors)</w:t>
            </w:r>
            <w:r w:rsidRPr="00591C68">
              <w:rPr>
                <w:rFonts w:ascii="Garamond" w:hAnsi="Garamond" w:cs="Calibri"/>
                <w:color w:val="000000"/>
                <w:sz w:val="20"/>
                <w:szCs w:val="20"/>
                <w:vertAlign w:val="subscript"/>
              </w:rPr>
              <w:t>t-1</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0.0486*</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0.0487*</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0.0484*</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0.0475*</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0.0477*</w:t>
            </w:r>
          </w:p>
        </w:tc>
        <w:tc>
          <w:tcPr>
            <w:tcW w:w="1048" w:type="dxa"/>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0.0469*</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(1.94)</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(1.95)</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(1.92)</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(1.87)</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(1.86)</w:t>
            </w:r>
          </w:p>
        </w:tc>
        <w:tc>
          <w:tcPr>
            <w:tcW w:w="1048" w:type="dxa"/>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(1.85)</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r w:rsidRPr="00591C68">
              <w:rPr>
                <w:rFonts w:ascii="Garamond" w:hAnsi="Garamond" w:cs="Calibri"/>
                <w:color w:val="000000"/>
                <w:sz w:val="20"/>
                <w:szCs w:val="20"/>
              </w:rPr>
              <w:t>Board independence</w:t>
            </w:r>
            <w:r w:rsidRPr="00591C68">
              <w:rPr>
                <w:rFonts w:ascii="Garamond" w:hAnsi="Garamond" w:cs="Calibri"/>
                <w:color w:val="000000"/>
                <w:sz w:val="20"/>
                <w:szCs w:val="20"/>
                <w:vertAlign w:val="subscript"/>
              </w:rPr>
              <w:t>t-1</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0.0449</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0.0428</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0.0450</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0.0454</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0.0433</w:t>
            </w:r>
          </w:p>
        </w:tc>
        <w:tc>
          <w:tcPr>
            <w:tcW w:w="1048" w:type="dxa"/>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0.0446</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(1.33)</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(1.26)</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(1.33)</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(1.33)</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(1.26)</w:t>
            </w:r>
          </w:p>
        </w:tc>
        <w:tc>
          <w:tcPr>
            <w:tcW w:w="1048" w:type="dxa"/>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(1.32)</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r w:rsidRPr="00591C68">
              <w:rPr>
                <w:rFonts w:ascii="Garamond" w:hAnsi="Garamond" w:cs="Calibri"/>
                <w:color w:val="000000"/>
                <w:sz w:val="20"/>
                <w:szCs w:val="20"/>
              </w:rPr>
              <w:t>Tobin's Q</w:t>
            </w:r>
            <w:r w:rsidRPr="00591C68">
              <w:rPr>
                <w:rFonts w:ascii="Garamond" w:hAnsi="Garamond" w:cs="Calibri"/>
                <w:color w:val="000000"/>
                <w:sz w:val="20"/>
                <w:szCs w:val="20"/>
                <w:vertAlign w:val="subscript"/>
              </w:rPr>
              <w:t>t-1</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-0.0148***</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-0.0148***</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-0.0148***</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-0.0147***</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-0.0147***</w:t>
            </w:r>
          </w:p>
        </w:tc>
        <w:tc>
          <w:tcPr>
            <w:tcW w:w="1048" w:type="dxa"/>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-0.0148***</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(-2.98)</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(-2.99)</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(-2.99)</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(-2.97)</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(-2.99)</w:t>
            </w:r>
          </w:p>
        </w:tc>
        <w:tc>
          <w:tcPr>
            <w:tcW w:w="1048" w:type="dxa"/>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(-2.98)</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r w:rsidRPr="00591C68">
              <w:rPr>
                <w:rFonts w:ascii="Garamond" w:hAnsi="Garamond" w:cs="Calibri"/>
                <w:color w:val="000000"/>
                <w:sz w:val="20"/>
                <w:szCs w:val="20"/>
              </w:rPr>
              <w:t>Industry-</w:t>
            </w:r>
            <w:proofErr w:type="spellStart"/>
            <w:r w:rsidRPr="00591C68">
              <w:rPr>
                <w:rFonts w:ascii="Garamond" w:hAnsi="Garamond" w:cs="Calibri"/>
                <w:color w:val="000000"/>
                <w:sz w:val="20"/>
                <w:szCs w:val="20"/>
              </w:rPr>
              <w:t>Adj</w:t>
            </w:r>
            <w:proofErr w:type="spellEnd"/>
            <w:r w:rsidRPr="00591C68">
              <w:rPr>
                <w:rFonts w:ascii="Garamond" w:hAnsi="Garamond" w:cs="Calibri"/>
                <w:color w:val="000000"/>
                <w:sz w:val="20"/>
                <w:szCs w:val="20"/>
              </w:rPr>
              <w:t xml:space="preserve"> ROA</w:t>
            </w:r>
            <w:r w:rsidRPr="00591C68">
              <w:rPr>
                <w:rFonts w:ascii="Garamond" w:hAnsi="Garamond" w:cs="Calibri"/>
                <w:color w:val="000000"/>
                <w:sz w:val="20"/>
                <w:szCs w:val="20"/>
                <w:vertAlign w:val="subscript"/>
              </w:rPr>
              <w:t>t-1</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-0.0129***</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-0.0128***</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-0.0129***</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-0.0128***</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-0.0128***</w:t>
            </w:r>
          </w:p>
        </w:tc>
        <w:tc>
          <w:tcPr>
            <w:tcW w:w="1048" w:type="dxa"/>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-0.0129***</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(-3.46)</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(-3.44)</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(-3.46)</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(-3.46)</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(-3.43)</w:t>
            </w:r>
          </w:p>
        </w:tc>
        <w:tc>
          <w:tcPr>
            <w:tcW w:w="1048" w:type="dxa"/>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(-3.46)</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r w:rsidRPr="00591C68">
              <w:rPr>
                <w:rFonts w:ascii="Garamond" w:hAnsi="Garamond" w:cs="Calibri"/>
                <w:color w:val="000000"/>
                <w:sz w:val="20"/>
                <w:szCs w:val="20"/>
              </w:rPr>
              <w:t>CEO is Chairman dummy</w:t>
            </w:r>
            <w:r w:rsidRPr="00591C68">
              <w:rPr>
                <w:rFonts w:ascii="Garamond" w:hAnsi="Garamond" w:cs="Calibri"/>
                <w:color w:val="000000"/>
                <w:sz w:val="20"/>
                <w:szCs w:val="20"/>
                <w:vertAlign w:val="subscript"/>
              </w:rPr>
              <w:t>t-1</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0.0102</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0.0104</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0.0102</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0.00997</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0.0101</w:t>
            </w:r>
          </w:p>
        </w:tc>
        <w:tc>
          <w:tcPr>
            <w:tcW w:w="1048" w:type="dxa"/>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0.0101</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(0.88)</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(0.90)</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(0.89)</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(0.85)</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(0.87)</w:t>
            </w:r>
          </w:p>
        </w:tc>
        <w:tc>
          <w:tcPr>
            <w:tcW w:w="1048" w:type="dxa"/>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(0.87)</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proofErr w:type="spellStart"/>
            <w:r w:rsidRPr="00591C68">
              <w:rPr>
                <w:rFonts w:ascii="Garamond" w:hAnsi="Garamond" w:cs="Calibri"/>
                <w:color w:val="000000"/>
                <w:sz w:val="20"/>
                <w:szCs w:val="20"/>
              </w:rPr>
              <w:t>Ln</w:t>
            </w:r>
            <w:proofErr w:type="spellEnd"/>
            <w:r w:rsidRPr="00591C68">
              <w:rPr>
                <w:rFonts w:ascii="Garamond" w:hAnsi="Garamond" w:cs="Calibri"/>
                <w:color w:val="000000"/>
                <w:sz w:val="20"/>
                <w:szCs w:val="20"/>
              </w:rPr>
              <w:t>(market-to-book)</w:t>
            </w:r>
            <w:r w:rsidRPr="00591C68">
              <w:rPr>
                <w:rFonts w:ascii="Garamond" w:hAnsi="Garamond" w:cs="Calibri"/>
                <w:color w:val="000000"/>
                <w:sz w:val="20"/>
                <w:szCs w:val="20"/>
                <w:vertAlign w:val="subscript"/>
              </w:rPr>
              <w:t>t-1</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0.0481***</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0.0482***</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0.0481***</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0.0479***</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0.0480***</w:t>
            </w:r>
          </w:p>
        </w:tc>
        <w:tc>
          <w:tcPr>
            <w:tcW w:w="1048" w:type="dxa"/>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0.0479***</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(4.60)</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(4.61)</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(4.60)</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(4.58)</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(4.59)</w:t>
            </w:r>
          </w:p>
        </w:tc>
        <w:tc>
          <w:tcPr>
            <w:tcW w:w="1048" w:type="dxa"/>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(4.57)</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r w:rsidRPr="00591C68">
              <w:rPr>
                <w:rFonts w:ascii="Garamond" w:hAnsi="Garamond" w:cs="Calibri"/>
                <w:color w:val="000000"/>
                <w:sz w:val="20"/>
                <w:szCs w:val="20"/>
              </w:rPr>
              <w:t>Capital expenditure</w:t>
            </w:r>
            <w:r w:rsidRPr="00591C68">
              <w:rPr>
                <w:rFonts w:ascii="Garamond" w:hAnsi="Garamond" w:cs="Calibri"/>
                <w:color w:val="000000"/>
                <w:sz w:val="20"/>
                <w:szCs w:val="20"/>
                <w:vertAlign w:val="subscript"/>
              </w:rPr>
              <w:t>t-1</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0.194**</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0.192**</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0.194**</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0.195**</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0.193**</w:t>
            </w:r>
          </w:p>
        </w:tc>
        <w:tc>
          <w:tcPr>
            <w:tcW w:w="1048" w:type="dxa"/>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0.193**</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(2.17)</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(2.16)</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(2.17)</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(2.17)</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(2.16)</w:t>
            </w:r>
          </w:p>
        </w:tc>
        <w:tc>
          <w:tcPr>
            <w:tcW w:w="1048" w:type="dxa"/>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(2.16)</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proofErr w:type="spellStart"/>
            <w:r w:rsidRPr="00591C68">
              <w:rPr>
                <w:rFonts w:ascii="Garamond" w:hAnsi="Garamond" w:cs="Calibri"/>
                <w:color w:val="000000"/>
                <w:sz w:val="20"/>
                <w:szCs w:val="20"/>
              </w:rPr>
              <w:t>Ln</w:t>
            </w:r>
            <w:proofErr w:type="spellEnd"/>
            <w:r w:rsidRPr="00591C68">
              <w:rPr>
                <w:rFonts w:ascii="Garamond" w:hAnsi="Garamond" w:cs="Calibri"/>
                <w:color w:val="000000"/>
                <w:sz w:val="20"/>
                <w:szCs w:val="20"/>
              </w:rPr>
              <w:t>(total assets)</w:t>
            </w:r>
            <w:r w:rsidRPr="00591C68">
              <w:rPr>
                <w:rFonts w:ascii="Garamond" w:hAnsi="Garamond" w:cs="Calibri"/>
                <w:color w:val="000000"/>
                <w:sz w:val="20"/>
                <w:szCs w:val="20"/>
                <w:vertAlign w:val="subscript"/>
              </w:rPr>
              <w:t>t-1</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0.0354***</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0.0356***</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0.0353***</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0.0356***</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0.0358***</w:t>
            </w:r>
          </w:p>
        </w:tc>
        <w:tc>
          <w:tcPr>
            <w:tcW w:w="1048" w:type="dxa"/>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0.0354***</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(4.11)</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(4.12)</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(4.13)</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(4.17)</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(4.21)</w:t>
            </w:r>
          </w:p>
        </w:tc>
        <w:tc>
          <w:tcPr>
            <w:tcW w:w="1048" w:type="dxa"/>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(4.10)</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proofErr w:type="spellStart"/>
            <w:r w:rsidRPr="00591C68">
              <w:rPr>
                <w:rFonts w:ascii="Garamond" w:hAnsi="Garamond" w:cs="Calibri"/>
                <w:color w:val="000000"/>
                <w:sz w:val="20"/>
                <w:szCs w:val="20"/>
              </w:rPr>
              <w:t>Ln</w:t>
            </w:r>
            <w:proofErr w:type="spellEnd"/>
            <w:r w:rsidRPr="00591C68">
              <w:rPr>
                <w:rFonts w:ascii="Garamond" w:hAnsi="Garamond" w:cs="Calibri"/>
                <w:color w:val="000000"/>
                <w:sz w:val="20"/>
                <w:szCs w:val="20"/>
              </w:rPr>
              <w:t>(firm age)</w:t>
            </w:r>
            <w:r w:rsidRPr="00591C68">
              <w:rPr>
                <w:rFonts w:ascii="Garamond" w:hAnsi="Garamond" w:cs="Calibri"/>
                <w:color w:val="000000"/>
                <w:sz w:val="20"/>
                <w:szCs w:val="20"/>
                <w:vertAlign w:val="subscript"/>
              </w:rPr>
              <w:t>t-1</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0.0113</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0.0119</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0.0114</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0.0110</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0.0115</w:t>
            </w:r>
          </w:p>
        </w:tc>
        <w:tc>
          <w:tcPr>
            <w:tcW w:w="1048" w:type="dxa"/>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0.0115</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(0.77)</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(0.81)</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(0.78)</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(0.75)</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(0.80)</w:t>
            </w:r>
          </w:p>
        </w:tc>
        <w:tc>
          <w:tcPr>
            <w:tcW w:w="1048" w:type="dxa"/>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(0.78)</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r w:rsidRPr="00591C68">
              <w:rPr>
                <w:rFonts w:ascii="Garamond" w:hAnsi="Garamond" w:cs="Calibri"/>
                <w:color w:val="000000"/>
                <w:sz w:val="20"/>
                <w:szCs w:val="20"/>
              </w:rPr>
              <w:t>CFO British Dummy</w:t>
            </w:r>
            <w:r w:rsidRPr="00591C68">
              <w:rPr>
                <w:rFonts w:ascii="Garamond" w:hAnsi="Garamond" w:cs="Calibri"/>
                <w:color w:val="000000"/>
                <w:sz w:val="20"/>
                <w:szCs w:val="20"/>
                <w:vertAlign w:val="subscript"/>
              </w:rPr>
              <w:t>t-1</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0.0185</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0.0195</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0.0185</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0.0187</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0.0196</w:t>
            </w:r>
          </w:p>
        </w:tc>
        <w:tc>
          <w:tcPr>
            <w:tcW w:w="1048" w:type="dxa"/>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0.0214</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(0.72)</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(0.76)</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(0.72)</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(0.72)</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(0.76)</w:t>
            </w:r>
          </w:p>
        </w:tc>
        <w:tc>
          <w:tcPr>
            <w:tcW w:w="1048" w:type="dxa"/>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(0.82)</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proofErr w:type="spellStart"/>
            <w:r w:rsidRPr="00591C68">
              <w:rPr>
                <w:rFonts w:ascii="Garamond" w:hAnsi="Garamond" w:cs="Calibri"/>
                <w:color w:val="000000"/>
                <w:sz w:val="20"/>
                <w:szCs w:val="20"/>
              </w:rPr>
              <w:t>Ln</w:t>
            </w:r>
            <w:proofErr w:type="spellEnd"/>
            <w:r w:rsidRPr="00591C68">
              <w:rPr>
                <w:rFonts w:ascii="Garamond" w:hAnsi="Garamond" w:cs="Calibri"/>
                <w:color w:val="000000"/>
                <w:sz w:val="20"/>
                <w:szCs w:val="20"/>
              </w:rPr>
              <w:t>(CFO tenure)</w:t>
            </w:r>
            <w:r w:rsidRPr="00591C68">
              <w:rPr>
                <w:rFonts w:ascii="Garamond" w:hAnsi="Garamond" w:cs="Calibri"/>
                <w:color w:val="000000"/>
                <w:sz w:val="20"/>
                <w:szCs w:val="20"/>
                <w:vertAlign w:val="subscript"/>
              </w:rPr>
              <w:t>t-1</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0.00402</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0.00408</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0.00401</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0.00395</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0.00402</w:t>
            </w:r>
          </w:p>
        </w:tc>
        <w:tc>
          <w:tcPr>
            <w:tcW w:w="1048" w:type="dxa"/>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0.00397</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(0.89)</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(0.90)</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(0.89)</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(0.87)</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(0.89)</w:t>
            </w:r>
          </w:p>
        </w:tc>
        <w:tc>
          <w:tcPr>
            <w:tcW w:w="1048" w:type="dxa"/>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(0.88)</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proofErr w:type="spellStart"/>
            <w:r w:rsidRPr="00591C68">
              <w:rPr>
                <w:rFonts w:ascii="Garamond" w:hAnsi="Garamond" w:cs="Calibri"/>
                <w:color w:val="000000"/>
                <w:sz w:val="20"/>
                <w:szCs w:val="20"/>
              </w:rPr>
              <w:t>Ln</w:t>
            </w:r>
            <w:proofErr w:type="spellEnd"/>
            <w:r w:rsidRPr="00591C68">
              <w:rPr>
                <w:rFonts w:ascii="Garamond" w:hAnsi="Garamond" w:cs="Calibri"/>
                <w:color w:val="000000"/>
                <w:sz w:val="20"/>
                <w:szCs w:val="20"/>
              </w:rPr>
              <w:t>(CFO age)</w:t>
            </w:r>
            <w:r w:rsidRPr="00591C68">
              <w:rPr>
                <w:rFonts w:ascii="Garamond" w:hAnsi="Garamond" w:cs="Calibri"/>
                <w:color w:val="000000"/>
                <w:sz w:val="20"/>
                <w:szCs w:val="20"/>
                <w:vertAlign w:val="subscript"/>
              </w:rPr>
              <w:t>t-1</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-0.0315</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-0.0302</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-0.0314</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-0.0312</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-0.0299</w:t>
            </w:r>
          </w:p>
        </w:tc>
        <w:tc>
          <w:tcPr>
            <w:tcW w:w="1048" w:type="dxa"/>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-0.0239</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(-0.64)</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(-0.62)</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(-0.64)</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(-0.64)</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(-0.61)</w:t>
            </w:r>
          </w:p>
        </w:tc>
        <w:tc>
          <w:tcPr>
            <w:tcW w:w="1048" w:type="dxa"/>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(-0.48)</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proofErr w:type="spellStart"/>
            <w:r w:rsidRPr="00591C68">
              <w:rPr>
                <w:rFonts w:ascii="Garamond" w:hAnsi="Garamond" w:cs="Calibri"/>
                <w:color w:val="000000"/>
                <w:sz w:val="20"/>
                <w:szCs w:val="20"/>
              </w:rPr>
              <w:t>Ln</w:t>
            </w:r>
            <w:proofErr w:type="spellEnd"/>
            <w:r w:rsidRPr="00591C68">
              <w:rPr>
                <w:rFonts w:ascii="Garamond" w:hAnsi="Garamond" w:cs="Calibri"/>
                <w:color w:val="000000"/>
                <w:sz w:val="20"/>
                <w:szCs w:val="20"/>
              </w:rPr>
              <w:t>(CFO network size)</w:t>
            </w:r>
            <w:r w:rsidRPr="00591C68">
              <w:rPr>
                <w:rFonts w:ascii="Garamond" w:hAnsi="Garamond" w:cs="Calibri"/>
                <w:color w:val="000000"/>
                <w:sz w:val="20"/>
                <w:szCs w:val="20"/>
                <w:vertAlign w:val="subscript"/>
              </w:rPr>
              <w:t>t-1</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-0.00533</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-0.00512</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-0.00533</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-0.00535</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-0.00514</w:t>
            </w:r>
          </w:p>
        </w:tc>
        <w:tc>
          <w:tcPr>
            <w:tcW w:w="1048" w:type="dxa"/>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-0.00524</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(-1.15)</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(-1.12)</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(-1.15)</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(-1.16)</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(-1.12)</w:t>
            </w:r>
          </w:p>
        </w:tc>
        <w:tc>
          <w:tcPr>
            <w:tcW w:w="1048" w:type="dxa"/>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(-1.14)</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proofErr w:type="spellStart"/>
            <w:r w:rsidRPr="00591C68">
              <w:rPr>
                <w:rFonts w:ascii="Garamond" w:hAnsi="Garamond" w:cs="Calibri"/>
                <w:color w:val="000000"/>
                <w:sz w:val="20"/>
                <w:szCs w:val="20"/>
              </w:rPr>
              <w:t>Ln</w:t>
            </w:r>
            <w:proofErr w:type="spellEnd"/>
            <w:r w:rsidRPr="00591C68">
              <w:rPr>
                <w:rFonts w:ascii="Garamond" w:hAnsi="Garamond" w:cs="Calibri"/>
                <w:color w:val="000000"/>
                <w:sz w:val="20"/>
                <w:szCs w:val="20"/>
              </w:rPr>
              <w:t>(CFO total compensation)</w:t>
            </w:r>
            <w:r w:rsidRPr="00591C68">
              <w:rPr>
                <w:rFonts w:ascii="Garamond" w:hAnsi="Garamond" w:cs="Calibri"/>
                <w:color w:val="000000"/>
                <w:sz w:val="20"/>
                <w:szCs w:val="20"/>
                <w:vertAlign w:val="subscript"/>
              </w:rPr>
              <w:t>t-1</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-0.0105*</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-0.0107*</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-0.0106*</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-0.0105*</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-0.0107*</w:t>
            </w:r>
          </w:p>
        </w:tc>
        <w:tc>
          <w:tcPr>
            <w:tcW w:w="1048" w:type="dxa"/>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-0.0106*</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(-1.70)</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(-1.72)</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(-1.69)</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(-1.70)</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(-1.71)</w:t>
            </w:r>
          </w:p>
        </w:tc>
        <w:tc>
          <w:tcPr>
            <w:tcW w:w="1048" w:type="dxa"/>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(-1.71)</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themeColor="text1"/>
                <w:sz w:val="20"/>
                <w:szCs w:val="20"/>
              </w:rPr>
            </w:pPr>
            <w:r w:rsidRPr="00591C68">
              <w:rPr>
                <w:rFonts w:ascii="Garamond" w:hAnsi="Garamond" w:cs="Calibri"/>
                <w:color w:val="000000" w:themeColor="text1"/>
                <w:sz w:val="20"/>
                <w:szCs w:val="20"/>
              </w:rPr>
              <w:t>Constant</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-0.133</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-0.142</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-0.132</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-0.134</w:t>
            </w:r>
          </w:p>
        </w:tc>
        <w:tc>
          <w:tcPr>
            <w:tcW w:w="0" w:type="auto"/>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-0.144</w:t>
            </w:r>
          </w:p>
        </w:tc>
        <w:tc>
          <w:tcPr>
            <w:tcW w:w="1048" w:type="dxa"/>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-0.159</w:t>
            </w:r>
          </w:p>
        </w:tc>
      </w:tr>
      <w:tr w:rsidR="00583BD3" w:rsidRPr="00025A78" w:rsidTr="000727E8">
        <w:trPr>
          <w:trHeight w:hRule="exact" w:val="255"/>
        </w:trPr>
        <w:tc>
          <w:tcPr>
            <w:tcW w:w="0" w:type="auto"/>
            <w:tcBorders>
              <w:bottom w:val="single" w:sz="4" w:space="0" w:color="auto"/>
            </w:tcBorders>
            <w:shd w:val="clear" w:color="auto" w:fill="auto"/>
            <w:noWrap/>
            <w:hideMark/>
          </w:tcPr>
          <w:p w:rsidR="00583BD3" w:rsidRPr="00905DE4" w:rsidRDefault="00583BD3" w:rsidP="000727E8">
            <w:pPr>
              <w:jc w:val="center"/>
              <w:rPr>
                <w:rFonts w:ascii="Garamond" w:hAnsi="Garamond" w:cs="Calibri"/>
                <w:color w:val="000000" w:themeColor="text1"/>
                <w:sz w:val="20"/>
                <w:szCs w:val="20"/>
              </w:rPr>
            </w:pPr>
          </w:p>
        </w:tc>
        <w:tc>
          <w:tcPr>
            <w:tcW w:w="0" w:type="auto"/>
            <w:tcBorders>
              <w:bottom w:val="single" w:sz="4" w:space="0" w:color="auto"/>
            </w:tcBorders>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(-0.61)</w:t>
            </w:r>
          </w:p>
        </w:tc>
        <w:tc>
          <w:tcPr>
            <w:tcW w:w="0" w:type="auto"/>
            <w:tcBorders>
              <w:bottom w:val="single" w:sz="4" w:space="0" w:color="auto"/>
            </w:tcBorders>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(-0.65)</w:t>
            </w:r>
          </w:p>
        </w:tc>
        <w:tc>
          <w:tcPr>
            <w:tcW w:w="0" w:type="auto"/>
            <w:tcBorders>
              <w:bottom w:val="single" w:sz="4" w:space="0" w:color="auto"/>
            </w:tcBorders>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(-0.60)</w:t>
            </w:r>
          </w:p>
        </w:tc>
        <w:tc>
          <w:tcPr>
            <w:tcW w:w="0" w:type="auto"/>
            <w:tcBorders>
              <w:bottom w:val="single" w:sz="4" w:space="0" w:color="auto"/>
            </w:tcBorders>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(-0.61)</w:t>
            </w:r>
          </w:p>
        </w:tc>
        <w:tc>
          <w:tcPr>
            <w:tcW w:w="0" w:type="auto"/>
            <w:tcBorders>
              <w:bottom w:val="single" w:sz="4" w:space="0" w:color="auto"/>
            </w:tcBorders>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(-0.65)</w:t>
            </w:r>
          </w:p>
        </w:tc>
        <w:tc>
          <w:tcPr>
            <w:tcW w:w="1048" w:type="dxa"/>
            <w:tcBorders>
              <w:bottom w:val="single" w:sz="4" w:space="0" w:color="auto"/>
            </w:tcBorders>
            <w:shd w:val="clear" w:color="auto" w:fill="auto"/>
            <w:noWrap/>
            <w:vAlign w:val="center"/>
            <w:hideMark/>
          </w:tcPr>
          <w:p w:rsidR="00583BD3" w:rsidRPr="00025A78" w:rsidRDefault="00583BD3" w:rsidP="000727E8">
            <w:pPr>
              <w:jc w:val="cente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(-0.72)</w:t>
            </w:r>
          </w:p>
        </w:tc>
      </w:tr>
      <w:tr w:rsidR="00583BD3" w:rsidRPr="00B454FC" w:rsidTr="000727E8">
        <w:trPr>
          <w:trHeight w:hRule="exact" w:val="255"/>
        </w:trPr>
        <w:tc>
          <w:tcPr>
            <w:tcW w:w="0" w:type="auto"/>
            <w:tcBorders>
              <w:top w:val="single" w:sz="4" w:space="0" w:color="auto"/>
              <w:bottom w:val="nil"/>
            </w:tcBorders>
            <w:shd w:val="clear" w:color="auto" w:fill="auto"/>
            <w:noWrap/>
            <w:hideMark/>
          </w:tcPr>
          <w:p w:rsidR="00583BD3" w:rsidRPr="00905DE4" w:rsidRDefault="00583BD3" w:rsidP="000727E8">
            <w:pPr>
              <w:jc w:val="center"/>
              <w:rPr>
                <w:rFonts w:ascii="Garamond" w:hAnsi="Garamond" w:cs="Calibri"/>
                <w:color w:val="000000" w:themeColor="text1"/>
                <w:sz w:val="20"/>
                <w:szCs w:val="20"/>
              </w:rPr>
            </w:pPr>
            <w:r w:rsidRPr="00905DE4">
              <w:rPr>
                <w:rFonts w:ascii="Garamond" w:hAnsi="Garamond" w:cs="Calibri"/>
                <w:color w:val="000000" w:themeColor="text1"/>
                <w:sz w:val="20"/>
                <w:szCs w:val="20"/>
              </w:rPr>
              <w:t>Year Fixed Effects</w:t>
            </w:r>
          </w:p>
        </w:tc>
        <w:tc>
          <w:tcPr>
            <w:tcW w:w="0" w:type="auto"/>
            <w:tcBorders>
              <w:top w:val="single" w:sz="4" w:space="0" w:color="auto"/>
              <w:bottom w:val="nil"/>
            </w:tcBorders>
            <w:shd w:val="clear" w:color="auto" w:fill="auto"/>
            <w:noWrap/>
            <w:hideMark/>
          </w:tcPr>
          <w:p w:rsidR="00583BD3" w:rsidRPr="00905DE4" w:rsidRDefault="00583BD3" w:rsidP="000727E8">
            <w:pPr>
              <w:jc w:val="center"/>
              <w:rPr>
                <w:rFonts w:ascii="Garamond" w:hAnsi="Garamond" w:cs="Calibri"/>
                <w:color w:val="000000" w:themeColor="text1"/>
                <w:sz w:val="20"/>
                <w:szCs w:val="20"/>
              </w:rPr>
            </w:pPr>
            <w:r w:rsidRPr="00905DE4">
              <w:rPr>
                <w:rFonts w:ascii="Garamond" w:hAnsi="Garamond" w:cs="Calibri"/>
                <w:color w:val="000000" w:themeColor="text1"/>
                <w:sz w:val="20"/>
                <w:szCs w:val="20"/>
              </w:rPr>
              <w:t>Yes</w:t>
            </w:r>
          </w:p>
        </w:tc>
        <w:tc>
          <w:tcPr>
            <w:tcW w:w="0" w:type="auto"/>
            <w:tcBorders>
              <w:top w:val="single" w:sz="4" w:space="0" w:color="auto"/>
              <w:bottom w:val="nil"/>
            </w:tcBorders>
            <w:shd w:val="clear" w:color="auto" w:fill="auto"/>
            <w:noWrap/>
            <w:hideMark/>
          </w:tcPr>
          <w:p w:rsidR="00583BD3" w:rsidRPr="00905DE4" w:rsidRDefault="00583BD3" w:rsidP="000727E8">
            <w:pPr>
              <w:jc w:val="center"/>
              <w:rPr>
                <w:rFonts w:ascii="Garamond" w:hAnsi="Garamond" w:cs="Calibri"/>
                <w:color w:val="000000" w:themeColor="text1"/>
                <w:sz w:val="20"/>
                <w:szCs w:val="20"/>
              </w:rPr>
            </w:pPr>
            <w:r w:rsidRPr="00905DE4">
              <w:rPr>
                <w:rFonts w:ascii="Garamond" w:hAnsi="Garamond" w:cs="Calibri"/>
                <w:color w:val="000000" w:themeColor="text1"/>
                <w:sz w:val="20"/>
                <w:szCs w:val="20"/>
              </w:rPr>
              <w:t>Yes</w:t>
            </w:r>
          </w:p>
        </w:tc>
        <w:tc>
          <w:tcPr>
            <w:tcW w:w="0" w:type="auto"/>
            <w:tcBorders>
              <w:top w:val="single" w:sz="4" w:space="0" w:color="auto"/>
              <w:bottom w:val="nil"/>
            </w:tcBorders>
            <w:shd w:val="clear" w:color="auto" w:fill="auto"/>
            <w:noWrap/>
            <w:hideMark/>
          </w:tcPr>
          <w:p w:rsidR="00583BD3" w:rsidRPr="00905DE4" w:rsidRDefault="00583BD3" w:rsidP="000727E8">
            <w:pPr>
              <w:jc w:val="center"/>
              <w:rPr>
                <w:rFonts w:ascii="Garamond" w:hAnsi="Garamond" w:cs="Calibri"/>
                <w:color w:val="000000" w:themeColor="text1"/>
                <w:sz w:val="20"/>
                <w:szCs w:val="20"/>
              </w:rPr>
            </w:pPr>
            <w:r w:rsidRPr="00905DE4">
              <w:rPr>
                <w:rFonts w:ascii="Garamond" w:hAnsi="Garamond" w:cs="Calibri"/>
                <w:color w:val="000000" w:themeColor="text1"/>
                <w:sz w:val="20"/>
                <w:szCs w:val="20"/>
              </w:rPr>
              <w:t>Yes</w:t>
            </w:r>
          </w:p>
        </w:tc>
        <w:tc>
          <w:tcPr>
            <w:tcW w:w="0" w:type="auto"/>
            <w:tcBorders>
              <w:top w:val="single" w:sz="4" w:space="0" w:color="auto"/>
              <w:bottom w:val="nil"/>
            </w:tcBorders>
            <w:shd w:val="clear" w:color="auto" w:fill="auto"/>
            <w:noWrap/>
            <w:hideMark/>
          </w:tcPr>
          <w:p w:rsidR="00583BD3" w:rsidRPr="00905DE4" w:rsidRDefault="00583BD3" w:rsidP="000727E8">
            <w:pPr>
              <w:jc w:val="center"/>
              <w:rPr>
                <w:rFonts w:ascii="Garamond" w:hAnsi="Garamond" w:cs="Calibri"/>
                <w:color w:val="000000" w:themeColor="text1"/>
                <w:sz w:val="20"/>
                <w:szCs w:val="20"/>
              </w:rPr>
            </w:pPr>
            <w:r w:rsidRPr="00905DE4">
              <w:rPr>
                <w:rFonts w:ascii="Garamond" w:hAnsi="Garamond" w:cs="Calibri"/>
                <w:color w:val="000000" w:themeColor="text1"/>
                <w:sz w:val="20"/>
                <w:szCs w:val="20"/>
              </w:rPr>
              <w:t>Yes</w:t>
            </w:r>
          </w:p>
        </w:tc>
        <w:tc>
          <w:tcPr>
            <w:tcW w:w="0" w:type="auto"/>
            <w:tcBorders>
              <w:top w:val="single" w:sz="4" w:space="0" w:color="auto"/>
              <w:bottom w:val="nil"/>
            </w:tcBorders>
            <w:shd w:val="clear" w:color="auto" w:fill="auto"/>
            <w:noWrap/>
            <w:hideMark/>
          </w:tcPr>
          <w:p w:rsidR="00583BD3" w:rsidRPr="00905DE4" w:rsidRDefault="00583BD3" w:rsidP="000727E8">
            <w:pPr>
              <w:jc w:val="center"/>
              <w:rPr>
                <w:rFonts w:ascii="Garamond" w:hAnsi="Garamond" w:cs="Calibri"/>
                <w:color w:val="000000" w:themeColor="text1"/>
                <w:sz w:val="20"/>
                <w:szCs w:val="20"/>
              </w:rPr>
            </w:pPr>
            <w:r w:rsidRPr="00905DE4">
              <w:rPr>
                <w:rFonts w:ascii="Garamond" w:hAnsi="Garamond" w:cs="Calibri"/>
                <w:color w:val="000000" w:themeColor="text1"/>
                <w:sz w:val="20"/>
                <w:szCs w:val="20"/>
              </w:rPr>
              <w:t>Yes</w:t>
            </w:r>
          </w:p>
        </w:tc>
        <w:tc>
          <w:tcPr>
            <w:tcW w:w="1048" w:type="dxa"/>
            <w:tcBorders>
              <w:top w:val="single" w:sz="4" w:space="0" w:color="auto"/>
              <w:bottom w:val="nil"/>
            </w:tcBorders>
            <w:shd w:val="clear" w:color="auto" w:fill="auto"/>
            <w:noWrap/>
            <w:hideMark/>
          </w:tcPr>
          <w:p w:rsidR="00583BD3" w:rsidRPr="00905DE4" w:rsidRDefault="00583BD3" w:rsidP="000727E8">
            <w:pPr>
              <w:jc w:val="center"/>
              <w:rPr>
                <w:rFonts w:ascii="Garamond" w:hAnsi="Garamond" w:cs="Calibri"/>
                <w:color w:val="000000" w:themeColor="text1"/>
                <w:sz w:val="20"/>
                <w:szCs w:val="20"/>
              </w:rPr>
            </w:pPr>
            <w:r w:rsidRPr="00905DE4">
              <w:rPr>
                <w:rFonts w:ascii="Garamond" w:hAnsi="Garamond" w:cs="Calibri"/>
                <w:color w:val="000000" w:themeColor="text1"/>
                <w:sz w:val="20"/>
                <w:szCs w:val="20"/>
              </w:rPr>
              <w:t>Yes</w:t>
            </w:r>
          </w:p>
        </w:tc>
      </w:tr>
      <w:tr w:rsidR="00583BD3" w:rsidRPr="00B454FC" w:rsidTr="000727E8">
        <w:trPr>
          <w:trHeight w:hRule="exact" w:val="255"/>
        </w:trPr>
        <w:tc>
          <w:tcPr>
            <w:tcW w:w="0" w:type="auto"/>
            <w:tcBorders>
              <w:top w:val="nil"/>
            </w:tcBorders>
            <w:shd w:val="clear" w:color="auto" w:fill="auto"/>
            <w:noWrap/>
            <w:hideMark/>
          </w:tcPr>
          <w:p w:rsidR="00583BD3" w:rsidRPr="00905DE4" w:rsidRDefault="00583BD3" w:rsidP="000727E8">
            <w:pPr>
              <w:jc w:val="center"/>
              <w:rPr>
                <w:rFonts w:ascii="Garamond" w:hAnsi="Garamond" w:cs="Calibri"/>
                <w:color w:val="000000" w:themeColor="text1"/>
                <w:sz w:val="20"/>
                <w:szCs w:val="20"/>
              </w:rPr>
            </w:pPr>
            <w:r>
              <w:rPr>
                <w:rFonts w:ascii="Garamond" w:hAnsi="Garamond" w:cs="Calibri"/>
                <w:color w:val="000000" w:themeColor="text1"/>
                <w:sz w:val="20"/>
                <w:szCs w:val="20"/>
              </w:rPr>
              <w:t>Firm</w:t>
            </w:r>
            <w:r w:rsidRPr="00905DE4">
              <w:rPr>
                <w:rFonts w:ascii="Garamond" w:hAnsi="Garamond" w:cs="Calibri"/>
                <w:color w:val="000000" w:themeColor="text1"/>
                <w:sz w:val="20"/>
                <w:szCs w:val="20"/>
              </w:rPr>
              <w:t xml:space="preserve"> Fixed Effects</w:t>
            </w:r>
          </w:p>
        </w:tc>
        <w:tc>
          <w:tcPr>
            <w:tcW w:w="0" w:type="auto"/>
            <w:tcBorders>
              <w:top w:val="nil"/>
            </w:tcBorders>
            <w:shd w:val="clear" w:color="auto" w:fill="auto"/>
            <w:noWrap/>
            <w:hideMark/>
          </w:tcPr>
          <w:p w:rsidR="00583BD3" w:rsidRPr="00905DE4" w:rsidRDefault="00583BD3" w:rsidP="000727E8">
            <w:pPr>
              <w:jc w:val="center"/>
              <w:rPr>
                <w:rFonts w:ascii="Garamond" w:hAnsi="Garamond" w:cs="Calibri"/>
                <w:color w:val="000000" w:themeColor="text1"/>
                <w:sz w:val="20"/>
                <w:szCs w:val="20"/>
              </w:rPr>
            </w:pPr>
            <w:r w:rsidRPr="00905DE4">
              <w:rPr>
                <w:rFonts w:ascii="Garamond" w:hAnsi="Garamond" w:cs="Calibri"/>
                <w:color w:val="000000" w:themeColor="text1"/>
                <w:sz w:val="20"/>
                <w:szCs w:val="20"/>
              </w:rPr>
              <w:t>Yes</w:t>
            </w:r>
          </w:p>
        </w:tc>
        <w:tc>
          <w:tcPr>
            <w:tcW w:w="0" w:type="auto"/>
            <w:tcBorders>
              <w:top w:val="nil"/>
            </w:tcBorders>
            <w:shd w:val="clear" w:color="auto" w:fill="auto"/>
            <w:noWrap/>
            <w:hideMark/>
          </w:tcPr>
          <w:p w:rsidR="00583BD3" w:rsidRPr="00905DE4" w:rsidRDefault="00583BD3" w:rsidP="000727E8">
            <w:pPr>
              <w:jc w:val="center"/>
              <w:rPr>
                <w:rFonts w:ascii="Garamond" w:hAnsi="Garamond" w:cs="Calibri"/>
                <w:color w:val="000000" w:themeColor="text1"/>
                <w:sz w:val="20"/>
                <w:szCs w:val="20"/>
              </w:rPr>
            </w:pPr>
            <w:r w:rsidRPr="00905DE4">
              <w:rPr>
                <w:rFonts w:ascii="Garamond" w:hAnsi="Garamond" w:cs="Calibri"/>
                <w:color w:val="000000" w:themeColor="text1"/>
                <w:sz w:val="20"/>
                <w:szCs w:val="20"/>
              </w:rPr>
              <w:t>Yes</w:t>
            </w:r>
          </w:p>
        </w:tc>
        <w:tc>
          <w:tcPr>
            <w:tcW w:w="0" w:type="auto"/>
            <w:tcBorders>
              <w:top w:val="nil"/>
            </w:tcBorders>
            <w:shd w:val="clear" w:color="auto" w:fill="auto"/>
            <w:noWrap/>
            <w:hideMark/>
          </w:tcPr>
          <w:p w:rsidR="00583BD3" w:rsidRPr="00905DE4" w:rsidRDefault="00583BD3" w:rsidP="000727E8">
            <w:pPr>
              <w:jc w:val="center"/>
              <w:rPr>
                <w:rFonts w:ascii="Garamond" w:hAnsi="Garamond" w:cs="Calibri"/>
                <w:color w:val="000000" w:themeColor="text1"/>
                <w:sz w:val="20"/>
                <w:szCs w:val="20"/>
              </w:rPr>
            </w:pPr>
            <w:r w:rsidRPr="00905DE4">
              <w:rPr>
                <w:rFonts w:ascii="Garamond" w:hAnsi="Garamond" w:cs="Calibri"/>
                <w:color w:val="000000" w:themeColor="text1"/>
                <w:sz w:val="20"/>
                <w:szCs w:val="20"/>
              </w:rPr>
              <w:t>Yes</w:t>
            </w:r>
          </w:p>
        </w:tc>
        <w:tc>
          <w:tcPr>
            <w:tcW w:w="0" w:type="auto"/>
            <w:tcBorders>
              <w:top w:val="nil"/>
            </w:tcBorders>
            <w:shd w:val="clear" w:color="auto" w:fill="auto"/>
            <w:noWrap/>
            <w:hideMark/>
          </w:tcPr>
          <w:p w:rsidR="00583BD3" w:rsidRPr="00905DE4" w:rsidRDefault="00583BD3" w:rsidP="000727E8">
            <w:pPr>
              <w:jc w:val="center"/>
              <w:rPr>
                <w:rFonts w:ascii="Garamond" w:hAnsi="Garamond" w:cs="Calibri"/>
                <w:color w:val="000000" w:themeColor="text1"/>
                <w:sz w:val="20"/>
                <w:szCs w:val="20"/>
              </w:rPr>
            </w:pPr>
            <w:r w:rsidRPr="00905DE4">
              <w:rPr>
                <w:rFonts w:ascii="Garamond" w:hAnsi="Garamond" w:cs="Calibri"/>
                <w:color w:val="000000" w:themeColor="text1"/>
                <w:sz w:val="20"/>
                <w:szCs w:val="20"/>
              </w:rPr>
              <w:t>Yes</w:t>
            </w:r>
          </w:p>
        </w:tc>
        <w:tc>
          <w:tcPr>
            <w:tcW w:w="0" w:type="auto"/>
            <w:tcBorders>
              <w:top w:val="nil"/>
            </w:tcBorders>
            <w:shd w:val="clear" w:color="auto" w:fill="auto"/>
            <w:noWrap/>
            <w:hideMark/>
          </w:tcPr>
          <w:p w:rsidR="00583BD3" w:rsidRPr="00905DE4" w:rsidRDefault="00583BD3" w:rsidP="000727E8">
            <w:pPr>
              <w:jc w:val="center"/>
              <w:rPr>
                <w:rFonts w:ascii="Garamond" w:hAnsi="Garamond" w:cs="Calibri"/>
                <w:color w:val="000000" w:themeColor="text1"/>
                <w:sz w:val="20"/>
                <w:szCs w:val="20"/>
              </w:rPr>
            </w:pPr>
            <w:r w:rsidRPr="00905DE4">
              <w:rPr>
                <w:rFonts w:ascii="Garamond" w:hAnsi="Garamond" w:cs="Calibri"/>
                <w:color w:val="000000" w:themeColor="text1"/>
                <w:sz w:val="20"/>
                <w:szCs w:val="20"/>
              </w:rPr>
              <w:t>Yes</w:t>
            </w:r>
          </w:p>
        </w:tc>
        <w:tc>
          <w:tcPr>
            <w:tcW w:w="1048" w:type="dxa"/>
            <w:tcBorders>
              <w:top w:val="nil"/>
            </w:tcBorders>
            <w:shd w:val="clear" w:color="auto" w:fill="auto"/>
            <w:noWrap/>
            <w:hideMark/>
          </w:tcPr>
          <w:p w:rsidR="00583BD3" w:rsidRPr="00905DE4" w:rsidRDefault="00583BD3" w:rsidP="000727E8">
            <w:pPr>
              <w:jc w:val="center"/>
              <w:rPr>
                <w:rFonts w:ascii="Garamond" w:hAnsi="Garamond" w:cs="Calibri"/>
                <w:color w:val="000000" w:themeColor="text1"/>
                <w:sz w:val="20"/>
                <w:szCs w:val="20"/>
              </w:rPr>
            </w:pPr>
            <w:r w:rsidRPr="00905DE4">
              <w:rPr>
                <w:rFonts w:ascii="Garamond" w:hAnsi="Garamond" w:cs="Calibri"/>
                <w:color w:val="000000" w:themeColor="text1"/>
                <w:sz w:val="20"/>
                <w:szCs w:val="20"/>
              </w:rPr>
              <w:t>Yes</w:t>
            </w:r>
          </w:p>
        </w:tc>
      </w:tr>
      <w:tr w:rsidR="00583BD3" w:rsidRPr="00025A78" w:rsidTr="000727E8">
        <w:trPr>
          <w:trHeight w:hRule="exact" w:val="255"/>
        </w:trPr>
        <w:tc>
          <w:tcPr>
            <w:tcW w:w="0" w:type="auto"/>
            <w:shd w:val="clear" w:color="auto" w:fill="auto"/>
            <w:noWrap/>
            <w:hideMark/>
          </w:tcPr>
          <w:p w:rsidR="00583BD3" w:rsidRPr="00905DE4" w:rsidRDefault="00583BD3" w:rsidP="000727E8">
            <w:pPr>
              <w:jc w:val="center"/>
              <w:rPr>
                <w:rFonts w:ascii="Garamond" w:hAnsi="Garamond" w:cs="Calibri"/>
                <w:color w:val="000000" w:themeColor="text1"/>
                <w:sz w:val="20"/>
                <w:szCs w:val="20"/>
              </w:rPr>
            </w:pPr>
            <w:proofErr w:type="spellStart"/>
            <w:r w:rsidRPr="00905DE4">
              <w:rPr>
                <w:rFonts w:ascii="Garamond" w:hAnsi="Garamond" w:cs="Calibri"/>
                <w:color w:val="000000" w:themeColor="text1"/>
                <w:sz w:val="20"/>
                <w:szCs w:val="20"/>
              </w:rPr>
              <w:t>Adj</w:t>
            </w:r>
            <w:proofErr w:type="spellEnd"/>
            <w:r w:rsidRPr="00905DE4">
              <w:rPr>
                <w:rFonts w:ascii="Garamond" w:hAnsi="Garamond" w:cs="Calibri"/>
                <w:color w:val="000000" w:themeColor="text1"/>
                <w:sz w:val="20"/>
                <w:szCs w:val="20"/>
              </w:rPr>
              <w:t xml:space="preserve"> R-square</w:t>
            </w:r>
          </w:p>
        </w:tc>
        <w:tc>
          <w:tcPr>
            <w:tcW w:w="0" w:type="auto"/>
            <w:shd w:val="clear" w:color="auto" w:fill="auto"/>
            <w:noWrap/>
            <w:vAlign w:val="bottom"/>
            <w:hideMark/>
          </w:tcPr>
          <w:p w:rsidR="00583BD3" w:rsidRPr="00025A78" w:rsidRDefault="00583BD3" w:rsidP="000727E8">
            <w:pPr>
              <w:jc w:val="center"/>
              <w:rPr>
                <w:rFonts w:ascii="Garamond" w:hAnsi="Garamond"/>
                <w:color w:val="000000"/>
                <w:sz w:val="20"/>
                <w:szCs w:val="20"/>
              </w:rPr>
            </w:pPr>
            <w:r w:rsidRPr="00025A78">
              <w:rPr>
                <w:rFonts w:ascii="Garamond" w:hAnsi="Garamond" w:hint="eastAsia"/>
                <w:color w:val="000000"/>
                <w:sz w:val="20"/>
                <w:szCs w:val="20"/>
              </w:rPr>
              <w:t>0.0593</w:t>
            </w:r>
          </w:p>
        </w:tc>
        <w:tc>
          <w:tcPr>
            <w:tcW w:w="0" w:type="auto"/>
            <w:shd w:val="clear" w:color="auto" w:fill="auto"/>
            <w:noWrap/>
            <w:vAlign w:val="bottom"/>
            <w:hideMark/>
          </w:tcPr>
          <w:p w:rsidR="00583BD3" w:rsidRPr="00025A78" w:rsidRDefault="00583BD3" w:rsidP="000727E8">
            <w:pPr>
              <w:jc w:val="center"/>
              <w:rPr>
                <w:rFonts w:ascii="Garamond" w:hAnsi="Garamond"/>
                <w:color w:val="000000"/>
                <w:sz w:val="20"/>
                <w:szCs w:val="20"/>
              </w:rPr>
            </w:pPr>
            <w:r w:rsidRPr="00025A78">
              <w:rPr>
                <w:rFonts w:ascii="Garamond" w:hAnsi="Garamond" w:hint="eastAsia"/>
                <w:color w:val="000000"/>
                <w:sz w:val="20"/>
                <w:szCs w:val="20"/>
              </w:rPr>
              <w:t>0.0593</w:t>
            </w:r>
          </w:p>
        </w:tc>
        <w:tc>
          <w:tcPr>
            <w:tcW w:w="0" w:type="auto"/>
            <w:shd w:val="clear" w:color="auto" w:fill="auto"/>
            <w:noWrap/>
            <w:vAlign w:val="bottom"/>
            <w:hideMark/>
          </w:tcPr>
          <w:p w:rsidR="00583BD3" w:rsidRPr="00025A78" w:rsidRDefault="00583BD3" w:rsidP="000727E8">
            <w:pPr>
              <w:jc w:val="center"/>
              <w:rPr>
                <w:rFonts w:ascii="Garamond" w:hAnsi="Garamond"/>
                <w:color w:val="000000"/>
                <w:sz w:val="20"/>
                <w:szCs w:val="20"/>
              </w:rPr>
            </w:pPr>
            <w:r w:rsidRPr="00025A78">
              <w:rPr>
                <w:rFonts w:ascii="Garamond" w:hAnsi="Garamond" w:hint="eastAsia"/>
                <w:color w:val="000000"/>
                <w:sz w:val="20"/>
                <w:szCs w:val="20"/>
              </w:rPr>
              <w:t>0.0590</w:t>
            </w:r>
          </w:p>
        </w:tc>
        <w:tc>
          <w:tcPr>
            <w:tcW w:w="0" w:type="auto"/>
            <w:shd w:val="clear" w:color="auto" w:fill="auto"/>
            <w:noWrap/>
            <w:vAlign w:val="bottom"/>
            <w:hideMark/>
          </w:tcPr>
          <w:p w:rsidR="00583BD3" w:rsidRPr="00025A78" w:rsidRDefault="00583BD3" w:rsidP="000727E8">
            <w:pPr>
              <w:jc w:val="center"/>
              <w:rPr>
                <w:rFonts w:ascii="Garamond" w:hAnsi="Garamond"/>
                <w:color w:val="000000"/>
                <w:sz w:val="20"/>
                <w:szCs w:val="20"/>
              </w:rPr>
            </w:pPr>
            <w:r w:rsidRPr="00025A78">
              <w:rPr>
                <w:rFonts w:ascii="Garamond" w:hAnsi="Garamond" w:hint="eastAsia"/>
                <w:color w:val="000000"/>
                <w:sz w:val="20"/>
                <w:szCs w:val="20"/>
              </w:rPr>
              <w:t>0.0591</w:t>
            </w:r>
          </w:p>
        </w:tc>
        <w:tc>
          <w:tcPr>
            <w:tcW w:w="0" w:type="auto"/>
            <w:shd w:val="clear" w:color="auto" w:fill="auto"/>
            <w:noWrap/>
            <w:vAlign w:val="center"/>
            <w:hideMark/>
          </w:tcPr>
          <w:p w:rsidR="00583BD3" w:rsidRPr="00025A78" w:rsidRDefault="00583BD3" w:rsidP="000727E8">
            <w:pPr>
              <w:jc w:val="center"/>
              <w:rPr>
                <w:rFonts w:ascii="Garamond" w:hAnsi="Garamond"/>
                <w:color w:val="000000"/>
                <w:sz w:val="20"/>
                <w:szCs w:val="20"/>
              </w:rPr>
            </w:pPr>
            <w:r w:rsidRPr="00025A78">
              <w:rPr>
                <w:rFonts w:ascii="Garamond" w:hAnsi="Garamond" w:hint="eastAsia"/>
                <w:color w:val="000000"/>
                <w:sz w:val="20"/>
                <w:szCs w:val="20"/>
              </w:rPr>
              <w:t>0.0589</w:t>
            </w:r>
          </w:p>
        </w:tc>
        <w:tc>
          <w:tcPr>
            <w:tcW w:w="1048" w:type="dxa"/>
            <w:shd w:val="clear" w:color="auto" w:fill="auto"/>
            <w:noWrap/>
            <w:vAlign w:val="center"/>
            <w:hideMark/>
          </w:tcPr>
          <w:p w:rsidR="00583BD3" w:rsidRPr="00025A78" w:rsidRDefault="00583BD3" w:rsidP="000727E8">
            <w:pPr>
              <w:jc w:val="center"/>
              <w:rPr>
                <w:rFonts w:ascii="Garamond" w:hAnsi="Garamond"/>
                <w:color w:val="000000"/>
                <w:sz w:val="20"/>
                <w:szCs w:val="20"/>
              </w:rPr>
            </w:pPr>
            <w:r w:rsidRPr="00025A78">
              <w:rPr>
                <w:rFonts w:ascii="Garamond" w:hAnsi="Garamond" w:hint="eastAsia"/>
                <w:color w:val="000000"/>
                <w:sz w:val="20"/>
                <w:szCs w:val="20"/>
              </w:rPr>
              <w:t>0.0594</w:t>
            </w:r>
          </w:p>
        </w:tc>
      </w:tr>
      <w:tr w:rsidR="00583BD3" w:rsidRPr="00B454FC" w:rsidTr="000727E8">
        <w:trPr>
          <w:trHeight w:hRule="exact" w:val="255"/>
        </w:trPr>
        <w:tc>
          <w:tcPr>
            <w:tcW w:w="0" w:type="auto"/>
            <w:shd w:val="clear" w:color="auto" w:fill="auto"/>
            <w:noWrap/>
            <w:hideMark/>
          </w:tcPr>
          <w:p w:rsidR="00583BD3" w:rsidRPr="00905DE4" w:rsidRDefault="00583BD3" w:rsidP="000727E8">
            <w:pPr>
              <w:jc w:val="center"/>
              <w:rPr>
                <w:rFonts w:ascii="Garamond" w:hAnsi="Garamond" w:cs="Calibri"/>
                <w:color w:val="000000" w:themeColor="text1"/>
                <w:sz w:val="20"/>
                <w:szCs w:val="20"/>
              </w:rPr>
            </w:pPr>
            <w:r w:rsidRPr="00905DE4">
              <w:rPr>
                <w:rFonts w:ascii="Garamond" w:hAnsi="Garamond" w:cs="Calibri"/>
                <w:color w:val="000000" w:themeColor="text1"/>
                <w:sz w:val="20"/>
                <w:szCs w:val="20"/>
              </w:rPr>
              <w:t>No. of Observation</w:t>
            </w:r>
          </w:p>
        </w:tc>
        <w:tc>
          <w:tcPr>
            <w:tcW w:w="0" w:type="auto"/>
            <w:shd w:val="clear" w:color="auto" w:fill="auto"/>
            <w:noWrap/>
            <w:vAlign w:val="bottom"/>
            <w:hideMark/>
          </w:tcPr>
          <w:p w:rsidR="00583BD3" w:rsidRPr="00905DE4" w:rsidRDefault="00583BD3" w:rsidP="000727E8">
            <w:pPr>
              <w:jc w:val="center"/>
              <w:rPr>
                <w:rFonts w:ascii="Garamond" w:hAnsi="Garamond" w:cs="Calibri"/>
                <w:color w:val="000000" w:themeColor="text1"/>
                <w:sz w:val="20"/>
                <w:szCs w:val="20"/>
              </w:rPr>
            </w:pPr>
            <w:r w:rsidRPr="00905DE4">
              <w:rPr>
                <w:rFonts w:ascii="Garamond" w:hAnsi="Garamond"/>
                <w:color w:val="000000"/>
                <w:sz w:val="20"/>
                <w:szCs w:val="20"/>
              </w:rPr>
              <w:t>3,668</w:t>
            </w:r>
          </w:p>
        </w:tc>
        <w:tc>
          <w:tcPr>
            <w:tcW w:w="0" w:type="auto"/>
            <w:shd w:val="clear" w:color="auto" w:fill="auto"/>
            <w:noWrap/>
            <w:vAlign w:val="bottom"/>
            <w:hideMark/>
          </w:tcPr>
          <w:p w:rsidR="00583BD3" w:rsidRPr="00905DE4" w:rsidRDefault="00583BD3" w:rsidP="000727E8">
            <w:pPr>
              <w:jc w:val="center"/>
              <w:rPr>
                <w:rFonts w:ascii="Garamond" w:hAnsi="Garamond" w:cs="Calibri"/>
                <w:color w:val="000000" w:themeColor="text1"/>
                <w:sz w:val="20"/>
                <w:szCs w:val="20"/>
              </w:rPr>
            </w:pPr>
            <w:r w:rsidRPr="00905DE4">
              <w:rPr>
                <w:rFonts w:ascii="Garamond" w:hAnsi="Garamond"/>
                <w:color w:val="000000"/>
                <w:sz w:val="20"/>
                <w:szCs w:val="20"/>
              </w:rPr>
              <w:t>3,668</w:t>
            </w:r>
          </w:p>
        </w:tc>
        <w:tc>
          <w:tcPr>
            <w:tcW w:w="0" w:type="auto"/>
            <w:shd w:val="clear" w:color="auto" w:fill="auto"/>
            <w:noWrap/>
            <w:vAlign w:val="bottom"/>
            <w:hideMark/>
          </w:tcPr>
          <w:p w:rsidR="00583BD3" w:rsidRPr="00905DE4" w:rsidRDefault="00583BD3" w:rsidP="000727E8">
            <w:pPr>
              <w:jc w:val="center"/>
              <w:rPr>
                <w:rFonts w:ascii="Garamond" w:hAnsi="Garamond" w:cs="Calibri"/>
                <w:color w:val="000000" w:themeColor="text1"/>
                <w:sz w:val="20"/>
                <w:szCs w:val="20"/>
              </w:rPr>
            </w:pPr>
            <w:r w:rsidRPr="00905DE4">
              <w:rPr>
                <w:rFonts w:ascii="Garamond" w:hAnsi="Garamond"/>
                <w:color w:val="000000"/>
                <w:sz w:val="20"/>
                <w:szCs w:val="20"/>
              </w:rPr>
              <w:t>3,668</w:t>
            </w:r>
          </w:p>
        </w:tc>
        <w:tc>
          <w:tcPr>
            <w:tcW w:w="0" w:type="auto"/>
            <w:shd w:val="clear" w:color="auto" w:fill="auto"/>
            <w:noWrap/>
            <w:vAlign w:val="bottom"/>
            <w:hideMark/>
          </w:tcPr>
          <w:p w:rsidR="00583BD3" w:rsidRPr="00905DE4" w:rsidRDefault="00583BD3" w:rsidP="000727E8">
            <w:pPr>
              <w:jc w:val="center"/>
              <w:rPr>
                <w:rFonts w:ascii="Garamond" w:hAnsi="Garamond" w:cs="Calibri"/>
                <w:color w:val="000000" w:themeColor="text1"/>
                <w:sz w:val="20"/>
                <w:szCs w:val="20"/>
              </w:rPr>
            </w:pPr>
            <w:r w:rsidRPr="00905DE4">
              <w:rPr>
                <w:rFonts w:ascii="Garamond" w:hAnsi="Garamond"/>
                <w:color w:val="000000"/>
                <w:sz w:val="20"/>
                <w:szCs w:val="20"/>
              </w:rPr>
              <w:t>3,668</w:t>
            </w:r>
          </w:p>
        </w:tc>
        <w:tc>
          <w:tcPr>
            <w:tcW w:w="0" w:type="auto"/>
            <w:shd w:val="clear" w:color="auto" w:fill="auto"/>
            <w:noWrap/>
            <w:vAlign w:val="bottom"/>
            <w:hideMark/>
          </w:tcPr>
          <w:p w:rsidR="00583BD3" w:rsidRPr="00905DE4" w:rsidRDefault="00583BD3" w:rsidP="000727E8">
            <w:pPr>
              <w:jc w:val="center"/>
              <w:rPr>
                <w:rFonts w:ascii="Garamond" w:hAnsi="Garamond" w:cs="Calibri"/>
                <w:color w:val="000000" w:themeColor="text1"/>
                <w:sz w:val="20"/>
                <w:szCs w:val="20"/>
              </w:rPr>
            </w:pPr>
            <w:r w:rsidRPr="00905DE4">
              <w:rPr>
                <w:rFonts w:ascii="Garamond" w:hAnsi="Garamond"/>
                <w:color w:val="000000"/>
                <w:sz w:val="20"/>
                <w:szCs w:val="20"/>
              </w:rPr>
              <w:t>3,668</w:t>
            </w:r>
          </w:p>
        </w:tc>
        <w:tc>
          <w:tcPr>
            <w:tcW w:w="1048" w:type="dxa"/>
            <w:shd w:val="clear" w:color="auto" w:fill="auto"/>
            <w:noWrap/>
            <w:vAlign w:val="bottom"/>
            <w:hideMark/>
          </w:tcPr>
          <w:p w:rsidR="00583BD3" w:rsidRPr="00905DE4" w:rsidRDefault="00583BD3" w:rsidP="000727E8">
            <w:pPr>
              <w:jc w:val="center"/>
              <w:rPr>
                <w:rFonts w:ascii="Garamond" w:hAnsi="Garamond" w:cs="Calibri"/>
                <w:color w:val="000000" w:themeColor="text1"/>
                <w:sz w:val="20"/>
                <w:szCs w:val="20"/>
              </w:rPr>
            </w:pPr>
            <w:r w:rsidRPr="00905DE4">
              <w:rPr>
                <w:rFonts w:ascii="Garamond" w:hAnsi="Garamond"/>
                <w:color w:val="000000"/>
                <w:sz w:val="20"/>
                <w:szCs w:val="20"/>
              </w:rPr>
              <w:t>3,668</w:t>
            </w:r>
          </w:p>
        </w:tc>
      </w:tr>
      <w:tr w:rsidR="00583BD3" w:rsidRPr="00B454FC" w:rsidTr="000727E8">
        <w:trPr>
          <w:trHeight w:hRule="exact" w:val="255"/>
        </w:trPr>
        <w:tc>
          <w:tcPr>
            <w:tcW w:w="0" w:type="auto"/>
            <w:shd w:val="clear" w:color="auto" w:fill="auto"/>
            <w:noWrap/>
            <w:hideMark/>
          </w:tcPr>
          <w:p w:rsidR="00583BD3" w:rsidRPr="00905DE4" w:rsidRDefault="00583BD3" w:rsidP="000727E8">
            <w:pPr>
              <w:jc w:val="center"/>
              <w:rPr>
                <w:rFonts w:ascii="Garamond" w:hAnsi="Garamond" w:cs="Calibri"/>
                <w:color w:val="000000" w:themeColor="text1"/>
                <w:sz w:val="20"/>
                <w:szCs w:val="20"/>
              </w:rPr>
            </w:pPr>
            <w:r w:rsidRPr="00905DE4">
              <w:rPr>
                <w:rFonts w:ascii="Garamond" w:hAnsi="Garamond" w:cs="Calibri"/>
                <w:color w:val="000000" w:themeColor="text1"/>
                <w:sz w:val="20"/>
                <w:szCs w:val="20"/>
              </w:rPr>
              <w:t>No. of Female CFOs</w:t>
            </w:r>
          </w:p>
        </w:tc>
        <w:tc>
          <w:tcPr>
            <w:tcW w:w="0" w:type="auto"/>
            <w:shd w:val="clear" w:color="auto" w:fill="auto"/>
            <w:noWrap/>
            <w:vAlign w:val="center"/>
            <w:hideMark/>
          </w:tcPr>
          <w:p w:rsidR="00583BD3" w:rsidRPr="00905DE4" w:rsidRDefault="00583BD3" w:rsidP="000727E8">
            <w:pPr>
              <w:jc w:val="center"/>
              <w:rPr>
                <w:rFonts w:ascii="Garamond" w:hAnsi="Garamond" w:cs="Calibri"/>
                <w:color w:val="000000" w:themeColor="text1"/>
                <w:sz w:val="20"/>
                <w:szCs w:val="20"/>
              </w:rPr>
            </w:pPr>
            <w:r w:rsidRPr="00905DE4">
              <w:rPr>
                <w:rFonts w:ascii="Garamond" w:hAnsi="Garamond"/>
                <w:color w:val="000000"/>
                <w:sz w:val="20"/>
                <w:szCs w:val="20"/>
              </w:rPr>
              <w:t>212</w:t>
            </w:r>
          </w:p>
        </w:tc>
        <w:tc>
          <w:tcPr>
            <w:tcW w:w="0" w:type="auto"/>
            <w:shd w:val="clear" w:color="auto" w:fill="auto"/>
            <w:noWrap/>
            <w:vAlign w:val="center"/>
            <w:hideMark/>
          </w:tcPr>
          <w:p w:rsidR="00583BD3" w:rsidRPr="00905DE4" w:rsidRDefault="00583BD3" w:rsidP="000727E8">
            <w:pPr>
              <w:jc w:val="center"/>
              <w:rPr>
                <w:rFonts w:ascii="Garamond" w:hAnsi="Garamond" w:cs="Calibri"/>
                <w:color w:val="000000" w:themeColor="text1"/>
                <w:sz w:val="20"/>
                <w:szCs w:val="20"/>
              </w:rPr>
            </w:pPr>
            <w:r w:rsidRPr="00905DE4">
              <w:rPr>
                <w:rFonts w:ascii="Garamond" w:hAnsi="Garamond"/>
                <w:color w:val="000000"/>
                <w:sz w:val="20"/>
                <w:szCs w:val="20"/>
              </w:rPr>
              <w:t>212</w:t>
            </w:r>
          </w:p>
        </w:tc>
        <w:tc>
          <w:tcPr>
            <w:tcW w:w="0" w:type="auto"/>
            <w:shd w:val="clear" w:color="auto" w:fill="auto"/>
            <w:noWrap/>
            <w:vAlign w:val="center"/>
            <w:hideMark/>
          </w:tcPr>
          <w:p w:rsidR="00583BD3" w:rsidRPr="00905DE4" w:rsidRDefault="00583BD3" w:rsidP="000727E8">
            <w:pPr>
              <w:jc w:val="center"/>
              <w:rPr>
                <w:rFonts w:ascii="Garamond" w:hAnsi="Garamond" w:cs="Calibri"/>
                <w:color w:val="000000" w:themeColor="text1"/>
                <w:sz w:val="20"/>
                <w:szCs w:val="20"/>
              </w:rPr>
            </w:pPr>
            <w:r w:rsidRPr="00905DE4">
              <w:rPr>
                <w:rFonts w:ascii="Garamond" w:hAnsi="Garamond"/>
                <w:color w:val="000000"/>
                <w:sz w:val="20"/>
                <w:szCs w:val="20"/>
              </w:rPr>
              <w:t>212</w:t>
            </w:r>
          </w:p>
        </w:tc>
        <w:tc>
          <w:tcPr>
            <w:tcW w:w="0" w:type="auto"/>
            <w:shd w:val="clear" w:color="auto" w:fill="auto"/>
            <w:noWrap/>
            <w:vAlign w:val="center"/>
            <w:hideMark/>
          </w:tcPr>
          <w:p w:rsidR="00583BD3" w:rsidRPr="00905DE4" w:rsidRDefault="00583BD3" w:rsidP="000727E8">
            <w:pPr>
              <w:jc w:val="center"/>
              <w:rPr>
                <w:rFonts w:ascii="Garamond" w:hAnsi="Garamond" w:cs="Calibri"/>
                <w:color w:val="000000" w:themeColor="text1"/>
                <w:sz w:val="20"/>
                <w:szCs w:val="20"/>
              </w:rPr>
            </w:pPr>
            <w:r w:rsidRPr="00905DE4">
              <w:rPr>
                <w:rFonts w:ascii="Garamond" w:hAnsi="Garamond"/>
                <w:color w:val="000000"/>
                <w:sz w:val="20"/>
                <w:szCs w:val="20"/>
              </w:rPr>
              <w:t>212</w:t>
            </w:r>
          </w:p>
        </w:tc>
        <w:tc>
          <w:tcPr>
            <w:tcW w:w="0" w:type="auto"/>
            <w:shd w:val="clear" w:color="auto" w:fill="auto"/>
            <w:noWrap/>
            <w:vAlign w:val="center"/>
            <w:hideMark/>
          </w:tcPr>
          <w:p w:rsidR="00583BD3" w:rsidRPr="00905DE4" w:rsidRDefault="00583BD3" w:rsidP="000727E8">
            <w:pPr>
              <w:jc w:val="center"/>
              <w:rPr>
                <w:rFonts w:ascii="Garamond" w:hAnsi="Garamond" w:cs="Calibri"/>
                <w:color w:val="000000" w:themeColor="text1"/>
                <w:sz w:val="20"/>
                <w:szCs w:val="20"/>
              </w:rPr>
            </w:pPr>
            <w:r w:rsidRPr="00905DE4">
              <w:rPr>
                <w:rFonts w:ascii="Garamond" w:hAnsi="Garamond"/>
                <w:color w:val="000000"/>
                <w:sz w:val="20"/>
                <w:szCs w:val="20"/>
              </w:rPr>
              <w:t>212</w:t>
            </w:r>
          </w:p>
        </w:tc>
        <w:tc>
          <w:tcPr>
            <w:tcW w:w="1048" w:type="dxa"/>
            <w:shd w:val="clear" w:color="auto" w:fill="auto"/>
            <w:noWrap/>
            <w:vAlign w:val="center"/>
            <w:hideMark/>
          </w:tcPr>
          <w:p w:rsidR="00583BD3" w:rsidRPr="00905DE4" w:rsidRDefault="00583BD3" w:rsidP="000727E8">
            <w:pPr>
              <w:jc w:val="center"/>
              <w:rPr>
                <w:rFonts w:ascii="Garamond" w:hAnsi="Garamond" w:cs="Calibri"/>
                <w:color w:val="000000" w:themeColor="text1"/>
                <w:sz w:val="20"/>
                <w:szCs w:val="20"/>
              </w:rPr>
            </w:pPr>
            <w:r w:rsidRPr="00905DE4">
              <w:rPr>
                <w:rFonts w:ascii="Garamond" w:hAnsi="Garamond"/>
                <w:color w:val="000000"/>
                <w:sz w:val="20"/>
                <w:szCs w:val="20"/>
              </w:rPr>
              <w:t>212</w:t>
            </w:r>
          </w:p>
        </w:tc>
      </w:tr>
      <w:tr w:rsidR="00583BD3" w:rsidRPr="00B454FC" w:rsidTr="000727E8">
        <w:trPr>
          <w:trHeight w:hRule="exact" w:val="255"/>
        </w:trPr>
        <w:tc>
          <w:tcPr>
            <w:tcW w:w="0" w:type="auto"/>
            <w:shd w:val="clear" w:color="auto" w:fill="auto"/>
            <w:noWrap/>
            <w:hideMark/>
          </w:tcPr>
          <w:p w:rsidR="00583BD3" w:rsidRPr="00905DE4" w:rsidRDefault="00583BD3" w:rsidP="000727E8">
            <w:pPr>
              <w:jc w:val="center"/>
              <w:rPr>
                <w:rFonts w:ascii="Garamond" w:hAnsi="Garamond" w:cs="Calibri"/>
                <w:color w:val="000000" w:themeColor="text1"/>
                <w:sz w:val="20"/>
                <w:szCs w:val="20"/>
              </w:rPr>
            </w:pPr>
            <w:r>
              <w:rPr>
                <w:rFonts w:ascii="Garamond" w:hAnsi="Garamond" w:cs="Calibri"/>
                <w:color w:val="000000" w:themeColor="text1"/>
                <w:sz w:val="20"/>
                <w:szCs w:val="20"/>
              </w:rPr>
              <w:t>Average Leverage</w:t>
            </w:r>
          </w:p>
        </w:tc>
        <w:tc>
          <w:tcPr>
            <w:tcW w:w="0" w:type="auto"/>
            <w:shd w:val="clear" w:color="auto" w:fill="auto"/>
            <w:noWrap/>
            <w:vAlign w:val="center"/>
            <w:hideMark/>
          </w:tcPr>
          <w:p w:rsidR="00583BD3" w:rsidRPr="006B742C" w:rsidRDefault="00583BD3" w:rsidP="000727E8">
            <w:pPr>
              <w:jc w:val="center"/>
              <w:rPr>
                <w:rFonts w:ascii="Garamond" w:hAnsi="Garamond" w:cs="Calibri"/>
                <w:color w:val="000000" w:themeColor="text1"/>
                <w:sz w:val="20"/>
                <w:szCs w:val="20"/>
              </w:rPr>
            </w:pPr>
            <w:r w:rsidRPr="006B742C">
              <w:rPr>
                <w:rFonts w:ascii="Garamond" w:hAnsi="Garamond" w:cs="Calibri"/>
                <w:color w:val="000000" w:themeColor="text1"/>
                <w:sz w:val="20"/>
                <w:szCs w:val="20"/>
              </w:rPr>
              <w:t>0.2673</w:t>
            </w:r>
          </w:p>
        </w:tc>
        <w:tc>
          <w:tcPr>
            <w:tcW w:w="0" w:type="auto"/>
            <w:shd w:val="clear" w:color="auto" w:fill="auto"/>
            <w:noWrap/>
            <w:vAlign w:val="center"/>
            <w:hideMark/>
          </w:tcPr>
          <w:p w:rsidR="00583BD3" w:rsidRPr="006B742C" w:rsidRDefault="00583BD3" w:rsidP="000727E8">
            <w:pPr>
              <w:jc w:val="center"/>
              <w:rPr>
                <w:rFonts w:ascii="Garamond" w:hAnsi="Garamond" w:cs="Calibri"/>
                <w:color w:val="000000" w:themeColor="text1"/>
                <w:sz w:val="20"/>
                <w:szCs w:val="20"/>
              </w:rPr>
            </w:pPr>
            <w:r w:rsidRPr="006B742C">
              <w:rPr>
                <w:rFonts w:ascii="Garamond" w:hAnsi="Garamond" w:cs="Calibri"/>
                <w:color w:val="000000" w:themeColor="text1"/>
                <w:sz w:val="20"/>
                <w:szCs w:val="20"/>
              </w:rPr>
              <w:t>0.2673</w:t>
            </w:r>
          </w:p>
        </w:tc>
        <w:tc>
          <w:tcPr>
            <w:tcW w:w="0" w:type="auto"/>
            <w:shd w:val="clear" w:color="auto" w:fill="auto"/>
            <w:noWrap/>
            <w:vAlign w:val="center"/>
            <w:hideMark/>
          </w:tcPr>
          <w:p w:rsidR="00583BD3" w:rsidRPr="006B742C" w:rsidRDefault="00583BD3" w:rsidP="000727E8">
            <w:pPr>
              <w:jc w:val="center"/>
              <w:rPr>
                <w:rFonts w:ascii="Garamond" w:hAnsi="Garamond" w:cs="Calibri"/>
                <w:color w:val="000000" w:themeColor="text1"/>
                <w:sz w:val="20"/>
                <w:szCs w:val="20"/>
              </w:rPr>
            </w:pPr>
            <w:r w:rsidRPr="006B742C">
              <w:rPr>
                <w:rFonts w:ascii="Garamond" w:hAnsi="Garamond" w:cs="Calibri"/>
                <w:color w:val="000000" w:themeColor="text1"/>
                <w:sz w:val="20"/>
                <w:szCs w:val="20"/>
              </w:rPr>
              <w:t>0.2673</w:t>
            </w:r>
          </w:p>
        </w:tc>
        <w:tc>
          <w:tcPr>
            <w:tcW w:w="0" w:type="auto"/>
            <w:shd w:val="clear" w:color="auto" w:fill="auto"/>
            <w:noWrap/>
            <w:vAlign w:val="center"/>
            <w:hideMark/>
          </w:tcPr>
          <w:p w:rsidR="00583BD3" w:rsidRPr="006B742C" w:rsidRDefault="00583BD3" w:rsidP="000727E8">
            <w:pPr>
              <w:jc w:val="center"/>
              <w:rPr>
                <w:rFonts w:ascii="Garamond" w:hAnsi="Garamond" w:cs="Calibri"/>
                <w:color w:val="000000" w:themeColor="text1"/>
                <w:sz w:val="20"/>
                <w:szCs w:val="20"/>
              </w:rPr>
            </w:pPr>
            <w:r w:rsidRPr="006B742C">
              <w:rPr>
                <w:rFonts w:ascii="Garamond" w:hAnsi="Garamond" w:cs="Calibri"/>
                <w:color w:val="000000" w:themeColor="text1"/>
                <w:sz w:val="20"/>
                <w:szCs w:val="20"/>
              </w:rPr>
              <w:t>0.2673</w:t>
            </w:r>
          </w:p>
        </w:tc>
        <w:tc>
          <w:tcPr>
            <w:tcW w:w="0" w:type="auto"/>
            <w:shd w:val="clear" w:color="auto" w:fill="auto"/>
            <w:noWrap/>
            <w:vAlign w:val="center"/>
            <w:hideMark/>
          </w:tcPr>
          <w:p w:rsidR="00583BD3" w:rsidRPr="006B742C" w:rsidRDefault="00583BD3" w:rsidP="000727E8">
            <w:pPr>
              <w:jc w:val="center"/>
              <w:rPr>
                <w:rFonts w:ascii="Garamond" w:hAnsi="Garamond" w:cs="Calibri"/>
                <w:color w:val="000000" w:themeColor="text1"/>
                <w:sz w:val="20"/>
                <w:szCs w:val="20"/>
              </w:rPr>
            </w:pPr>
            <w:r w:rsidRPr="006B742C">
              <w:rPr>
                <w:rFonts w:ascii="Garamond" w:hAnsi="Garamond" w:cs="Calibri"/>
                <w:color w:val="000000" w:themeColor="text1"/>
                <w:sz w:val="20"/>
                <w:szCs w:val="20"/>
              </w:rPr>
              <w:t>0.2673</w:t>
            </w:r>
          </w:p>
        </w:tc>
        <w:tc>
          <w:tcPr>
            <w:tcW w:w="1048" w:type="dxa"/>
            <w:shd w:val="clear" w:color="auto" w:fill="auto"/>
            <w:noWrap/>
            <w:vAlign w:val="center"/>
            <w:hideMark/>
          </w:tcPr>
          <w:p w:rsidR="00583BD3" w:rsidRPr="006B742C" w:rsidRDefault="00583BD3" w:rsidP="000727E8">
            <w:pPr>
              <w:jc w:val="center"/>
              <w:rPr>
                <w:rFonts w:ascii="Garamond" w:hAnsi="Garamond" w:cs="Calibri"/>
                <w:color w:val="000000" w:themeColor="text1"/>
                <w:sz w:val="20"/>
                <w:szCs w:val="20"/>
              </w:rPr>
            </w:pPr>
            <w:r w:rsidRPr="006B742C">
              <w:rPr>
                <w:rFonts w:ascii="Garamond" w:hAnsi="Garamond" w:cs="Calibri"/>
                <w:color w:val="000000" w:themeColor="text1"/>
                <w:sz w:val="20"/>
                <w:szCs w:val="20"/>
              </w:rPr>
              <w:t>0.2673</w:t>
            </w:r>
          </w:p>
        </w:tc>
      </w:tr>
    </w:tbl>
    <w:p w:rsidR="00583BD3" w:rsidRDefault="00583BD3" w:rsidP="00583BD3">
      <w:pPr>
        <w:rPr>
          <w:rFonts w:ascii="Garamond" w:hAnsi="Garamond"/>
          <w:b/>
          <w:color w:val="000000" w:themeColor="text1"/>
          <w:sz w:val="20"/>
        </w:rPr>
      </w:pPr>
    </w:p>
    <w:p w:rsidR="00583BD3" w:rsidRDefault="00583BD3" w:rsidP="00583BD3">
      <w:pPr>
        <w:rPr>
          <w:rFonts w:ascii="Garamond" w:hAnsi="Garamond"/>
          <w:b/>
          <w:color w:val="000000" w:themeColor="text1"/>
          <w:sz w:val="20"/>
        </w:rPr>
      </w:pPr>
    </w:p>
    <w:p w:rsidR="00583BD3" w:rsidRDefault="00583BD3" w:rsidP="00583BD3">
      <w:pPr>
        <w:rPr>
          <w:rFonts w:ascii="Garamond" w:hAnsi="Garamond"/>
          <w:b/>
          <w:color w:val="000000" w:themeColor="text1"/>
          <w:sz w:val="20"/>
        </w:rPr>
      </w:pPr>
    </w:p>
    <w:p w:rsidR="00583BD3" w:rsidRDefault="00583BD3" w:rsidP="00583BD3">
      <w:pPr>
        <w:rPr>
          <w:rFonts w:ascii="Garamond" w:hAnsi="Garamond"/>
          <w:b/>
          <w:color w:val="000000" w:themeColor="text1"/>
          <w:sz w:val="20"/>
        </w:rPr>
      </w:pPr>
      <w:r w:rsidRPr="0027464C">
        <w:rPr>
          <w:rFonts w:ascii="Garamond" w:hAnsi="Garamond"/>
          <w:b/>
          <w:color w:val="000000" w:themeColor="text1"/>
          <w:sz w:val="20"/>
        </w:rPr>
        <w:lastRenderedPageBreak/>
        <w:t xml:space="preserve">Table </w:t>
      </w:r>
      <w:r>
        <w:rPr>
          <w:rFonts w:ascii="Garamond" w:hAnsi="Garamond"/>
          <w:b/>
          <w:color w:val="000000" w:themeColor="text1"/>
          <w:sz w:val="20"/>
        </w:rPr>
        <w:t xml:space="preserve">8 – </w:t>
      </w:r>
      <w:r w:rsidRPr="00CB1C8E">
        <w:rPr>
          <w:rFonts w:ascii="Garamond" w:hAnsi="Garamond"/>
          <w:b/>
          <w:i/>
          <w:iCs/>
          <w:color w:val="000000" w:themeColor="text1"/>
          <w:sz w:val="20"/>
        </w:rPr>
        <w:t>continued</w:t>
      </w:r>
    </w:p>
    <w:p w:rsidR="00583BD3" w:rsidRDefault="00583BD3" w:rsidP="00583BD3">
      <w:pPr>
        <w:rPr>
          <w:rFonts w:ascii="Garamond" w:hAnsi="Garamond"/>
          <w:b/>
          <w:color w:val="000000" w:themeColor="text1"/>
          <w:sz w:val="20"/>
        </w:rPr>
      </w:pPr>
    </w:p>
    <w:tbl>
      <w:tblPr>
        <w:tblW w:w="0" w:type="auto"/>
        <w:tblBorders>
          <w:top w:val="single" w:sz="4" w:space="0" w:color="auto"/>
          <w:bottom w:val="single" w:sz="4" w:space="0" w:color="auto"/>
        </w:tblBorders>
        <w:tblLook w:val="04A0"/>
      </w:tblPr>
      <w:tblGrid>
        <w:gridCol w:w="2620"/>
        <w:gridCol w:w="1048"/>
        <w:gridCol w:w="1048"/>
        <w:gridCol w:w="1048"/>
        <w:gridCol w:w="1048"/>
        <w:gridCol w:w="1048"/>
        <w:gridCol w:w="1048"/>
      </w:tblGrid>
      <w:tr w:rsidR="00583BD3" w:rsidRPr="00B454FC" w:rsidTr="000727E8">
        <w:trPr>
          <w:trHeight w:hRule="exact" w:val="255"/>
        </w:trPr>
        <w:tc>
          <w:tcPr>
            <w:tcW w:w="0" w:type="auto"/>
            <w:tcBorders>
              <w:top w:val="single" w:sz="4" w:space="0" w:color="auto"/>
              <w:bottom w:val="single" w:sz="4" w:space="0" w:color="auto"/>
            </w:tcBorders>
            <w:shd w:val="clear" w:color="auto" w:fill="auto"/>
            <w:noWrap/>
            <w:hideMark/>
          </w:tcPr>
          <w:p w:rsidR="00583BD3" w:rsidRPr="00062AB7" w:rsidRDefault="00583BD3" w:rsidP="000727E8">
            <w:pPr>
              <w:rPr>
                <w:rFonts w:ascii="Garamond" w:hAnsi="Garamond"/>
                <w:color w:val="000000" w:themeColor="text1"/>
                <w:sz w:val="20"/>
                <w:szCs w:val="20"/>
              </w:rPr>
            </w:pPr>
            <w:r w:rsidRPr="00062AB7">
              <w:rPr>
                <w:rFonts w:ascii="Garamond" w:hAnsi="Garamond"/>
                <w:color w:val="000000" w:themeColor="text1"/>
                <w:sz w:val="20"/>
                <w:szCs w:val="20"/>
              </w:rPr>
              <w:t>Externally Appointing CFO</w:t>
            </w:r>
          </w:p>
        </w:tc>
        <w:tc>
          <w:tcPr>
            <w:tcW w:w="0" w:type="auto"/>
            <w:tcBorders>
              <w:top w:val="single" w:sz="4" w:space="0" w:color="auto"/>
              <w:bottom w:val="single" w:sz="4" w:space="0" w:color="auto"/>
            </w:tcBorders>
            <w:shd w:val="clear" w:color="auto" w:fill="auto"/>
            <w:noWrap/>
            <w:hideMark/>
          </w:tcPr>
          <w:p w:rsidR="00583BD3" w:rsidRPr="00062AB7" w:rsidRDefault="00583BD3" w:rsidP="000727E8">
            <w:pPr>
              <w:jc w:val="center"/>
              <w:rPr>
                <w:rFonts w:ascii="Garamond" w:hAnsi="Garamond" w:cs="Calibri"/>
                <w:color w:val="000000" w:themeColor="text1"/>
                <w:sz w:val="20"/>
                <w:szCs w:val="20"/>
              </w:rPr>
            </w:pPr>
            <w:r w:rsidRPr="00062AB7">
              <w:rPr>
                <w:rFonts w:ascii="Garamond" w:hAnsi="Garamond" w:cs="Calibri"/>
                <w:color w:val="000000" w:themeColor="text1"/>
                <w:sz w:val="20"/>
                <w:szCs w:val="20"/>
              </w:rPr>
              <w:t>(1)</w:t>
            </w:r>
          </w:p>
        </w:tc>
        <w:tc>
          <w:tcPr>
            <w:tcW w:w="0" w:type="auto"/>
            <w:tcBorders>
              <w:top w:val="single" w:sz="4" w:space="0" w:color="auto"/>
              <w:bottom w:val="single" w:sz="4" w:space="0" w:color="auto"/>
            </w:tcBorders>
            <w:shd w:val="clear" w:color="auto" w:fill="auto"/>
            <w:noWrap/>
            <w:hideMark/>
          </w:tcPr>
          <w:p w:rsidR="00583BD3" w:rsidRPr="00062AB7" w:rsidRDefault="00583BD3" w:rsidP="000727E8">
            <w:pPr>
              <w:jc w:val="center"/>
              <w:rPr>
                <w:rFonts w:ascii="Garamond" w:hAnsi="Garamond" w:cs="Calibri"/>
                <w:color w:val="000000" w:themeColor="text1"/>
                <w:sz w:val="20"/>
                <w:szCs w:val="20"/>
              </w:rPr>
            </w:pPr>
            <w:r w:rsidRPr="00062AB7">
              <w:rPr>
                <w:rFonts w:ascii="Garamond" w:hAnsi="Garamond" w:cs="Calibri"/>
                <w:color w:val="000000" w:themeColor="text1"/>
                <w:sz w:val="20"/>
                <w:szCs w:val="20"/>
              </w:rPr>
              <w:t>(2)</w:t>
            </w:r>
          </w:p>
        </w:tc>
        <w:tc>
          <w:tcPr>
            <w:tcW w:w="0" w:type="auto"/>
            <w:tcBorders>
              <w:top w:val="single" w:sz="4" w:space="0" w:color="auto"/>
              <w:bottom w:val="single" w:sz="4" w:space="0" w:color="auto"/>
            </w:tcBorders>
            <w:shd w:val="clear" w:color="auto" w:fill="auto"/>
            <w:noWrap/>
            <w:hideMark/>
          </w:tcPr>
          <w:p w:rsidR="00583BD3" w:rsidRPr="00062AB7" w:rsidRDefault="00583BD3" w:rsidP="000727E8">
            <w:pPr>
              <w:jc w:val="center"/>
              <w:rPr>
                <w:rFonts w:ascii="Garamond" w:hAnsi="Garamond" w:cs="Calibri"/>
                <w:color w:val="000000" w:themeColor="text1"/>
                <w:sz w:val="20"/>
                <w:szCs w:val="20"/>
              </w:rPr>
            </w:pPr>
            <w:r w:rsidRPr="00062AB7">
              <w:rPr>
                <w:rFonts w:ascii="Garamond" w:hAnsi="Garamond" w:cs="Calibri"/>
                <w:color w:val="000000" w:themeColor="text1"/>
                <w:sz w:val="20"/>
                <w:szCs w:val="20"/>
              </w:rPr>
              <w:t>(3)</w:t>
            </w:r>
          </w:p>
        </w:tc>
        <w:tc>
          <w:tcPr>
            <w:tcW w:w="0" w:type="auto"/>
            <w:tcBorders>
              <w:top w:val="single" w:sz="4" w:space="0" w:color="auto"/>
              <w:bottom w:val="single" w:sz="4" w:space="0" w:color="auto"/>
            </w:tcBorders>
            <w:shd w:val="clear" w:color="auto" w:fill="auto"/>
            <w:noWrap/>
            <w:hideMark/>
          </w:tcPr>
          <w:p w:rsidR="00583BD3" w:rsidRPr="00062AB7" w:rsidRDefault="00583BD3" w:rsidP="000727E8">
            <w:pPr>
              <w:jc w:val="center"/>
              <w:rPr>
                <w:rFonts w:ascii="Garamond" w:hAnsi="Garamond" w:cs="Calibri"/>
                <w:color w:val="000000" w:themeColor="text1"/>
                <w:sz w:val="20"/>
                <w:szCs w:val="20"/>
              </w:rPr>
            </w:pPr>
            <w:r w:rsidRPr="00062AB7">
              <w:rPr>
                <w:rFonts w:ascii="Garamond" w:hAnsi="Garamond" w:cs="Calibri"/>
                <w:color w:val="000000" w:themeColor="text1"/>
                <w:sz w:val="20"/>
                <w:szCs w:val="20"/>
              </w:rPr>
              <w:t>(4)</w:t>
            </w:r>
          </w:p>
        </w:tc>
        <w:tc>
          <w:tcPr>
            <w:tcW w:w="0" w:type="auto"/>
            <w:tcBorders>
              <w:top w:val="single" w:sz="4" w:space="0" w:color="auto"/>
              <w:bottom w:val="single" w:sz="4" w:space="0" w:color="auto"/>
            </w:tcBorders>
            <w:shd w:val="clear" w:color="auto" w:fill="auto"/>
            <w:noWrap/>
            <w:hideMark/>
          </w:tcPr>
          <w:p w:rsidR="00583BD3" w:rsidRPr="00062AB7" w:rsidRDefault="00583BD3" w:rsidP="000727E8">
            <w:pPr>
              <w:jc w:val="center"/>
              <w:rPr>
                <w:rFonts w:ascii="Garamond" w:hAnsi="Garamond" w:cs="Calibri"/>
                <w:color w:val="000000" w:themeColor="text1"/>
                <w:sz w:val="20"/>
                <w:szCs w:val="20"/>
              </w:rPr>
            </w:pPr>
            <w:r w:rsidRPr="00062AB7">
              <w:rPr>
                <w:rFonts w:ascii="Garamond" w:hAnsi="Garamond" w:cs="Calibri"/>
                <w:color w:val="000000" w:themeColor="text1"/>
                <w:sz w:val="20"/>
                <w:szCs w:val="20"/>
              </w:rPr>
              <w:t>(5)</w:t>
            </w:r>
          </w:p>
        </w:tc>
        <w:tc>
          <w:tcPr>
            <w:tcW w:w="0" w:type="auto"/>
            <w:tcBorders>
              <w:top w:val="single" w:sz="4" w:space="0" w:color="auto"/>
              <w:bottom w:val="single" w:sz="4" w:space="0" w:color="auto"/>
            </w:tcBorders>
            <w:shd w:val="clear" w:color="auto" w:fill="auto"/>
            <w:noWrap/>
            <w:hideMark/>
          </w:tcPr>
          <w:p w:rsidR="00583BD3" w:rsidRPr="00062AB7" w:rsidRDefault="00583BD3" w:rsidP="000727E8">
            <w:pPr>
              <w:jc w:val="center"/>
              <w:rPr>
                <w:rFonts w:ascii="Garamond" w:hAnsi="Garamond" w:cs="Calibri"/>
                <w:color w:val="000000" w:themeColor="text1"/>
                <w:sz w:val="20"/>
                <w:szCs w:val="20"/>
              </w:rPr>
            </w:pPr>
            <w:r w:rsidRPr="00062AB7">
              <w:rPr>
                <w:rFonts w:ascii="Garamond" w:hAnsi="Garamond" w:cs="Calibri"/>
                <w:color w:val="000000" w:themeColor="text1"/>
                <w:sz w:val="20"/>
                <w:szCs w:val="20"/>
              </w:rPr>
              <w:t>(6)</w:t>
            </w:r>
          </w:p>
        </w:tc>
      </w:tr>
      <w:tr w:rsidR="00583BD3" w:rsidRPr="00025A78" w:rsidTr="000727E8">
        <w:trPr>
          <w:trHeight w:hRule="exact" w:val="255"/>
        </w:trPr>
        <w:tc>
          <w:tcPr>
            <w:tcW w:w="0" w:type="auto"/>
            <w:tcBorders>
              <w:top w:val="single" w:sz="4" w:space="0" w:color="auto"/>
            </w:tcBorders>
            <w:shd w:val="clear" w:color="auto" w:fill="auto"/>
            <w:noWrap/>
            <w:hideMark/>
          </w:tcPr>
          <w:p w:rsidR="00583BD3" w:rsidRPr="00591C68" w:rsidRDefault="00583BD3" w:rsidP="000727E8">
            <w:pPr>
              <w:jc w:val="center"/>
              <w:rPr>
                <w:rFonts w:ascii="Garamond" w:hAnsi="Garamond" w:cs="Calibri"/>
                <w:color w:val="FF0000"/>
                <w:sz w:val="20"/>
                <w:szCs w:val="20"/>
                <w:vertAlign w:val="subscript"/>
              </w:rPr>
            </w:pPr>
            <w:r w:rsidRPr="00591C68">
              <w:rPr>
                <w:rFonts w:ascii="Garamond" w:hAnsi="Garamond" w:cs="Calibri"/>
                <w:color w:val="000000"/>
                <w:sz w:val="20"/>
                <w:szCs w:val="20"/>
              </w:rPr>
              <w:t>CFO Female Dummy</w:t>
            </w:r>
            <w:r w:rsidRPr="00591C68">
              <w:rPr>
                <w:rFonts w:ascii="Garamond" w:hAnsi="Garamond" w:cs="Calibri"/>
                <w:color w:val="000000"/>
                <w:sz w:val="20"/>
                <w:szCs w:val="20"/>
                <w:vertAlign w:val="subscript"/>
              </w:rPr>
              <w:t>t-1</w:t>
            </w:r>
          </w:p>
        </w:tc>
        <w:tc>
          <w:tcPr>
            <w:tcW w:w="0" w:type="auto"/>
            <w:tcBorders>
              <w:top w:val="single" w:sz="4" w:space="0" w:color="auto"/>
            </w:tcBorders>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-0.0652**</w:t>
            </w:r>
          </w:p>
        </w:tc>
        <w:tc>
          <w:tcPr>
            <w:tcW w:w="0" w:type="auto"/>
            <w:tcBorders>
              <w:top w:val="single" w:sz="4" w:space="0" w:color="auto"/>
            </w:tcBorders>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-0.0634**</w:t>
            </w:r>
          </w:p>
        </w:tc>
        <w:tc>
          <w:tcPr>
            <w:tcW w:w="0" w:type="auto"/>
            <w:tcBorders>
              <w:top w:val="single" w:sz="4" w:space="0" w:color="auto"/>
            </w:tcBorders>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-0.0655**</w:t>
            </w:r>
          </w:p>
        </w:tc>
        <w:tc>
          <w:tcPr>
            <w:tcW w:w="0" w:type="auto"/>
            <w:tcBorders>
              <w:top w:val="single" w:sz="4" w:space="0" w:color="auto"/>
            </w:tcBorders>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-0.0650**</w:t>
            </w:r>
          </w:p>
        </w:tc>
        <w:tc>
          <w:tcPr>
            <w:tcW w:w="0" w:type="auto"/>
            <w:tcBorders>
              <w:top w:val="single" w:sz="4" w:space="0" w:color="auto"/>
            </w:tcBorders>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-0.0634**</w:t>
            </w:r>
          </w:p>
        </w:tc>
        <w:tc>
          <w:tcPr>
            <w:tcW w:w="0" w:type="auto"/>
            <w:tcBorders>
              <w:top w:val="single" w:sz="4" w:space="0" w:color="auto"/>
            </w:tcBorders>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-0.0698***</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(-2.50)</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(-2.47)</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(-2.49)</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(-2.49)</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(-2.44)</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(-2.64)</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themeColor="text1"/>
                <w:sz w:val="20"/>
                <w:szCs w:val="20"/>
              </w:rPr>
            </w:pPr>
            <w:r w:rsidRPr="00591C68">
              <w:rPr>
                <w:rFonts w:ascii="Garamond" w:hAnsi="Garamond" w:cs="Calibri"/>
                <w:color w:val="000000" w:themeColor="text1"/>
                <w:sz w:val="20"/>
                <w:szCs w:val="20"/>
              </w:rPr>
              <w:t>Board Gender Diversity</w:t>
            </w:r>
            <w:r w:rsidRPr="00591C68">
              <w:rPr>
                <w:rFonts w:ascii="Garamond" w:hAnsi="Garamond" w:cs="Calibri"/>
                <w:color w:val="000000"/>
                <w:sz w:val="20"/>
                <w:szCs w:val="20"/>
                <w:vertAlign w:val="subscript"/>
              </w:rPr>
              <w:t>t-1</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0.0783</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0.0795</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(1.18)</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(1.20)</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themeColor="text1"/>
                <w:sz w:val="20"/>
                <w:szCs w:val="20"/>
              </w:rPr>
            </w:pPr>
            <w:r w:rsidRPr="00591C68">
              <w:rPr>
                <w:rFonts w:ascii="Garamond" w:hAnsi="Garamond" w:cs="Calibri"/>
                <w:color w:val="000000" w:themeColor="text1"/>
                <w:sz w:val="20"/>
                <w:szCs w:val="20"/>
              </w:rPr>
              <w:t>Board Nationality Diversity</w:t>
            </w:r>
            <w:r w:rsidRPr="00591C68">
              <w:rPr>
                <w:rFonts w:ascii="Garamond" w:hAnsi="Garamond" w:cs="Calibri"/>
                <w:color w:val="000000"/>
                <w:sz w:val="20"/>
                <w:szCs w:val="20"/>
                <w:vertAlign w:val="subscript"/>
              </w:rPr>
              <w:t>t-1</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0.0217</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0.0235</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(0.39)</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(0.42)</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themeColor="text1"/>
                <w:sz w:val="20"/>
                <w:szCs w:val="20"/>
              </w:rPr>
            </w:pPr>
            <w:r w:rsidRPr="00591C68">
              <w:rPr>
                <w:rFonts w:ascii="Garamond" w:hAnsi="Garamond" w:cs="Calibri"/>
                <w:color w:val="000000" w:themeColor="text1"/>
                <w:sz w:val="20"/>
                <w:szCs w:val="20"/>
              </w:rPr>
              <w:t>Board Age Diversity</w:t>
            </w:r>
            <w:r w:rsidRPr="00591C68">
              <w:rPr>
                <w:rFonts w:ascii="Garamond" w:hAnsi="Garamond" w:cs="Calibri"/>
                <w:color w:val="000000"/>
                <w:sz w:val="20"/>
                <w:szCs w:val="20"/>
                <w:vertAlign w:val="subscript"/>
              </w:rPr>
              <w:t>t-1</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0.00599</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0.00785</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(0.25)</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(0.34)</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themeColor="text1"/>
                <w:sz w:val="20"/>
                <w:szCs w:val="20"/>
              </w:rPr>
            </w:pPr>
            <w:r w:rsidRPr="00591C68">
              <w:rPr>
                <w:rFonts w:ascii="Garamond" w:hAnsi="Garamond" w:cs="Calibri"/>
                <w:color w:val="000000" w:themeColor="text1"/>
                <w:sz w:val="20"/>
                <w:szCs w:val="20"/>
              </w:rPr>
              <w:t>Board Aggregate Diversity</w:t>
            </w:r>
            <w:r w:rsidRPr="00591C68">
              <w:rPr>
                <w:rFonts w:ascii="Garamond" w:hAnsi="Garamond" w:cs="Calibri"/>
                <w:color w:val="000000"/>
                <w:sz w:val="20"/>
                <w:szCs w:val="20"/>
                <w:vertAlign w:val="subscript"/>
              </w:rPr>
              <w:t>t-1</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0.00456</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(1.03)</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proofErr w:type="spellStart"/>
            <w:r w:rsidRPr="00591C68">
              <w:rPr>
                <w:rFonts w:ascii="Garamond" w:hAnsi="Garamond" w:cs="Calibri"/>
                <w:color w:val="000000"/>
                <w:sz w:val="20"/>
                <w:szCs w:val="20"/>
              </w:rPr>
              <w:t>Ln</w:t>
            </w:r>
            <w:proofErr w:type="spellEnd"/>
            <w:r w:rsidRPr="00591C68">
              <w:rPr>
                <w:rFonts w:ascii="Garamond" w:hAnsi="Garamond" w:cs="Calibri"/>
                <w:color w:val="000000"/>
                <w:sz w:val="20"/>
                <w:szCs w:val="20"/>
              </w:rPr>
              <w:t>(number of directors)</w:t>
            </w:r>
            <w:r w:rsidRPr="00591C68">
              <w:rPr>
                <w:rFonts w:ascii="Garamond" w:hAnsi="Garamond" w:cs="Calibri"/>
                <w:color w:val="000000"/>
                <w:sz w:val="20"/>
                <w:szCs w:val="20"/>
                <w:vertAlign w:val="subscript"/>
              </w:rPr>
              <w:t>t-1</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0.00342</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0.00113</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0.00213</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0.00257</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-0.00142</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-0.00132</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(0.13)</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(0.04)</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(0.08)</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(0.09)</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(-0.05)</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(-0.05)</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r w:rsidRPr="00591C68">
              <w:rPr>
                <w:rFonts w:ascii="Garamond" w:hAnsi="Garamond" w:cs="Calibri"/>
                <w:color w:val="000000"/>
                <w:sz w:val="20"/>
                <w:szCs w:val="20"/>
              </w:rPr>
              <w:t>Board independence</w:t>
            </w:r>
            <w:r w:rsidRPr="00591C68">
              <w:rPr>
                <w:rFonts w:ascii="Garamond" w:hAnsi="Garamond" w:cs="Calibri"/>
                <w:color w:val="000000"/>
                <w:sz w:val="20"/>
                <w:szCs w:val="20"/>
                <w:vertAlign w:val="subscript"/>
              </w:rPr>
              <w:t>t-1</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0.0462</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0.0395</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0.0466</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0.0468</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0.0405</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0.0444</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(1.12)</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(0.92)</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(1.13)</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(1.12)</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(0.94)</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(1.08)</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r w:rsidRPr="00591C68">
              <w:rPr>
                <w:rFonts w:ascii="Garamond" w:hAnsi="Garamond" w:cs="Calibri"/>
                <w:color w:val="000000"/>
                <w:sz w:val="20"/>
                <w:szCs w:val="20"/>
              </w:rPr>
              <w:t>Tobin's Q</w:t>
            </w:r>
            <w:r w:rsidRPr="00591C68">
              <w:rPr>
                <w:rFonts w:ascii="Garamond" w:hAnsi="Garamond" w:cs="Calibri"/>
                <w:color w:val="000000"/>
                <w:sz w:val="20"/>
                <w:szCs w:val="20"/>
                <w:vertAlign w:val="subscript"/>
              </w:rPr>
              <w:t>t-1</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-0.00499</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-0.00503</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-0.00502</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-0.00499</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-0.00508</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-0.00506</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(-1.21)</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(-1.21)</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(-1.22)</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(-1.22)</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(-1.23)</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(-1.23)</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r w:rsidRPr="00591C68">
              <w:rPr>
                <w:rFonts w:ascii="Garamond" w:hAnsi="Garamond" w:cs="Calibri"/>
                <w:color w:val="000000"/>
                <w:sz w:val="20"/>
                <w:szCs w:val="20"/>
              </w:rPr>
              <w:t>Industry-</w:t>
            </w:r>
            <w:proofErr w:type="spellStart"/>
            <w:r w:rsidRPr="00591C68">
              <w:rPr>
                <w:rFonts w:ascii="Garamond" w:hAnsi="Garamond" w:cs="Calibri"/>
                <w:color w:val="000000"/>
                <w:sz w:val="20"/>
                <w:szCs w:val="20"/>
              </w:rPr>
              <w:t>Adj</w:t>
            </w:r>
            <w:proofErr w:type="spellEnd"/>
            <w:r w:rsidRPr="00591C68">
              <w:rPr>
                <w:rFonts w:ascii="Garamond" w:hAnsi="Garamond" w:cs="Calibri"/>
                <w:color w:val="000000"/>
                <w:sz w:val="20"/>
                <w:szCs w:val="20"/>
              </w:rPr>
              <w:t xml:space="preserve"> ROA</w:t>
            </w:r>
            <w:r w:rsidRPr="00591C68">
              <w:rPr>
                <w:rFonts w:ascii="Garamond" w:hAnsi="Garamond" w:cs="Calibri"/>
                <w:color w:val="000000"/>
                <w:sz w:val="20"/>
                <w:szCs w:val="20"/>
                <w:vertAlign w:val="subscript"/>
              </w:rPr>
              <w:t>t-1</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0.00301</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0.00332</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0.00309</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0.00303</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0.00343</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0.00333</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(0.70)</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(0.77)</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(0.72)</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(0.70)</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(0.80)</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(0.78)</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r w:rsidRPr="00591C68">
              <w:rPr>
                <w:rFonts w:ascii="Garamond" w:hAnsi="Garamond" w:cs="Calibri"/>
                <w:color w:val="000000"/>
                <w:sz w:val="20"/>
                <w:szCs w:val="20"/>
              </w:rPr>
              <w:t>CEO is Chairman dummy</w:t>
            </w:r>
            <w:r w:rsidRPr="00591C68">
              <w:rPr>
                <w:rFonts w:ascii="Garamond" w:hAnsi="Garamond" w:cs="Calibri"/>
                <w:color w:val="000000"/>
                <w:sz w:val="20"/>
                <w:szCs w:val="20"/>
                <w:vertAlign w:val="subscript"/>
              </w:rPr>
              <w:t>t-1</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0.00990</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0.0107</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0.00974</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0.00980</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0.0104</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0.00995</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(0.66)</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(0.72)</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(0.65)</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(0.65)</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(0.70)</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(0.66)</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proofErr w:type="spellStart"/>
            <w:r w:rsidRPr="00591C68">
              <w:rPr>
                <w:rFonts w:ascii="Garamond" w:hAnsi="Garamond" w:cs="Calibri"/>
                <w:color w:val="000000"/>
                <w:sz w:val="20"/>
                <w:szCs w:val="20"/>
              </w:rPr>
              <w:t>Ln</w:t>
            </w:r>
            <w:proofErr w:type="spellEnd"/>
            <w:r w:rsidRPr="00591C68">
              <w:rPr>
                <w:rFonts w:ascii="Garamond" w:hAnsi="Garamond" w:cs="Calibri"/>
                <w:color w:val="000000"/>
                <w:sz w:val="20"/>
                <w:szCs w:val="20"/>
              </w:rPr>
              <w:t>(market-to-book)</w:t>
            </w:r>
            <w:r w:rsidRPr="00591C68">
              <w:rPr>
                <w:rFonts w:ascii="Garamond" w:hAnsi="Garamond" w:cs="Calibri"/>
                <w:color w:val="000000"/>
                <w:sz w:val="20"/>
                <w:szCs w:val="20"/>
                <w:vertAlign w:val="subscript"/>
              </w:rPr>
              <w:t>t-1</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0.0353***</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0.0355***</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0.0354***</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0.0353***</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0.0357***</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0.0356***</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(3.36)</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(3.39)</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(3.36)</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(3.36)</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(3.39)</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(3.38)</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r w:rsidRPr="00591C68">
              <w:rPr>
                <w:rFonts w:ascii="Garamond" w:hAnsi="Garamond" w:cs="Calibri"/>
                <w:color w:val="000000"/>
                <w:sz w:val="20"/>
                <w:szCs w:val="20"/>
              </w:rPr>
              <w:t>Capital expenditure</w:t>
            </w:r>
            <w:r w:rsidRPr="00591C68">
              <w:rPr>
                <w:rFonts w:ascii="Garamond" w:hAnsi="Garamond" w:cs="Calibri"/>
                <w:color w:val="000000"/>
                <w:sz w:val="20"/>
                <w:szCs w:val="20"/>
                <w:vertAlign w:val="subscript"/>
              </w:rPr>
              <w:t>t-1</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0.174*</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0.173*</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0.176*</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0.173*</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0.175*</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0.175*</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(1.74)</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(1.74)</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(1.75)</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(1.73)</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(1.75)</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(1.75)</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proofErr w:type="spellStart"/>
            <w:r w:rsidRPr="00591C68">
              <w:rPr>
                <w:rFonts w:ascii="Garamond" w:hAnsi="Garamond" w:cs="Calibri"/>
                <w:color w:val="000000"/>
                <w:sz w:val="20"/>
                <w:szCs w:val="20"/>
              </w:rPr>
              <w:t>Ln</w:t>
            </w:r>
            <w:proofErr w:type="spellEnd"/>
            <w:r w:rsidRPr="00591C68">
              <w:rPr>
                <w:rFonts w:ascii="Garamond" w:hAnsi="Garamond" w:cs="Calibri"/>
                <w:color w:val="000000"/>
                <w:sz w:val="20"/>
                <w:szCs w:val="20"/>
              </w:rPr>
              <w:t>(total assets)</w:t>
            </w:r>
            <w:r w:rsidRPr="00591C68">
              <w:rPr>
                <w:rFonts w:ascii="Garamond" w:hAnsi="Garamond" w:cs="Calibri"/>
                <w:color w:val="000000"/>
                <w:sz w:val="20"/>
                <w:szCs w:val="20"/>
                <w:vertAlign w:val="subscript"/>
              </w:rPr>
              <w:t>t-1</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0.0562***</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0.0563***</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0.0564***</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0.0560***</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0.0564***</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0.0557***</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(4.75)</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(4.79)</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(4.82)</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(4.74)</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(4.84)</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(4.72)</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proofErr w:type="spellStart"/>
            <w:r w:rsidRPr="00591C68">
              <w:rPr>
                <w:rFonts w:ascii="Garamond" w:hAnsi="Garamond" w:cs="Calibri"/>
                <w:color w:val="000000"/>
                <w:sz w:val="20"/>
                <w:szCs w:val="20"/>
              </w:rPr>
              <w:t>Ln</w:t>
            </w:r>
            <w:proofErr w:type="spellEnd"/>
            <w:r w:rsidRPr="00591C68">
              <w:rPr>
                <w:rFonts w:ascii="Garamond" w:hAnsi="Garamond" w:cs="Calibri"/>
                <w:color w:val="000000"/>
                <w:sz w:val="20"/>
                <w:szCs w:val="20"/>
              </w:rPr>
              <w:t>(firm age)</w:t>
            </w:r>
            <w:r w:rsidRPr="00591C68">
              <w:rPr>
                <w:rFonts w:ascii="Garamond" w:hAnsi="Garamond" w:cs="Calibri"/>
                <w:color w:val="000000"/>
                <w:sz w:val="20"/>
                <w:szCs w:val="20"/>
                <w:vertAlign w:val="subscript"/>
              </w:rPr>
              <w:t>t-1</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-0.00908</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-0.00789</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-0.00881</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-0.00904</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-0.00753</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-0.00803</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(-0.70)</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(-0.62)</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(-0.68)</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(-0.70)</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(-0.59)</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(-0.62)</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r w:rsidRPr="00591C68">
              <w:rPr>
                <w:rFonts w:ascii="Garamond" w:hAnsi="Garamond" w:cs="Calibri"/>
                <w:color w:val="000000"/>
                <w:sz w:val="20"/>
                <w:szCs w:val="20"/>
              </w:rPr>
              <w:t>CFO British Dummy</w:t>
            </w:r>
            <w:r w:rsidRPr="00591C68">
              <w:rPr>
                <w:rFonts w:ascii="Garamond" w:hAnsi="Garamond" w:cs="Calibri"/>
                <w:color w:val="000000"/>
                <w:sz w:val="20"/>
                <w:szCs w:val="20"/>
                <w:vertAlign w:val="subscript"/>
              </w:rPr>
              <w:t>t-1</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-0.0247</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-0.0263</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-0.0254</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-0.0247</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-0.0272</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-0.0229</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(-0.79)</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(-0.86)</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(-0.81)</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(-0.79)</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(-0.88)</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(-0.73)</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proofErr w:type="spellStart"/>
            <w:r w:rsidRPr="00591C68">
              <w:rPr>
                <w:rFonts w:ascii="Garamond" w:hAnsi="Garamond" w:cs="Calibri"/>
                <w:color w:val="000000"/>
                <w:sz w:val="20"/>
                <w:szCs w:val="20"/>
              </w:rPr>
              <w:t>Ln</w:t>
            </w:r>
            <w:proofErr w:type="spellEnd"/>
            <w:r w:rsidRPr="00591C68">
              <w:rPr>
                <w:rFonts w:ascii="Garamond" w:hAnsi="Garamond" w:cs="Calibri"/>
                <w:color w:val="000000"/>
                <w:sz w:val="20"/>
                <w:szCs w:val="20"/>
              </w:rPr>
              <w:t>(CFO tenure)</w:t>
            </w:r>
            <w:r w:rsidRPr="00591C68">
              <w:rPr>
                <w:rFonts w:ascii="Garamond" w:hAnsi="Garamond" w:cs="Calibri"/>
                <w:color w:val="000000"/>
                <w:sz w:val="20"/>
                <w:szCs w:val="20"/>
                <w:vertAlign w:val="subscript"/>
              </w:rPr>
              <w:t>t-1</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0.00639</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0.00685</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0.00641</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0.00640</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0.00689</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0.00667</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(1.37)</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(1.47)</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(1.38)</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(1.37)</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(1.48)</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(1.43)</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proofErr w:type="spellStart"/>
            <w:r w:rsidRPr="00591C68">
              <w:rPr>
                <w:rFonts w:ascii="Garamond" w:hAnsi="Garamond" w:cs="Calibri"/>
                <w:color w:val="000000"/>
                <w:sz w:val="20"/>
                <w:szCs w:val="20"/>
              </w:rPr>
              <w:t>Ln</w:t>
            </w:r>
            <w:proofErr w:type="spellEnd"/>
            <w:r w:rsidRPr="00591C68">
              <w:rPr>
                <w:rFonts w:ascii="Garamond" w:hAnsi="Garamond" w:cs="Calibri"/>
                <w:color w:val="000000"/>
                <w:sz w:val="20"/>
                <w:szCs w:val="20"/>
              </w:rPr>
              <w:t>(CFO age)</w:t>
            </w:r>
            <w:r w:rsidRPr="00591C68">
              <w:rPr>
                <w:rFonts w:ascii="Garamond" w:hAnsi="Garamond" w:cs="Calibri"/>
                <w:color w:val="000000"/>
                <w:sz w:val="20"/>
                <w:szCs w:val="20"/>
                <w:vertAlign w:val="subscript"/>
              </w:rPr>
              <w:t>t-1</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-0.0941</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-0.0978</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-0.0956</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-0.0940</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-0.0995</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-0.0859</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(-1.33)</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(-1.40)</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(-1.36)</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(-1.33)</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(-1.43)</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(-1.20)</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proofErr w:type="spellStart"/>
            <w:r w:rsidRPr="00591C68">
              <w:rPr>
                <w:rFonts w:ascii="Garamond" w:hAnsi="Garamond" w:cs="Calibri"/>
                <w:color w:val="000000"/>
                <w:sz w:val="20"/>
                <w:szCs w:val="20"/>
              </w:rPr>
              <w:t>Ln</w:t>
            </w:r>
            <w:proofErr w:type="spellEnd"/>
            <w:r w:rsidRPr="00591C68">
              <w:rPr>
                <w:rFonts w:ascii="Garamond" w:hAnsi="Garamond" w:cs="Calibri"/>
                <w:color w:val="000000"/>
                <w:sz w:val="20"/>
                <w:szCs w:val="20"/>
              </w:rPr>
              <w:t>(CFO network size)</w:t>
            </w:r>
            <w:r w:rsidRPr="00591C68">
              <w:rPr>
                <w:rFonts w:ascii="Garamond" w:hAnsi="Garamond" w:cs="Calibri"/>
                <w:color w:val="000000"/>
                <w:sz w:val="20"/>
                <w:szCs w:val="20"/>
                <w:vertAlign w:val="subscript"/>
              </w:rPr>
              <w:t>t-1</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-0.00389</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-0.00396</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-0.00398</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-0.00380</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-0.00395</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-0.00382</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(-0.56)</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(-0.56)</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(-0.57)</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(-0.55)</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(-0.56)</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(-0.55)</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sz w:val="20"/>
                <w:szCs w:val="20"/>
              </w:rPr>
            </w:pPr>
            <w:proofErr w:type="spellStart"/>
            <w:r w:rsidRPr="00591C68">
              <w:rPr>
                <w:rFonts w:ascii="Garamond" w:hAnsi="Garamond" w:cs="Calibri"/>
                <w:color w:val="000000"/>
                <w:sz w:val="20"/>
                <w:szCs w:val="20"/>
              </w:rPr>
              <w:t>Ln</w:t>
            </w:r>
            <w:proofErr w:type="spellEnd"/>
            <w:r w:rsidRPr="00591C68">
              <w:rPr>
                <w:rFonts w:ascii="Garamond" w:hAnsi="Garamond" w:cs="Calibri"/>
                <w:color w:val="000000"/>
                <w:sz w:val="20"/>
                <w:szCs w:val="20"/>
              </w:rPr>
              <w:t>(CFO total compensation)</w:t>
            </w:r>
            <w:r w:rsidRPr="00591C68">
              <w:rPr>
                <w:rFonts w:ascii="Garamond" w:hAnsi="Garamond" w:cs="Calibri"/>
                <w:color w:val="000000"/>
                <w:sz w:val="20"/>
                <w:szCs w:val="20"/>
                <w:vertAlign w:val="subscript"/>
              </w:rPr>
              <w:t>t-1</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-0.0204***</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-0.0203***</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-0.0204***</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-0.0204***</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-0.0202***</w:t>
            </w:r>
          </w:p>
        </w:tc>
        <w:tc>
          <w:tcPr>
            <w:tcW w:w="0" w:type="auto"/>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-0.0202***</w:t>
            </w:r>
          </w:p>
        </w:tc>
      </w:tr>
      <w:tr w:rsidR="00583BD3" w:rsidRPr="00025A78" w:rsidTr="000727E8">
        <w:trPr>
          <w:trHeight w:hRule="exact" w:val="255"/>
        </w:trPr>
        <w:tc>
          <w:tcPr>
            <w:tcW w:w="0" w:type="auto"/>
            <w:tcBorders>
              <w:bottom w:val="nil"/>
            </w:tcBorders>
            <w:shd w:val="clear" w:color="auto" w:fill="auto"/>
            <w:noWrap/>
            <w:hideMark/>
          </w:tcPr>
          <w:p w:rsidR="00583BD3" w:rsidRPr="00591C68" w:rsidRDefault="00583BD3" w:rsidP="000727E8">
            <w:pPr>
              <w:rPr>
                <w:rFonts w:ascii="Garamond" w:hAnsi="Garamond" w:cs="Calibri"/>
                <w:color w:val="000000" w:themeColor="text1"/>
                <w:sz w:val="20"/>
                <w:szCs w:val="20"/>
              </w:rPr>
            </w:pPr>
          </w:p>
        </w:tc>
        <w:tc>
          <w:tcPr>
            <w:tcW w:w="0" w:type="auto"/>
            <w:tcBorders>
              <w:bottom w:val="nil"/>
            </w:tcBorders>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(-3.53)</w:t>
            </w:r>
          </w:p>
        </w:tc>
        <w:tc>
          <w:tcPr>
            <w:tcW w:w="0" w:type="auto"/>
            <w:tcBorders>
              <w:bottom w:val="nil"/>
            </w:tcBorders>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(-3.52)</w:t>
            </w:r>
          </w:p>
        </w:tc>
        <w:tc>
          <w:tcPr>
            <w:tcW w:w="0" w:type="auto"/>
            <w:tcBorders>
              <w:bottom w:val="nil"/>
            </w:tcBorders>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(-3.52)</w:t>
            </w:r>
          </w:p>
        </w:tc>
        <w:tc>
          <w:tcPr>
            <w:tcW w:w="0" w:type="auto"/>
            <w:tcBorders>
              <w:bottom w:val="nil"/>
            </w:tcBorders>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(-3.52)</w:t>
            </w:r>
          </w:p>
        </w:tc>
        <w:tc>
          <w:tcPr>
            <w:tcW w:w="0" w:type="auto"/>
            <w:tcBorders>
              <w:bottom w:val="nil"/>
            </w:tcBorders>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(-3.51)</w:t>
            </w:r>
          </w:p>
        </w:tc>
        <w:tc>
          <w:tcPr>
            <w:tcW w:w="0" w:type="auto"/>
            <w:tcBorders>
              <w:bottom w:val="nil"/>
            </w:tcBorders>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(-3.50)</w:t>
            </w:r>
          </w:p>
        </w:tc>
      </w:tr>
      <w:tr w:rsidR="00583BD3" w:rsidRPr="00025A78" w:rsidTr="000727E8">
        <w:trPr>
          <w:trHeight w:hRule="exact" w:val="255"/>
        </w:trPr>
        <w:tc>
          <w:tcPr>
            <w:tcW w:w="0" w:type="auto"/>
            <w:tcBorders>
              <w:top w:val="nil"/>
              <w:bottom w:val="nil"/>
            </w:tcBorders>
            <w:shd w:val="clear" w:color="auto" w:fill="auto"/>
            <w:noWrap/>
            <w:hideMark/>
          </w:tcPr>
          <w:p w:rsidR="00583BD3" w:rsidRPr="00591C68" w:rsidRDefault="00583BD3" w:rsidP="000727E8">
            <w:pPr>
              <w:jc w:val="center"/>
              <w:rPr>
                <w:rFonts w:ascii="Garamond" w:hAnsi="Garamond" w:cs="Calibri"/>
                <w:color w:val="000000" w:themeColor="text1"/>
                <w:sz w:val="20"/>
                <w:szCs w:val="20"/>
              </w:rPr>
            </w:pPr>
            <w:r w:rsidRPr="00591C68">
              <w:rPr>
                <w:rFonts w:ascii="Garamond" w:hAnsi="Garamond" w:cs="Calibri"/>
                <w:color w:val="000000" w:themeColor="text1"/>
                <w:sz w:val="20"/>
                <w:szCs w:val="20"/>
              </w:rPr>
              <w:t>Constant</w:t>
            </w:r>
          </w:p>
        </w:tc>
        <w:tc>
          <w:tcPr>
            <w:tcW w:w="0" w:type="auto"/>
            <w:tcBorders>
              <w:top w:val="nil"/>
              <w:bottom w:val="nil"/>
            </w:tcBorders>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0.0873</w:t>
            </w:r>
          </w:p>
        </w:tc>
        <w:tc>
          <w:tcPr>
            <w:tcW w:w="0" w:type="auto"/>
            <w:tcBorders>
              <w:top w:val="nil"/>
              <w:bottom w:val="nil"/>
            </w:tcBorders>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0.107</w:t>
            </w:r>
          </w:p>
        </w:tc>
        <w:tc>
          <w:tcPr>
            <w:tcW w:w="0" w:type="auto"/>
            <w:tcBorders>
              <w:top w:val="nil"/>
              <w:bottom w:val="nil"/>
            </w:tcBorders>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0.0937</w:t>
            </w:r>
          </w:p>
        </w:tc>
        <w:tc>
          <w:tcPr>
            <w:tcW w:w="0" w:type="auto"/>
            <w:tcBorders>
              <w:top w:val="nil"/>
              <w:bottom w:val="nil"/>
            </w:tcBorders>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0.0895</w:t>
            </w:r>
          </w:p>
        </w:tc>
        <w:tc>
          <w:tcPr>
            <w:tcW w:w="0" w:type="auto"/>
            <w:tcBorders>
              <w:top w:val="nil"/>
              <w:bottom w:val="nil"/>
            </w:tcBorders>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0.117</w:t>
            </w:r>
          </w:p>
        </w:tc>
        <w:tc>
          <w:tcPr>
            <w:tcW w:w="0" w:type="auto"/>
            <w:tcBorders>
              <w:top w:val="nil"/>
              <w:bottom w:val="nil"/>
            </w:tcBorders>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0.0720</w:t>
            </w:r>
          </w:p>
        </w:tc>
      </w:tr>
      <w:tr w:rsidR="00583BD3" w:rsidRPr="00025A78" w:rsidTr="000727E8">
        <w:trPr>
          <w:trHeight w:hRule="exact" w:val="255"/>
        </w:trPr>
        <w:tc>
          <w:tcPr>
            <w:tcW w:w="0" w:type="auto"/>
            <w:tcBorders>
              <w:top w:val="nil"/>
              <w:bottom w:val="single" w:sz="4" w:space="0" w:color="auto"/>
            </w:tcBorders>
            <w:shd w:val="clear" w:color="auto" w:fill="auto"/>
            <w:noWrap/>
            <w:hideMark/>
          </w:tcPr>
          <w:p w:rsidR="00583BD3" w:rsidRPr="00591C68" w:rsidRDefault="00583BD3" w:rsidP="000727E8">
            <w:pPr>
              <w:jc w:val="center"/>
              <w:rPr>
                <w:rFonts w:ascii="Garamond" w:hAnsi="Garamond" w:cs="Calibri"/>
                <w:color w:val="000000" w:themeColor="text1"/>
                <w:sz w:val="20"/>
                <w:szCs w:val="20"/>
              </w:rPr>
            </w:pPr>
          </w:p>
        </w:tc>
        <w:tc>
          <w:tcPr>
            <w:tcW w:w="0" w:type="auto"/>
            <w:tcBorders>
              <w:top w:val="nil"/>
              <w:bottom w:val="single" w:sz="4" w:space="0" w:color="auto"/>
            </w:tcBorders>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(0.31)</w:t>
            </w:r>
          </w:p>
        </w:tc>
        <w:tc>
          <w:tcPr>
            <w:tcW w:w="0" w:type="auto"/>
            <w:tcBorders>
              <w:top w:val="nil"/>
              <w:bottom w:val="single" w:sz="4" w:space="0" w:color="auto"/>
            </w:tcBorders>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(0.38)</w:t>
            </w:r>
          </w:p>
        </w:tc>
        <w:tc>
          <w:tcPr>
            <w:tcW w:w="0" w:type="auto"/>
            <w:tcBorders>
              <w:top w:val="nil"/>
              <w:bottom w:val="single" w:sz="4" w:space="0" w:color="auto"/>
            </w:tcBorders>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(0.33)</w:t>
            </w:r>
          </w:p>
        </w:tc>
        <w:tc>
          <w:tcPr>
            <w:tcW w:w="0" w:type="auto"/>
            <w:tcBorders>
              <w:top w:val="nil"/>
              <w:bottom w:val="single" w:sz="4" w:space="0" w:color="auto"/>
            </w:tcBorders>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(0.31)</w:t>
            </w:r>
          </w:p>
        </w:tc>
        <w:tc>
          <w:tcPr>
            <w:tcW w:w="0" w:type="auto"/>
            <w:tcBorders>
              <w:top w:val="nil"/>
              <w:bottom w:val="single" w:sz="4" w:space="0" w:color="auto"/>
            </w:tcBorders>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(0.41)</w:t>
            </w:r>
          </w:p>
        </w:tc>
        <w:tc>
          <w:tcPr>
            <w:tcW w:w="0" w:type="auto"/>
            <w:tcBorders>
              <w:top w:val="nil"/>
              <w:bottom w:val="single" w:sz="4" w:space="0" w:color="auto"/>
            </w:tcBorders>
            <w:shd w:val="clear" w:color="auto" w:fill="auto"/>
            <w:noWrap/>
            <w:vAlign w:val="center"/>
            <w:hideMark/>
          </w:tcPr>
          <w:p w:rsidR="00583BD3" w:rsidRPr="00025A78" w:rsidRDefault="00583BD3" w:rsidP="000727E8">
            <w:pPr>
              <w:rPr>
                <w:rFonts w:ascii="Garamond" w:hAnsi="Garamond" w:cs="Calibri"/>
                <w:color w:val="000000" w:themeColor="text1"/>
                <w:sz w:val="20"/>
                <w:szCs w:val="20"/>
              </w:rPr>
            </w:pPr>
            <w:r w:rsidRPr="00025A78">
              <w:rPr>
                <w:rFonts w:ascii="Garamond" w:hAnsi="Garamond" w:cs="Calibri" w:hint="eastAsia"/>
                <w:color w:val="000000" w:themeColor="text1"/>
                <w:sz w:val="20"/>
                <w:szCs w:val="20"/>
              </w:rPr>
              <w:t>(0.25)</w:t>
            </w:r>
          </w:p>
        </w:tc>
      </w:tr>
      <w:tr w:rsidR="00583BD3" w:rsidRPr="00B454FC" w:rsidTr="000727E8">
        <w:trPr>
          <w:trHeight w:hRule="exact" w:val="255"/>
        </w:trPr>
        <w:tc>
          <w:tcPr>
            <w:tcW w:w="0" w:type="auto"/>
            <w:tcBorders>
              <w:top w:val="single" w:sz="4" w:space="0" w:color="auto"/>
            </w:tcBorders>
            <w:shd w:val="clear" w:color="auto" w:fill="auto"/>
            <w:noWrap/>
            <w:hideMark/>
          </w:tcPr>
          <w:p w:rsidR="00583BD3" w:rsidRPr="00591C68" w:rsidRDefault="00583BD3" w:rsidP="000727E8">
            <w:pPr>
              <w:jc w:val="center"/>
              <w:rPr>
                <w:rFonts w:ascii="Garamond" w:hAnsi="Garamond" w:cs="Calibri"/>
                <w:color w:val="000000" w:themeColor="text1"/>
                <w:sz w:val="20"/>
                <w:szCs w:val="20"/>
              </w:rPr>
            </w:pPr>
            <w:r w:rsidRPr="00591C68">
              <w:rPr>
                <w:rFonts w:ascii="Garamond" w:hAnsi="Garamond" w:cs="Calibri"/>
                <w:color w:val="000000" w:themeColor="text1"/>
                <w:sz w:val="20"/>
                <w:szCs w:val="20"/>
              </w:rPr>
              <w:t>Year Fixed Effects</w:t>
            </w:r>
          </w:p>
        </w:tc>
        <w:tc>
          <w:tcPr>
            <w:tcW w:w="0" w:type="auto"/>
            <w:tcBorders>
              <w:top w:val="single" w:sz="4" w:space="0" w:color="auto"/>
            </w:tcBorders>
            <w:shd w:val="clear" w:color="auto" w:fill="auto"/>
            <w:noWrap/>
            <w:hideMark/>
          </w:tcPr>
          <w:p w:rsidR="00583BD3" w:rsidRPr="00062AB7" w:rsidRDefault="00583BD3" w:rsidP="000727E8">
            <w:pPr>
              <w:rPr>
                <w:rFonts w:ascii="Garamond" w:hAnsi="Garamond"/>
                <w:color w:val="000000"/>
                <w:sz w:val="20"/>
                <w:szCs w:val="20"/>
              </w:rPr>
            </w:pPr>
            <w:r w:rsidRPr="00062AB7">
              <w:rPr>
                <w:rFonts w:ascii="Garamond" w:hAnsi="Garamond" w:cs="Calibri"/>
                <w:color w:val="000000" w:themeColor="text1"/>
                <w:sz w:val="20"/>
                <w:szCs w:val="20"/>
              </w:rPr>
              <w:t>Yes</w:t>
            </w:r>
          </w:p>
        </w:tc>
        <w:tc>
          <w:tcPr>
            <w:tcW w:w="0" w:type="auto"/>
            <w:tcBorders>
              <w:top w:val="single" w:sz="4" w:space="0" w:color="auto"/>
            </w:tcBorders>
            <w:shd w:val="clear" w:color="auto" w:fill="auto"/>
            <w:noWrap/>
            <w:hideMark/>
          </w:tcPr>
          <w:p w:rsidR="00583BD3" w:rsidRPr="00062AB7" w:rsidRDefault="00583BD3" w:rsidP="000727E8">
            <w:pPr>
              <w:rPr>
                <w:rFonts w:ascii="Garamond" w:hAnsi="Garamond"/>
                <w:color w:val="000000"/>
                <w:sz w:val="20"/>
                <w:szCs w:val="20"/>
              </w:rPr>
            </w:pPr>
            <w:r w:rsidRPr="00062AB7">
              <w:rPr>
                <w:rFonts w:ascii="Garamond" w:hAnsi="Garamond" w:cs="Calibri"/>
                <w:color w:val="000000" w:themeColor="text1"/>
                <w:sz w:val="20"/>
                <w:szCs w:val="20"/>
              </w:rPr>
              <w:t>Yes</w:t>
            </w:r>
          </w:p>
        </w:tc>
        <w:tc>
          <w:tcPr>
            <w:tcW w:w="0" w:type="auto"/>
            <w:tcBorders>
              <w:top w:val="single" w:sz="4" w:space="0" w:color="auto"/>
            </w:tcBorders>
            <w:shd w:val="clear" w:color="auto" w:fill="auto"/>
            <w:noWrap/>
            <w:hideMark/>
          </w:tcPr>
          <w:p w:rsidR="00583BD3" w:rsidRPr="00062AB7" w:rsidRDefault="00583BD3" w:rsidP="000727E8">
            <w:pPr>
              <w:rPr>
                <w:rFonts w:ascii="Garamond" w:hAnsi="Garamond"/>
                <w:color w:val="000000"/>
                <w:sz w:val="20"/>
                <w:szCs w:val="20"/>
              </w:rPr>
            </w:pPr>
            <w:r w:rsidRPr="00062AB7">
              <w:rPr>
                <w:rFonts w:ascii="Garamond" w:hAnsi="Garamond" w:cs="Calibri"/>
                <w:color w:val="000000" w:themeColor="text1"/>
                <w:sz w:val="20"/>
                <w:szCs w:val="20"/>
              </w:rPr>
              <w:t>Yes</w:t>
            </w:r>
          </w:p>
        </w:tc>
        <w:tc>
          <w:tcPr>
            <w:tcW w:w="0" w:type="auto"/>
            <w:tcBorders>
              <w:top w:val="single" w:sz="4" w:space="0" w:color="auto"/>
            </w:tcBorders>
            <w:shd w:val="clear" w:color="auto" w:fill="auto"/>
            <w:noWrap/>
            <w:hideMark/>
          </w:tcPr>
          <w:p w:rsidR="00583BD3" w:rsidRPr="00062AB7" w:rsidRDefault="00583BD3" w:rsidP="000727E8">
            <w:pPr>
              <w:rPr>
                <w:rFonts w:ascii="Garamond" w:hAnsi="Garamond"/>
                <w:color w:val="000000"/>
                <w:sz w:val="20"/>
                <w:szCs w:val="20"/>
              </w:rPr>
            </w:pPr>
            <w:r w:rsidRPr="00062AB7">
              <w:rPr>
                <w:rFonts w:ascii="Garamond" w:hAnsi="Garamond" w:cs="Calibri"/>
                <w:color w:val="000000" w:themeColor="text1"/>
                <w:sz w:val="20"/>
                <w:szCs w:val="20"/>
              </w:rPr>
              <w:t>Yes</w:t>
            </w:r>
          </w:p>
        </w:tc>
        <w:tc>
          <w:tcPr>
            <w:tcW w:w="0" w:type="auto"/>
            <w:tcBorders>
              <w:top w:val="single" w:sz="4" w:space="0" w:color="auto"/>
            </w:tcBorders>
            <w:shd w:val="clear" w:color="auto" w:fill="auto"/>
            <w:noWrap/>
            <w:hideMark/>
          </w:tcPr>
          <w:p w:rsidR="00583BD3" w:rsidRPr="00062AB7" w:rsidRDefault="00583BD3" w:rsidP="000727E8">
            <w:pPr>
              <w:rPr>
                <w:rFonts w:ascii="Garamond" w:hAnsi="Garamond"/>
                <w:color w:val="000000"/>
                <w:sz w:val="20"/>
                <w:szCs w:val="20"/>
              </w:rPr>
            </w:pPr>
            <w:r w:rsidRPr="00062AB7">
              <w:rPr>
                <w:rFonts w:ascii="Garamond" w:hAnsi="Garamond" w:cs="Calibri"/>
                <w:color w:val="000000" w:themeColor="text1"/>
                <w:sz w:val="20"/>
                <w:szCs w:val="20"/>
              </w:rPr>
              <w:t>Yes</w:t>
            </w:r>
          </w:p>
        </w:tc>
        <w:tc>
          <w:tcPr>
            <w:tcW w:w="0" w:type="auto"/>
            <w:tcBorders>
              <w:top w:val="single" w:sz="4" w:space="0" w:color="auto"/>
            </w:tcBorders>
            <w:shd w:val="clear" w:color="auto" w:fill="auto"/>
            <w:noWrap/>
            <w:hideMark/>
          </w:tcPr>
          <w:p w:rsidR="00583BD3" w:rsidRPr="00062AB7" w:rsidRDefault="00583BD3" w:rsidP="000727E8">
            <w:pPr>
              <w:rPr>
                <w:rFonts w:ascii="Garamond" w:hAnsi="Garamond"/>
                <w:color w:val="000000"/>
                <w:sz w:val="20"/>
                <w:szCs w:val="20"/>
              </w:rPr>
            </w:pPr>
            <w:r w:rsidRPr="00062AB7">
              <w:rPr>
                <w:rFonts w:ascii="Garamond" w:hAnsi="Garamond" w:cs="Calibri"/>
                <w:color w:val="000000" w:themeColor="text1"/>
                <w:sz w:val="20"/>
                <w:szCs w:val="20"/>
              </w:rPr>
              <w:t>Yes</w:t>
            </w:r>
          </w:p>
        </w:tc>
      </w:tr>
      <w:tr w:rsidR="00583BD3" w:rsidRPr="00B454FC" w:rsidTr="000727E8">
        <w:trPr>
          <w:trHeight w:hRule="exact" w:val="255"/>
        </w:trPr>
        <w:tc>
          <w:tcPr>
            <w:tcW w:w="0" w:type="auto"/>
            <w:tcBorders>
              <w:top w:val="nil"/>
            </w:tcBorders>
            <w:shd w:val="clear" w:color="auto" w:fill="auto"/>
            <w:noWrap/>
            <w:hideMark/>
          </w:tcPr>
          <w:p w:rsidR="00583BD3" w:rsidRPr="00591C68" w:rsidRDefault="00583BD3" w:rsidP="000727E8">
            <w:pPr>
              <w:jc w:val="center"/>
              <w:rPr>
                <w:rFonts w:ascii="Garamond" w:hAnsi="Garamond" w:cs="Calibri"/>
                <w:color w:val="000000" w:themeColor="text1"/>
                <w:sz w:val="20"/>
                <w:szCs w:val="20"/>
              </w:rPr>
            </w:pPr>
            <w:r w:rsidRPr="00591C68">
              <w:rPr>
                <w:rFonts w:ascii="Garamond" w:hAnsi="Garamond" w:cs="Calibri"/>
                <w:color w:val="000000" w:themeColor="text1"/>
                <w:sz w:val="20"/>
                <w:szCs w:val="20"/>
              </w:rPr>
              <w:t>Firm Fixed Effects</w:t>
            </w:r>
          </w:p>
        </w:tc>
        <w:tc>
          <w:tcPr>
            <w:tcW w:w="0" w:type="auto"/>
            <w:tcBorders>
              <w:top w:val="nil"/>
            </w:tcBorders>
            <w:shd w:val="clear" w:color="auto" w:fill="auto"/>
            <w:noWrap/>
            <w:hideMark/>
          </w:tcPr>
          <w:p w:rsidR="00583BD3" w:rsidRPr="00062AB7" w:rsidRDefault="00583BD3" w:rsidP="000727E8">
            <w:pPr>
              <w:rPr>
                <w:rFonts w:ascii="Garamond" w:hAnsi="Garamond"/>
                <w:color w:val="000000"/>
                <w:sz w:val="20"/>
                <w:szCs w:val="20"/>
              </w:rPr>
            </w:pPr>
            <w:r w:rsidRPr="00062AB7">
              <w:rPr>
                <w:rFonts w:ascii="Garamond" w:hAnsi="Garamond" w:cs="Calibri"/>
                <w:color w:val="000000" w:themeColor="text1"/>
                <w:sz w:val="20"/>
                <w:szCs w:val="20"/>
              </w:rPr>
              <w:t>Yes</w:t>
            </w:r>
          </w:p>
        </w:tc>
        <w:tc>
          <w:tcPr>
            <w:tcW w:w="0" w:type="auto"/>
            <w:tcBorders>
              <w:top w:val="nil"/>
            </w:tcBorders>
            <w:shd w:val="clear" w:color="auto" w:fill="auto"/>
            <w:noWrap/>
            <w:hideMark/>
          </w:tcPr>
          <w:p w:rsidR="00583BD3" w:rsidRPr="00062AB7" w:rsidRDefault="00583BD3" w:rsidP="000727E8">
            <w:pPr>
              <w:rPr>
                <w:rFonts w:ascii="Garamond" w:hAnsi="Garamond"/>
                <w:color w:val="000000"/>
                <w:sz w:val="20"/>
                <w:szCs w:val="20"/>
              </w:rPr>
            </w:pPr>
            <w:r w:rsidRPr="00062AB7">
              <w:rPr>
                <w:rFonts w:ascii="Garamond" w:hAnsi="Garamond" w:cs="Calibri"/>
                <w:color w:val="000000" w:themeColor="text1"/>
                <w:sz w:val="20"/>
                <w:szCs w:val="20"/>
              </w:rPr>
              <w:t>Yes</w:t>
            </w:r>
          </w:p>
        </w:tc>
        <w:tc>
          <w:tcPr>
            <w:tcW w:w="0" w:type="auto"/>
            <w:tcBorders>
              <w:top w:val="nil"/>
            </w:tcBorders>
            <w:shd w:val="clear" w:color="auto" w:fill="auto"/>
            <w:noWrap/>
            <w:hideMark/>
          </w:tcPr>
          <w:p w:rsidR="00583BD3" w:rsidRPr="00062AB7" w:rsidRDefault="00583BD3" w:rsidP="000727E8">
            <w:pPr>
              <w:rPr>
                <w:rFonts w:ascii="Garamond" w:hAnsi="Garamond"/>
                <w:color w:val="000000"/>
                <w:sz w:val="20"/>
                <w:szCs w:val="20"/>
              </w:rPr>
            </w:pPr>
            <w:r w:rsidRPr="00062AB7">
              <w:rPr>
                <w:rFonts w:ascii="Garamond" w:hAnsi="Garamond" w:cs="Calibri"/>
                <w:color w:val="000000" w:themeColor="text1"/>
                <w:sz w:val="20"/>
                <w:szCs w:val="20"/>
              </w:rPr>
              <w:t>Yes</w:t>
            </w:r>
          </w:p>
        </w:tc>
        <w:tc>
          <w:tcPr>
            <w:tcW w:w="0" w:type="auto"/>
            <w:tcBorders>
              <w:top w:val="nil"/>
            </w:tcBorders>
            <w:shd w:val="clear" w:color="auto" w:fill="auto"/>
            <w:noWrap/>
            <w:hideMark/>
          </w:tcPr>
          <w:p w:rsidR="00583BD3" w:rsidRPr="00062AB7" w:rsidRDefault="00583BD3" w:rsidP="000727E8">
            <w:pPr>
              <w:rPr>
                <w:rFonts w:ascii="Garamond" w:hAnsi="Garamond"/>
                <w:color w:val="000000"/>
                <w:sz w:val="20"/>
                <w:szCs w:val="20"/>
              </w:rPr>
            </w:pPr>
            <w:r w:rsidRPr="00062AB7">
              <w:rPr>
                <w:rFonts w:ascii="Garamond" w:hAnsi="Garamond" w:cs="Calibri"/>
                <w:color w:val="000000" w:themeColor="text1"/>
                <w:sz w:val="20"/>
                <w:szCs w:val="20"/>
              </w:rPr>
              <w:t>Yes</w:t>
            </w:r>
          </w:p>
        </w:tc>
        <w:tc>
          <w:tcPr>
            <w:tcW w:w="0" w:type="auto"/>
            <w:tcBorders>
              <w:top w:val="nil"/>
            </w:tcBorders>
            <w:shd w:val="clear" w:color="auto" w:fill="auto"/>
            <w:noWrap/>
            <w:hideMark/>
          </w:tcPr>
          <w:p w:rsidR="00583BD3" w:rsidRPr="00062AB7" w:rsidRDefault="00583BD3" w:rsidP="000727E8">
            <w:pPr>
              <w:rPr>
                <w:rFonts w:ascii="Garamond" w:hAnsi="Garamond"/>
                <w:color w:val="000000"/>
                <w:sz w:val="20"/>
                <w:szCs w:val="20"/>
              </w:rPr>
            </w:pPr>
            <w:r w:rsidRPr="00062AB7">
              <w:rPr>
                <w:rFonts w:ascii="Garamond" w:hAnsi="Garamond" w:cs="Calibri"/>
                <w:color w:val="000000" w:themeColor="text1"/>
                <w:sz w:val="20"/>
                <w:szCs w:val="20"/>
              </w:rPr>
              <w:t>Yes</w:t>
            </w:r>
          </w:p>
        </w:tc>
        <w:tc>
          <w:tcPr>
            <w:tcW w:w="0" w:type="auto"/>
            <w:tcBorders>
              <w:top w:val="nil"/>
            </w:tcBorders>
            <w:shd w:val="clear" w:color="auto" w:fill="auto"/>
            <w:noWrap/>
            <w:hideMark/>
          </w:tcPr>
          <w:p w:rsidR="00583BD3" w:rsidRPr="00062AB7" w:rsidRDefault="00583BD3" w:rsidP="000727E8">
            <w:pPr>
              <w:rPr>
                <w:rFonts w:ascii="Garamond" w:hAnsi="Garamond"/>
                <w:color w:val="000000"/>
                <w:sz w:val="20"/>
                <w:szCs w:val="20"/>
              </w:rPr>
            </w:pPr>
            <w:r w:rsidRPr="00062AB7">
              <w:rPr>
                <w:rFonts w:ascii="Garamond" w:hAnsi="Garamond" w:cs="Calibri"/>
                <w:color w:val="000000" w:themeColor="text1"/>
                <w:sz w:val="20"/>
                <w:szCs w:val="20"/>
              </w:rPr>
              <w:t>Yes</w:t>
            </w:r>
          </w:p>
        </w:tc>
      </w:tr>
      <w:tr w:rsidR="00583BD3" w:rsidRPr="00025A78"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themeColor="text1"/>
                <w:sz w:val="20"/>
                <w:szCs w:val="20"/>
              </w:rPr>
            </w:pPr>
            <w:proofErr w:type="spellStart"/>
            <w:r w:rsidRPr="00591C68">
              <w:rPr>
                <w:rFonts w:ascii="Garamond" w:hAnsi="Garamond" w:cs="Calibri"/>
                <w:color w:val="000000" w:themeColor="text1"/>
                <w:sz w:val="20"/>
                <w:szCs w:val="20"/>
              </w:rPr>
              <w:t>Adj</w:t>
            </w:r>
            <w:proofErr w:type="spellEnd"/>
            <w:r w:rsidRPr="00591C68">
              <w:rPr>
                <w:rFonts w:ascii="Garamond" w:hAnsi="Garamond" w:cs="Calibri"/>
                <w:color w:val="000000" w:themeColor="text1"/>
                <w:sz w:val="20"/>
                <w:szCs w:val="20"/>
              </w:rPr>
              <w:t xml:space="preserve"> R-square</w:t>
            </w:r>
          </w:p>
        </w:tc>
        <w:tc>
          <w:tcPr>
            <w:tcW w:w="0" w:type="auto"/>
            <w:shd w:val="clear" w:color="auto" w:fill="auto"/>
            <w:noWrap/>
            <w:vAlign w:val="bottom"/>
            <w:hideMark/>
          </w:tcPr>
          <w:p w:rsidR="00583BD3" w:rsidRPr="00025A78" w:rsidRDefault="00583BD3" w:rsidP="000727E8">
            <w:pPr>
              <w:rPr>
                <w:rFonts w:ascii="Garamond" w:hAnsi="Garamond"/>
                <w:color w:val="000000"/>
                <w:sz w:val="20"/>
                <w:szCs w:val="20"/>
              </w:rPr>
            </w:pPr>
            <w:r w:rsidRPr="00025A78">
              <w:rPr>
                <w:rFonts w:ascii="Garamond" w:hAnsi="Garamond" w:hint="eastAsia"/>
                <w:color w:val="000000"/>
                <w:sz w:val="20"/>
                <w:szCs w:val="20"/>
              </w:rPr>
              <w:t>0.0779</w:t>
            </w:r>
          </w:p>
        </w:tc>
        <w:tc>
          <w:tcPr>
            <w:tcW w:w="0" w:type="auto"/>
            <w:shd w:val="clear" w:color="auto" w:fill="auto"/>
            <w:noWrap/>
            <w:vAlign w:val="bottom"/>
            <w:hideMark/>
          </w:tcPr>
          <w:p w:rsidR="00583BD3" w:rsidRPr="00025A78" w:rsidRDefault="00583BD3" w:rsidP="000727E8">
            <w:pPr>
              <w:rPr>
                <w:rFonts w:ascii="Garamond" w:hAnsi="Garamond"/>
                <w:color w:val="000000"/>
                <w:sz w:val="20"/>
                <w:szCs w:val="20"/>
              </w:rPr>
            </w:pPr>
            <w:r w:rsidRPr="00025A78">
              <w:rPr>
                <w:rFonts w:ascii="Garamond" w:hAnsi="Garamond" w:hint="eastAsia"/>
                <w:color w:val="000000"/>
                <w:sz w:val="20"/>
                <w:szCs w:val="20"/>
              </w:rPr>
              <w:t>0.0788</w:t>
            </w:r>
          </w:p>
        </w:tc>
        <w:tc>
          <w:tcPr>
            <w:tcW w:w="0" w:type="auto"/>
            <w:shd w:val="clear" w:color="auto" w:fill="auto"/>
            <w:noWrap/>
            <w:vAlign w:val="bottom"/>
            <w:hideMark/>
          </w:tcPr>
          <w:p w:rsidR="00583BD3" w:rsidRPr="00025A78" w:rsidRDefault="00583BD3" w:rsidP="000727E8">
            <w:pPr>
              <w:rPr>
                <w:rFonts w:ascii="Garamond" w:hAnsi="Garamond"/>
                <w:color w:val="000000"/>
                <w:sz w:val="20"/>
                <w:szCs w:val="20"/>
              </w:rPr>
            </w:pPr>
            <w:r w:rsidRPr="00025A78">
              <w:rPr>
                <w:rFonts w:ascii="Garamond" w:hAnsi="Garamond" w:hint="eastAsia"/>
                <w:color w:val="000000"/>
                <w:sz w:val="20"/>
                <w:szCs w:val="20"/>
              </w:rPr>
              <w:t>0.0777</w:t>
            </w:r>
          </w:p>
        </w:tc>
        <w:tc>
          <w:tcPr>
            <w:tcW w:w="0" w:type="auto"/>
            <w:shd w:val="clear" w:color="auto" w:fill="auto"/>
            <w:noWrap/>
            <w:vAlign w:val="bottom"/>
            <w:hideMark/>
          </w:tcPr>
          <w:p w:rsidR="00583BD3" w:rsidRPr="00025A78" w:rsidRDefault="00583BD3" w:rsidP="000727E8">
            <w:pPr>
              <w:rPr>
                <w:rFonts w:ascii="Garamond" w:hAnsi="Garamond"/>
                <w:color w:val="000000"/>
                <w:sz w:val="20"/>
                <w:szCs w:val="20"/>
              </w:rPr>
            </w:pPr>
            <w:r w:rsidRPr="00025A78">
              <w:rPr>
                <w:rFonts w:ascii="Garamond" w:hAnsi="Garamond" w:hint="eastAsia"/>
                <w:color w:val="000000"/>
                <w:sz w:val="20"/>
                <w:szCs w:val="20"/>
              </w:rPr>
              <w:t>0.0776</w:t>
            </w:r>
          </w:p>
        </w:tc>
        <w:tc>
          <w:tcPr>
            <w:tcW w:w="0" w:type="auto"/>
            <w:shd w:val="clear" w:color="auto" w:fill="auto"/>
            <w:noWrap/>
            <w:vAlign w:val="center"/>
            <w:hideMark/>
          </w:tcPr>
          <w:p w:rsidR="00583BD3" w:rsidRPr="00025A78" w:rsidRDefault="00583BD3" w:rsidP="000727E8">
            <w:pPr>
              <w:rPr>
                <w:rFonts w:ascii="Garamond" w:hAnsi="Garamond"/>
                <w:color w:val="000000"/>
                <w:sz w:val="20"/>
                <w:szCs w:val="20"/>
              </w:rPr>
            </w:pPr>
            <w:r w:rsidRPr="00025A78">
              <w:rPr>
                <w:rFonts w:ascii="Garamond" w:hAnsi="Garamond" w:hint="eastAsia"/>
                <w:color w:val="000000"/>
                <w:sz w:val="20"/>
                <w:szCs w:val="20"/>
              </w:rPr>
              <w:t>0.0784</w:t>
            </w:r>
          </w:p>
        </w:tc>
        <w:tc>
          <w:tcPr>
            <w:tcW w:w="0" w:type="auto"/>
            <w:shd w:val="clear" w:color="auto" w:fill="auto"/>
            <w:noWrap/>
            <w:vAlign w:val="center"/>
            <w:hideMark/>
          </w:tcPr>
          <w:p w:rsidR="00583BD3" w:rsidRPr="00025A78" w:rsidRDefault="00583BD3" w:rsidP="000727E8">
            <w:pPr>
              <w:rPr>
                <w:rFonts w:ascii="Garamond" w:hAnsi="Garamond"/>
                <w:color w:val="000000"/>
                <w:sz w:val="20"/>
                <w:szCs w:val="20"/>
              </w:rPr>
            </w:pPr>
            <w:r w:rsidRPr="00025A78">
              <w:rPr>
                <w:rFonts w:ascii="Garamond" w:hAnsi="Garamond" w:hint="eastAsia"/>
                <w:color w:val="000000"/>
                <w:sz w:val="20"/>
                <w:szCs w:val="20"/>
              </w:rPr>
              <w:t>0.0785</w:t>
            </w:r>
          </w:p>
        </w:tc>
      </w:tr>
      <w:tr w:rsidR="00583BD3" w:rsidRPr="00B454FC"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themeColor="text1"/>
                <w:sz w:val="20"/>
                <w:szCs w:val="20"/>
              </w:rPr>
            </w:pPr>
            <w:r w:rsidRPr="00591C68">
              <w:rPr>
                <w:rFonts w:ascii="Garamond" w:hAnsi="Garamond" w:cs="Calibri"/>
                <w:color w:val="000000" w:themeColor="text1"/>
                <w:sz w:val="20"/>
                <w:szCs w:val="20"/>
              </w:rPr>
              <w:t>No. of Observation</w:t>
            </w:r>
          </w:p>
        </w:tc>
        <w:tc>
          <w:tcPr>
            <w:tcW w:w="0" w:type="auto"/>
            <w:shd w:val="clear" w:color="auto" w:fill="auto"/>
            <w:noWrap/>
            <w:vAlign w:val="bottom"/>
            <w:hideMark/>
          </w:tcPr>
          <w:p w:rsidR="00583BD3" w:rsidRPr="00062AB7" w:rsidRDefault="00583BD3" w:rsidP="000727E8">
            <w:pPr>
              <w:rPr>
                <w:rFonts w:ascii="Garamond" w:hAnsi="Garamond" w:cs="Calibri"/>
                <w:color w:val="000000" w:themeColor="text1"/>
                <w:sz w:val="20"/>
                <w:szCs w:val="20"/>
              </w:rPr>
            </w:pPr>
            <w:r w:rsidRPr="00062AB7">
              <w:rPr>
                <w:rFonts w:ascii="Garamond" w:hAnsi="Garamond"/>
                <w:color w:val="000000"/>
                <w:sz w:val="20"/>
                <w:szCs w:val="20"/>
              </w:rPr>
              <w:t>2</w:t>
            </w:r>
            <w:r>
              <w:rPr>
                <w:rFonts w:ascii="Garamond" w:hAnsi="Garamond"/>
                <w:color w:val="000000"/>
                <w:sz w:val="20"/>
                <w:szCs w:val="20"/>
              </w:rPr>
              <w:t>,</w:t>
            </w:r>
            <w:r w:rsidRPr="00062AB7">
              <w:rPr>
                <w:rFonts w:ascii="Garamond" w:hAnsi="Garamond"/>
                <w:color w:val="000000"/>
                <w:sz w:val="20"/>
                <w:szCs w:val="20"/>
              </w:rPr>
              <w:t>631</w:t>
            </w:r>
          </w:p>
        </w:tc>
        <w:tc>
          <w:tcPr>
            <w:tcW w:w="0" w:type="auto"/>
            <w:shd w:val="clear" w:color="auto" w:fill="auto"/>
            <w:noWrap/>
            <w:vAlign w:val="bottom"/>
            <w:hideMark/>
          </w:tcPr>
          <w:p w:rsidR="00583BD3" w:rsidRPr="00062AB7" w:rsidRDefault="00583BD3" w:rsidP="000727E8">
            <w:pPr>
              <w:rPr>
                <w:rFonts w:ascii="Garamond" w:hAnsi="Garamond" w:cs="Calibri"/>
                <w:color w:val="000000" w:themeColor="text1"/>
                <w:sz w:val="20"/>
                <w:szCs w:val="20"/>
              </w:rPr>
            </w:pPr>
            <w:r w:rsidRPr="00062AB7">
              <w:rPr>
                <w:rFonts w:ascii="Garamond" w:hAnsi="Garamond"/>
                <w:color w:val="000000"/>
                <w:sz w:val="20"/>
                <w:szCs w:val="20"/>
              </w:rPr>
              <w:t>2</w:t>
            </w:r>
            <w:r>
              <w:rPr>
                <w:rFonts w:ascii="Garamond" w:hAnsi="Garamond"/>
                <w:color w:val="000000"/>
                <w:sz w:val="20"/>
                <w:szCs w:val="20"/>
              </w:rPr>
              <w:t>,</w:t>
            </w:r>
            <w:r w:rsidRPr="00062AB7">
              <w:rPr>
                <w:rFonts w:ascii="Garamond" w:hAnsi="Garamond"/>
                <w:color w:val="000000"/>
                <w:sz w:val="20"/>
                <w:szCs w:val="20"/>
              </w:rPr>
              <w:t>631</w:t>
            </w:r>
          </w:p>
        </w:tc>
        <w:tc>
          <w:tcPr>
            <w:tcW w:w="0" w:type="auto"/>
            <w:shd w:val="clear" w:color="auto" w:fill="auto"/>
            <w:noWrap/>
            <w:vAlign w:val="bottom"/>
            <w:hideMark/>
          </w:tcPr>
          <w:p w:rsidR="00583BD3" w:rsidRPr="00062AB7" w:rsidRDefault="00583BD3" w:rsidP="000727E8">
            <w:pPr>
              <w:rPr>
                <w:rFonts w:ascii="Garamond" w:hAnsi="Garamond" w:cs="Calibri"/>
                <w:color w:val="000000" w:themeColor="text1"/>
                <w:sz w:val="20"/>
                <w:szCs w:val="20"/>
              </w:rPr>
            </w:pPr>
            <w:r w:rsidRPr="00062AB7">
              <w:rPr>
                <w:rFonts w:ascii="Garamond" w:hAnsi="Garamond"/>
                <w:color w:val="000000"/>
                <w:sz w:val="20"/>
                <w:szCs w:val="20"/>
              </w:rPr>
              <w:t>2</w:t>
            </w:r>
            <w:r>
              <w:rPr>
                <w:rFonts w:ascii="Garamond" w:hAnsi="Garamond"/>
                <w:color w:val="000000"/>
                <w:sz w:val="20"/>
                <w:szCs w:val="20"/>
              </w:rPr>
              <w:t>,</w:t>
            </w:r>
            <w:r w:rsidRPr="00062AB7">
              <w:rPr>
                <w:rFonts w:ascii="Garamond" w:hAnsi="Garamond"/>
                <w:color w:val="000000"/>
                <w:sz w:val="20"/>
                <w:szCs w:val="20"/>
              </w:rPr>
              <w:t>631</w:t>
            </w:r>
          </w:p>
        </w:tc>
        <w:tc>
          <w:tcPr>
            <w:tcW w:w="0" w:type="auto"/>
            <w:shd w:val="clear" w:color="auto" w:fill="auto"/>
            <w:noWrap/>
            <w:vAlign w:val="bottom"/>
            <w:hideMark/>
          </w:tcPr>
          <w:p w:rsidR="00583BD3" w:rsidRPr="00062AB7" w:rsidRDefault="00583BD3" w:rsidP="000727E8">
            <w:pPr>
              <w:rPr>
                <w:rFonts w:ascii="Garamond" w:hAnsi="Garamond" w:cs="Calibri"/>
                <w:color w:val="000000" w:themeColor="text1"/>
                <w:sz w:val="20"/>
                <w:szCs w:val="20"/>
              </w:rPr>
            </w:pPr>
            <w:r w:rsidRPr="00062AB7">
              <w:rPr>
                <w:rFonts w:ascii="Garamond" w:hAnsi="Garamond"/>
                <w:color w:val="000000"/>
                <w:sz w:val="20"/>
                <w:szCs w:val="20"/>
              </w:rPr>
              <w:t>2</w:t>
            </w:r>
            <w:r>
              <w:rPr>
                <w:rFonts w:ascii="Garamond" w:hAnsi="Garamond"/>
                <w:color w:val="000000"/>
                <w:sz w:val="20"/>
                <w:szCs w:val="20"/>
              </w:rPr>
              <w:t>,</w:t>
            </w:r>
            <w:r w:rsidRPr="00062AB7">
              <w:rPr>
                <w:rFonts w:ascii="Garamond" w:hAnsi="Garamond"/>
                <w:color w:val="000000"/>
                <w:sz w:val="20"/>
                <w:szCs w:val="20"/>
              </w:rPr>
              <w:t>631</w:t>
            </w:r>
          </w:p>
        </w:tc>
        <w:tc>
          <w:tcPr>
            <w:tcW w:w="0" w:type="auto"/>
            <w:shd w:val="clear" w:color="auto" w:fill="auto"/>
            <w:noWrap/>
            <w:vAlign w:val="bottom"/>
            <w:hideMark/>
          </w:tcPr>
          <w:p w:rsidR="00583BD3" w:rsidRPr="00062AB7" w:rsidRDefault="00583BD3" w:rsidP="000727E8">
            <w:pPr>
              <w:rPr>
                <w:rFonts w:ascii="Garamond" w:hAnsi="Garamond" w:cs="Calibri"/>
                <w:color w:val="000000" w:themeColor="text1"/>
                <w:sz w:val="20"/>
                <w:szCs w:val="20"/>
              </w:rPr>
            </w:pPr>
            <w:r w:rsidRPr="00062AB7">
              <w:rPr>
                <w:rFonts w:ascii="Garamond" w:hAnsi="Garamond"/>
                <w:color w:val="000000"/>
                <w:sz w:val="20"/>
                <w:szCs w:val="20"/>
              </w:rPr>
              <w:t>2</w:t>
            </w:r>
            <w:r>
              <w:rPr>
                <w:rFonts w:ascii="Garamond" w:hAnsi="Garamond"/>
                <w:color w:val="000000"/>
                <w:sz w:val="20"/>
                <w:szCs w:val="20"/>
              </w:rPr>
              <w:t>,</w:t>
            </w:r>
            <w:r w:rsidRPr="00062AB7">
              <w:rPr>
                <w:rFonts w:ascii="Garamond" w:hAnsi="Garamond"/>
                <w:color w:val="000000"/>
                <w:sz w:val="20"/>
                <w:szCs w:val="20"/>
              </w:rPr>
              <w:t>631</w:t>
            </w:r>
          </w:p>
        </w:tc>
        <w:tc>
          <w:tcPr>
            <w:tcW w:w="0" w:type="auto"/>
            <w:shd w:val="clear" w:color="auto" w:fill="auto"/>
            <w:noWrap/>
            <w:vAlign w:val="bottom"/>
            <w:hideMark/>
          </w:tcPr>
          <w:p w:rsidR="00583BD3" w:rsidRPr="00062AB7" w:rsidRDefault="00583BD3" w:rsidP="000727E8">
            <w:pPr>
              <w:rPr>
                <w:rFonts w:ascii="Garamond" w:hAnsi="Garamond" w:cs="Calibri"/>
                <w:color w:val="000000" w:themeColor="text1"/>
                <w:sz w:val="20"/>
                <w:szCs w:val="20"/>
              </w:rPr>
            </w:pPr>
            <w:r w:rsidRPr="00062AB7">
              <w:rPr>
                <w:rFonts w:ascii="Garamond" w:hAnsi="Garamond"/>
                <w:color w:val="000000"/>
                <w:sz w:val="20"/>
                <w:szCs w:val="20"/>
              </w:rPr>
              <w:t>2</w:t>
            </w:r>
            <w:r>
              <w:rPr>
                <w:rFonts w:ascii="Garamond" w:hAnsi="Garamond"/>
                <w:color w:val="000000"/>
                <w:sz w:val="20"/>
                <w:szCs w:val="20"/>
              </w:rPr>
              <w:t>,</w:t>
            </w:r>
            <w:r w:rsidRPr="00062AB7">
              <w:rPr>
                <w:rFonts w:ascii="Garamond" w:hAnsi="Garamond"/>
                <w:color w:val="000000"/>
                <w:sz w:val="20"/>
                <w:szCs w:val="20"/>
              </w:rPr>
              <w:t>631</w:t>
            </w:r>
          </w:p>
        </w:tc>
      </w:tr>
      <w:tr w:rsidR="00583BD3" w:rsidRPr="00B454FC"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themeColor="text1"/>
                <w:sz w:val="20"/>
                <w:szCs w:val="20"/>
              </w:rPr>
            </w:pPr>
            <w:r w:rsidRPr="00591C68">
              <w:rPr>
                <w:rFonts w:ascii="Garamond" w:hAnsi="Garamond" w:cs="Calibri"/>
                <w:color w:val="000000" w:themeColor="text1"/>
                <w:sz w:val="20"/>
                <w:szCs w:val="20"/>
              </w:rPr>
              <w:t>No. of Female CFOs</w:t>
            </w:r>
          </w:p>
        </w:tc>
        <w:tc>
          <w:tcPr>
            <w:tcW w:w="0" w:type="auto"/>
            <w:shd w:val="clear" w:color="auto" w:fill="auto"/>
            <w:noWrap/>
            <w:vAlign w:val="center"/>
            <w:hideMark/>
          </w:tcPr>
          <w:p w:rsidR="00583BD3" w:rsidRPr="00062AB7" w:rsidRDefault="00583BD3" w:rsidP="000727E8">
            <w:pPr>
              <w:rPr>
                <w:rFonts w:ascii="Garamond" w:hAnsi="Garamond" w:cs="Calibri"/>
                <w:color w:val="000000" w:themeColor="text1"/>
                <w:sz w:val="20"/>
                <w:szCs w:val="20"/>
              </w:rPr>
            </w:pPr>
            <w:r w:rsidRPr="00062AB7">
              <w:rPr>
                <w:rFonts w:ascii="Garamond" w:hAnsi="Garamond"/>
                <w:color w:val="000000"/>
                <w:sz w:val="20"/>
                <w:szCs w:val="20"/>
              </w:rPr>
              <w:t>117</w:t>
            </w:r>
          </w:p>
        </w:tc>
        <w:tc>
          <w:tcPr>
            <w:tcW w:w="0" w:type="auto"/>
            <w:shd w:val="clear" w:color="auto" w:fill="auto"/>
            <w:noWrap/>
            <w:vAlign w:val="center"/>
            <w:hideMark/>
          </w:tcPr>
          <w:p w:rsidR="00583BD3" w:rsidRPr="00062AB7" w:rsidRDefault="00583BD3" w:rsidP="000727E8">
            <w:pPr>
              <w:rPr>
                <w:rFonts w:ascii="Garamond" w:hAnsi="Garamond" w:cs="Calibri"/>
                <w:color w:val="000000" w:themeColor="text1"/>
                <w:sz w:val="20"/>
                <w:szCs w:val="20"/>
              </w:rPr>
            </w:pPr>
            <w:r w:rsidRPr="00062AB7">
              <w:rPr>
                <w:rFonts w:ascii="Garamond" w:hAnsi="Garamond"/>
                <w:color w:val="000000"/>
                <w:sz w:val="20"/>
                <w:szCs w:val="20"/>
              </w:rPr>
              <w:t>117</w:t>
            </w:r>
          </w:p>
        </w:tc>
        <w:tc>
          <w:tcPr>
            <w:tcW w:w="0" w:type="auto"/>
            <w:shd w:val="clear" w:color="auto" w:fill="auto"/>
            <w:noWrap/>
            <w:vAlign w:val="center"/>
            <w:hideMark/>
          </w:tcPr>
          <w:p w:rsidR="00583BD3" w:rsidRPr="00062AB7" w:rsidRDefault="00583BD3" w:rsidP="000727E8">
            <w:pPr>
              <w:rPr>
                <w:rFonts w:ascii="Garamond" w:hAnsi="Garamond" w:cs="Calibri"/>
                <w:color w:val="000000" w:themeColor="text1"/>
                <w:sz w:val="20"/>
                <w:szCs w:val="20"/>
              </w:rPr>
            </w:pPr>
            <w:r w:rsidRPr="00062AB7">
              <w:rPr>
                <w:rFonts w:ascii="Garamond" w:hAnsi="Garamond"/>
                <w:color w:val="000000"/>
                <w:sz w:val="20"/>
                <w:szCs w:val="20"/>
              </w:rPr>
              <w:t>117</w:t>
            </w:r>
          </w:p>
        </w:tc>
        <w:tc>
          <w:tcPr>
            <w:tcW w:w="0" w:type="auto"/>
            <w:shd w:val="clear" w:color="auto" w:fill="auto"/>
            <w:noWrap/>
            <w:vAlign w:val="center"/>
            <w:hideMark/>
          </w:tcPr>
          <w:p w:rsidR="00583BD3" w:rsidRPr="00062AB7" w:rsidRDefault="00583BD3" w:rsidP="000727E8">
            <w:pPr>
              <w:rPr>
                <w:rFonts w:ascii="Garamond" w:hAnsi="Garamond" w:cs="Calibri"/>
                <w:color w:val="000000" w:themeColor="text1"/>
                <w:sz w:val="20"/>
                <w:szCs w:val="20"/>
              </w:rPr>
            </w:pPr>
            <w:r w:rsidRPr="00062AB7">
              <w:rPr>
                <w:rFonts w:ascii="Garamond" w:hAnsi="Garamond"/>
                <w:color w:val="000000"/>
                <w:sz w:val="20"/>
                <w:szCs w:val="20"/>
              </w:rPr>
              <w:t>117</w:t>
            </w:r>
          </w:p>
        </w:tc>
        <w:tc>
          <w:tcPr>
            <w:tcW w:w="0" w:type="auto"/>
            <w:shd w:val="clear" w:color="auto" w:fill="auto"/>
            <w:noWrap/>
            <w:vAlign w:val="center"/>
            <w:hideMark/>
          </w:tcPr>
          <w:p w:rsidR="00583BD3" w:rsidRPr="00062AB7" w:rsidRDefault="00583BD3" w:rsidP="000727E8">
            <w:pPr>
              <w:rPr>
                <w:rFonts w:ascii="Garamond" w:hAnsi="Garamond" w:cs="Calibri"/>
                <w:color w:val="000000" w:themeColor="text1"/>
                <w:sz w:val="20"/>
                <w:szCs w:val="20"/>
              </w:rPr>
            </w:pPr>
            <w:r w:rsidRPr="00062AB7">
              <w:rPr>
                <w:rFonts w:ascii="Garamond" w:hAnsi="Garamond"/>
                <w:color w:val="000000"/>
                <w:sz w:val="20"/>
                <w:szCs w:val="20"/>
              </w:rPr>
              <w:t>117</w:t>
            </w:r>
          </w:p>
        </w:tc>
        <w:tc>
          <w:tcPr>
            <w:tcW w:w="0" w:type="auto"/>
            <w:shd w:val="clear" w:color="auto" w:fill="auto"/>
            <w:noWrap/>
            <w:vAlign w:val="center"/>
            <w:hideMark/>
          </w:tcPr>
          <w:p w:rsidR="00583BD3" w:rsidRPr="00062AB7" w:rsidRDefault="00583BD3" w:rsidP="000727E8">
            <w:pPr>
              <w:rPr>
                <w:rFonts w:ascii="Garamond" w:hAnsi="Garamond" w:cs="Calibri"/>
                <w:color w:val="000000" w:themeColor="text1"/>
                <w:sz w:val="20"/>
                <w:szCs w:val="20"/>
              </w:rPr>
            </w:pPr>
            <w:r w:rsidRPr="00062AB7">
              <w:rPr>
                <w:rFonts w:ascii="Garamond" w:hAnsi="Garamond"/>
                <w:color w:val="000000"/>
                <w:sz w:val="20"/>
                <w:szCs w:val="20"/>
              </w:rPr>
              <w:t>117</w:t>
            </w:r>
          </w:p>
        </w:tc>
      </w:tr>
      <w:tr w:rsidR="00583BD3" w:rsidRPr="00B454FC" w:rsidTr="000727E8">
        <w:trPr>
          <w:trHeight w:hRule="exact" w:val="255"/>
        </w:trPr>
        <w:tc>
          <w:tcPr>
            <w:tcW w:w="0" w:type="auto"/>
            <w:shd w:val="clear" w:color="auto" w:fill="auto"/>
            <w:noWrap/>
            <w:hideMark/>
          </w:tcPr>
          <w:p w:rsidR="00583BD3" w:rsidRPr="00591C68" w:rsidRDefault="00583BD3" w:rsidP="000727E8">
            <w:pPr>
              <w:jc w:val="center"/>
              <w:rPr>
                <w:rFonts w:ascii="Garamond" w:hAnsi="Garamond" w:cs="Calibri"/>
                <w:color w:val="000000" w:themeColor="text1"/>
                <w:sz w:val="20"/>
                <w:szCs w:val="20"/>
              </w:rPr>
            </w:pPr>
            <w:r w:rsidRPr="00591C68">
              <w:rPr>
                <w:rFonts w:ascii="Garamond" w:hAnsi="Garamond" w:cs="Calibri"/>
                <w:color w:val="000000" w:themeColor="text1"/>
                <w:sz w:val="20"/>
                <w:szCs w:val="20"/>
              </w:rPr>
              <w:t>Average Leverage</w:t>
            </w:r>
          </w:p>
        </w:tc>
        <w:tc>
          <w:tcPr>
            <w:tcW w:w="0" w:type="auto"/>
            <w:shd w:val="clear" w:color="auto" w:fill="auto"/>
            <w:noWrap/>
            <w:vAlign w:val="center"/>
            <w:hideMark/>
          </w:tcPr>
          <w:p w:rsidR="00583BD3" w:rsidRDefault="00583BD3" w:rsidP="000727E8">
            <w:pPr>
              <w:rPr>
                <w:rFonts w:ascii="Garamond" w:hAnsi="Garamond"/>
                <w:color w:val="000000"/>
                <w:sz w:val="20"/>
                <w:szCs w:val="20"/>
              </w:rPr>
            </w:pPr>
            <w:r>
              <w:rPr>
                <w:rFonts w:ascii="Garamond" w:hAnsi="Garamond"/>
                <w:color w:val="000000"/>
                <w:sz w:val="20"/>
                <w:szCs w:val="20"/>
              </w:rPr>
              <w:t>0.2682</w:t>
            </w:r>
          </w:p>
        </w:tc>
        <w:tc>
          <w:tcPr>
            <w:tcW w:w="0" w:type="auto"/>
            <w:shd w:val="clear" w:color="auto" w:fill="auto"/>
            <w:noWrap/>
            <w:vAlign w:val="center"/>
            <w:hideMark/>
          </w:tcPr>
          <w:p w:rsidR="00583BD3" w:rsidRDefault="00583BD3" w:rsidP="000727E8">
            <w:pPr>
              <w:rPr>
                <w:rFonts w:ascii="Garamond" w:hAnsi="Garamond"/>
                <w:color w:val="000000"/>
                <w:sz w:val="20"/>
                <w:szCs w:val="20"/>
              </w:rPr>
            </w:pPr>
            <w:r>
              <w:rPr>
                <w:rFonts w:ascii="Garamond" w:hAnsi="Garamond"/>
                <w:color w:val="000000"/>
                <w:sz w:val="20"/>
                <w:szCs w:val="20"/>
              </w:rPr>
              <w:t>0.2682</w:t>
            </w:r>
          </w:p>
        </w:tc>
        <w:tc>
          <w:tcPr>
            <w:tcW w:w="0" w:type="auto"/>
            <w:shd w:val="clear" w:color="auto" w:fill="auto"/>
            <w:noWrap/>
            <w:vAlign w:val="center"/>
            <w:hideMark/>
          </w:tcPr>
          <w:p w:rsidR="00583BD3" w:rsidRDefault="00583BD3" w:rsidP="000727E8">
            <w:pPr>
              <w:rPr>
                <w:rFonts w:ascii="Garamond" w:hAnsi="Garamond"/>
                <w:color w:val="000000"/>
                <w:sz w:val="20"/>
                <w:szCs w:val="20"/>
              </w:rPr>
            </w:pPr>
            <w:r>
              <w:rPr>
                <w:rFonts w:ascii="Garamond" w:hAnsi="Garamond"/>
                <w:color w:val="000000"/>
                <w:sz w:val="20"/>
                <w:szCs w:val="20"/>
              </w:rPr>
              <w:t>0.2682</w:t>
            </w:r>
          </w:p>
        </w:tc>
        <w:tc>
          <w:tcPr>
            <w:tcW w:w="0" w:type="auto"/>
            <w:shd w:val="clear" w:color="auto" w:fill="auto"/>
            <w:noWrap/>
            <w:vAlign w:val="center"/>
            <w:hideMark/>
          </w:tcPr>
          <w:p w:rsidR="00583BD3" w:rsidRDefault="00583BD3" w:rsidP="000727E8">
            <w:pPr>
              <w:rPr>
                <w:rFonts w:ascii="Garamond" w:hAnsi="Garamond"/>
                <w:color w:val="000000"/>
                <w:sz w:val="20"/>
                <w:szCs w:val="20"/>
              </w:rPr>
            </w:pPr>
            <w:r>
              <w:rPr>
                <w:rFonts w:ascii="Garamond" w:hAnsi="Garamond"/>
                <w:color w:val="000000"/>
                <w:sz w:val="20"/>
                <w:szCs w:val="20"/>
              </w:rPr>
              <w:t>0.2682</w:t>
            </w:r>
          </w:p>
        </w:tc>
        <w:tc>
          <w:tcPr>
            <w:tcW w:w="0" w:type="auto"/>
            <w:shd w:val="clear" w:color="auto" w:fill="auto"/>
            <w:noWrap/>
            <w:vAlign w:val="center"/>
            <w:hideMark/>
          </w:tcPr>
          <w:p w:rsidR="00583BD3" w:rsidRDefault="00583BD3" w:rsidP="000727E8">
            <w:pPr>
              <w:rPr>
                <w:rFonts w:ascii="Garamond" w:hAnsi="Garamond"/>
                <w:color w:val="000000"/>
                <w:sz w:val="20"/>
                <w:szCs w:val="20"/>
              </w:rPr>
            </w:pPr>
            <w:r>
              <w:rPr>
                <w:rFonts w:ascii="Garamond" w:hAnsi="Garamond"/>
                <w:color w:val="000000"/>
                <w:sz w:val="20"/>
                <w:szCs w:val="20"/>
              </w:rPr>
              <w:t>0.2682</w:t>
            </w:r>
          </w:p>
        </w:tc>
        <w:tc>
          <w:tcPr>
            <w:tcW w:w="0" w:type="auto"/>
            <w:shd w:val="clear" w:color="auto" w:fill="auto"/>
            <w:noWrap/>
            <w:vAlign w:val="center"/>
            <w:hideMark/>
          </w:tcPr>
          <w:p w:rsidR="00583BD3" w:rsidRDefault="00583BD3" w:rsidP="000727E8">
            <w:pPr>
              <w:rPr>
                <w:rFonts w:ascii="Garamond" w:hAnsi="Garamond"/>
                <w:color w:val="000000"/>
                <w:sz w:val="20"/>
                <w:szCs w:val="20"/>
              </w:rPr>
            </w:pPr>
            <w:r>
              <w:rPr>
                <w:rFonts w:ascii="Garamond" w:hAnsi="Garamond"/>
                <w:color w:val="000000"/>
                <w:sz w:val="20"/>
                <w:szCs w:val="20"/>
              </w:rPr>
              <w:t>0.2682</w:t>
            </w:r>
          </w:p>
        </w:tc>
      </w:tr>
    </w:tbl>
    <w:p w:rsidR="00583BD3" w:rsidRDefault="00583BD3" w:rsidP="00583BD3"/>
    <w:p w:rsidR="00583BD3" w:rsidRDefault="00583BD3" w:rsidP="00583BD3"/>
    <w:p w:rsidR="00583BD3" w:rsidRDefault="00583BD3" w:rsidP="00583BD3">
      <w:pPr>
        <w:jc w:val="both"/>
        <w:rPr>
          <w:rFonts w:ascii="Garamond" w:hAnsi="Garamond"/>
          <w:b/>
          <w:sz w:val="20"/>
        </w:rPr>
      </w:pPr>
    </w:p>
    <w:p w:rsidR="00583BD3" w:rsidRDefault="00583BD3" w:rsidP="00583BD3">
      <w:pPr>
        <w:jc w:val="both"/>
        <w:rPr>
          <w:rFonts w:ascii="Garamond" w:hAnsi="Garamond"/>
          <w:b/>
          <w:sz w:val="20"/>
        </w:rPr>
      </w:pPr>
    </w:p>
    <w:p w:rsidR="00583BD3" w:rsidRDefault="00583BD3" w:rsidP="00583BD3">
      <w:pPr>
        <w:jc w:val="both"/>
        <w:rPr>
          <w:rFonts w:ascii="Garamond" w:hAnsi="Garamond"/>
          <w:b/>
          <w:sz w:val="20"/>
        </w:rPr>
      </w:pPr>
    </w:p>
    <w:p w:rsidR="00583BD3" w:rsidRDefault="00583BD3" w:rsidP="00583BD3">
      <w:pPr>
        <w:jc w:val="both"/>
        <w:rPr>
          <w:rFonts w:ascii="Garamond" w:hAnsi="Garamond"/>
          <w:b/>
          <w:sz w:val="20"/>
        </w:rPr>
      </w:pPr>
    </w:p>
    <w:p w:rsidR="00583BD3" w:rsidRDefault="00583BD3" w:rsidP="00583BD3">
      <w:pPr>
        <w:jc w:val="both"/>
        <w:rPr>
          <w:rFonts w:ascii="Garamond" w:hAnsi="Garamond"/>
          <w:sz w:val="20"/>
        </w:rPr>
      </w:pPr>
      <w:r w:rsidRPr="000E4A73">
        <w:rPr>
          <w:rFonts w:ascii="Garamond" w:hAnsi="Garamond"/>
          <w:b/>
          <w:sz w:val="20"/>
        </w:rPr>
        <w:lastRenderedPageBreak/>
        <w:t xml:space="preserve">Table </w:t>
      </w:r>
      <w:r>
        <w:rPr>
          <w:rFonts w:ascii="Garamond" w:hAnsi="Garamond"/>
          <w:b/>
          <w:sz w:val="20"/>
        </w:rPr>
        <w:t>9</w:t>
      </w:r>
      <w:r w:rsidRPr="000E4A73">
        <w:rPr>
          <w:rFonts w:ascii="Garamond" w:hAnsi="Garamond"/>
          <w:b/>
          <w:sz w:val="20"/>
        </w:rPr>
        <w:t>:</w:t>
      </w:r>
      <w:r w:rsidRPr="000E4A73">
        <w:rPr>
          <w:rFonts w:ascii="Garamond" w:hAnsi="Garamond"/>
          <w:sz w:val="20"/>
        </w:rPr>
        <w:t xml:space="preserve"> </w:t>
      </w:r>
      <w:r>
        <w:rPr>
          <w:rFonts w:ascii="Garamond" w:hAnsi="Garamond"/>
          <w:b/>
          <w:sz w:val="20"/>
        </w:rPr>
        <w:t>Difference-in-Difference Analysis</w:t>
      </w:r>
      <w:r w:rsidRPr="00D0508D">
        <w:rPr>
          <w:rFonts w:ascii="Garamond" w:hAnsi="Garamond"/>
          <w:b/>
          <w:sz w:val="20"/>
        </w:rPr>
        <w:t>.</w:t>
      </w:r>
      <w:r w:rsidRPr="000E4A73">
        <w:rPr>
          <w:rFonts w:ascii="Garamond" w:hAnsi="Garamond"/>
          <w:sz w:val="20"/>
        </w:rPr>
        <w:t xml:space="preserve">  </w:t>
      </w:r>
    </w:p>
    <w:p w:rsidR="00583BD3" w:rsidRDefault="00583BD3" w:rsidP="00583BD3">
      <w:pPr>
        <w:jc w:val="both"/>
        <w:rPr>
          <w:rFonts w:ascii="Garamond" w:hAnsi="Garamond"/>
          <w:sz w:val="20"/>
        </w:rPr>
      </w:pPr>
      <w:r w:rsidRPr="000E4A73">
        <w:rPr>
          <w:rFonts w:ascii="Garamond" w:hAnsi="Garamond"/>
          <w:sz w:val="20"/>
        </w:rPr>
        <w:t xml:space="preserve">This table presents the </w:t>
      </w:r>
      <w:r>
        <w:rPr>
          <w:rFonts w:ascii="Garamond" w:hAnsi="Garamond"/>
          <w:sz w:val="20"/>
        </w:rPr>
        <w:t>difference-in-difference analysis results</w:t>
      </w:r>
      <w:r w:rsidRPr="000E4A73">
        <w:rPr>
          <w:rFonts w:ascii="Garamond" w:hAnsi="Garamond"/>
          <w:sz w:val="20"/>
        </w:rPr>
        <w:t xml:space="preserve"> for female </w:t>
      </w:r>
      <w:proofErr w:type="spellStart"/>
      <w:r w:rsidRPr="000E4A73">
        <w:rPr>
          <w:rFonts w:ascii="Garamond" w:hAnsi="Garamond"/>
          <w:sz w:val="20"/>
        </w:rPr>
        <w:t>CF</w:t>
      </w:r>
      <w:r>
        <w:rPr>
          <w:rFonts w:ascii="Garamond" w:hAnsi="Garamond"/>
          <w:sz w:val="20"/>
        </w:rPr>
        <w:t>Os’</w:t>
      </w:r>
      <w:proofErr w:type="spellEnd"/>
      <w:r w:rsidRPr="000E4A73">
        <w:rPr>
          <w:rFonts w:ascii="Garamond" w:hAnsi="Garamond"/>
          <w:sz w:val="20"/>
        </w:rPr>
        <w:t xml:space="preserve"> </w:t>
      </w:r>
      <w:r>
        <w:rPr>
          <w:rFonts w:ascii="Garamond" w:hAnsi="Garamond"/>
          <w:sz w:val="20"/>
        </w:rPr>
        <w:t xml:space="preserve">influence on leverage before and after changes in the gender of CFOs. </w:t>
      </w:r>
      <w:r w:rsidRPr="000E4A73">
        <w:rPr>
          <w:rFonts w:ascii="Garamond" w:hAnsi="Garamond"/>
          <w:sz w:val="20"/>
        </w:rPr>
        <w:t xml:space="preserve">Variable definitions are provided in </w:t>
      </w:r>
      <w:r>
        <w:rPr>
          <w:rFonts w:ascii="Garamond" w:hAnsi="Garamond"/>
          <w:sz w:val="20"/>
        </w:rPr>
        <w:t>the a</w:t>
      </w:r>
      <w:r w:rsidRPr="000E4A73">
        <w:rPr>
          <w:rFonts w:ascii="Garamond" w:hAnsi="Garamond"/>
          <w:sz w:val="20"/>
        </w:rPr>
        <w:t>ppendix. ***, ** and * indicate significance at the 1%, 5% and 10% level respectively.</w:t>
      </w:r>
    </w:p>
    <w:tbl>
      <w:tblPr>
        <w:tblW w:w="9243" w:type="dxa"/>
        <w:jc w:val="center"/>
        <w:tblLook w:val="04A0"/>
      </w:tblPr>
      <w:tblGrid>
        <w:gridCol w:w="1573"/>
        <w:gridCol w:w="3402"/>
        <w:gridCol w:w="729"/>
        <w:gridCol w:w="2647"/>
        <w:gridCol w:w="892"/>
      </w:tblGrid>
      <w:tr w:rsidR="00583BD3" w:rsidRPr="0027252E" w:rsidTr="000727E8">
        <w:trPr>
          <w:trHeight w:val="283"/>
          <w:jc w:val="center"/>
        </w:trPr>
        <w:tc>
          <w:tcPr>
            <w:tcW w:w="4972" w:type="dxa"/>
            <w:gridSpan w:val="2"/>
            <w:tcBorders>
              <w:top w:val="single" w:sz="4" w:space="0" w:color="auto"/>
              <w:left w:val="nil"/>
              <w:bottom w:val="nil"/>
              <w:right w:val="nil"/>
            </w:tcBorders>
            <w:shd w:val="clear" w:color="auto" w:fill="auto"/>
            <w:noWrap/>
            <w:vAlign w:val="bottom"/>
            <w:hideMark/>
          </w:tcPr>
          <w:p w:rsidR="00583BD3" w:rsidRPr="0027252E" w:rsidRDefault="00583BD3" w:rsidP="000727E8">
            <w:pPr>
              <w:rPr>
                <w:rFonts w:ascii="Garamond" w:hAnsi="Garamond" w:cs="Calibri"/>
                <w:b/>
                <w:bCs/>
                <w:color w:val="000000"/>
                <w:sz w:val="20"/>
                <w:szCs w:val="20"/>
              </w:rPr>
            </w:pPr>
            <w:r w:rsidRPr="0027252E">
              <w:rPr>
                <w:rFonts w:ascii="Garamond" w:hAnsi="Garamond" w:cs="Calibri"/>
                <w:b/>
                <w:bCs/>
                <w:color w:val="000000"/>
                <w:sz w:val="20"/>
                <w:szCs w:val="20"/>
              </w:rPr>
              <w:t>Panel A: Controlling for Board Gender Diversity</w:t>
            </w:r>
          </w:p>
        </w:tc>
        <w:tc>
          <w:tcPr>
            <w:tcW w:w="729" w:type="dxa"/>
            <w:tcBorders>
              <w:top w:val="single" w:sz="4" w:space="0" w:color="auto"/>
              <w:left w:val="nil"/>
              <w:bottom w:val="nil"/>
              <w:right w:val="nil"/>
            </w:tcBorders>
            <w:shd w:val="clear" w:color="auto" w:fill="auto"/>
            <w:noWrap/>
            <w:vAlign w:val="center"/>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 </w:t>
            </w:r>
          </w:p>
        </w:tc>
        <w:tc>
          <w:tcPr>
            <w:tcW w:w="2647" w:type="dxa"/>
            <w:tcBorders>
              <w:top w:val="single" w:sz="4" w:space="0" w:color="auto"/>
              <w:left w:val="nil"/>
              <w:bottom w:val="nil"/>
              <w:right w:val="nil"/>
            </w:tcBorders>
            <w:shd w:val="clear" w:color="auto" w:fill="auto"/>
            <w:noWrap/>
            <w:vAlign w:val="center"/>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 </w:t>
            </w:r>
          </w:p>
        </w:tc>
        <w:tc>
          <w:tcPr>
            <w:tcW w:w="892" w:type="dxa"/>
            <w:tcBorders>
              <w:top w:val="single" w:sz="4" w:space="0" w:color="auto"/>
              <w:left w:val="nil"/>
              <w:bottom w:val="nil"/>
              <w:right w:val="nil"/>
            </w:tcBorders>
            <w:shd w:val="clear" w:color="auto" w:fill="auto"/>
            <w:noWrap/>
            <w:vAlign w:val="center"/>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 </w:t>
            </w:r>
          </w:p>
        </w:tc>
      </w:tr>
      <w:tr w:rsidR="00583BD3" w:rsidRPr="0027252E" w:rsidTr="000727E8">
        <w:trPr>
          <w:trHeight w:val="283"/>
          <w:jc w:val="center"/>
        </w:trPr>
        <w:tc>
          <w:tcPr>
            <w:tcW w:w="1573" w:type="dxa"/>
            <w:tcBorders>
              <w:top w:val="nil"/>
              <w:left w:val="nil"/>
              <w:bottom w:val="nil"/>
              <w:right w:val="nil"/>
            </w:tcBorders>
            <w:shd w:val="clear" w:color="auto" w:fill="auto"/>
            <w:noWrap/>
            <w:vAlign w:val="bottom"/>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Pre-transition</w:t>
            </w:r>
          </w:p>
        </w:tc>
        <w:tc>
          <w:tcPr>
            <w:tcW w:w="3402" w:type="dxa"/>
            <w:tcBorders>
              <w:top w:val="nil"/>
              <w:left w:val="nil"/>
              <w:bottom w:val="nil"/>
              <w:right w:val="nil"/>
            </w:tcBorders>
            <w:shd w:val="clear" w:color="auto" w:fill="auto"/>
            <w:noWrap/>
            <w:vAlign w:val="bottom"/>
            <w:hideMark/>
          </w:tcPr>
          <w:p w:rsidR="00583BD3" w:rsidRPr="0027252E" w:rsidRDefault="00583BD3" w:rsidP="000727E8">
            <w:pPr>
              <w:rPr>
                <w:rFonts w:ascii="Garamond" w:hAnsi="Garamond" w:cs="Calibri"/>
                <w:color w:val="000000"/>
                <w:sz w:val="20"/>
                <w:szCs w:val="20"/>
              </w:rPr>
            </w:pPr>
          </w:p>
        </w:tc>
        <w:tc>
          <w:tcPr>
            <w:tcW w:w="729" w:type="dxa"/>
            <w:tcBorders>
              <w:top w:val="nil"/>
              <w:left w:val="nil"/>
              <w:bottom w:val="nil"/>
              <w:right w:val="nil"/>
            </w:tcBorders>
            <w:shd w:val="clear" w:color="auto" w:fill="auto"/>
            <w:noWrap/>
            <w:vAlign w:val="bottom"/>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Mean</w:t>
            </w:r>
          </w:p>
        </w:tc>
        <w:tc>
          <w:tcPr>
            <w:tcW w:w="2647" w:type="dxa"/>
            <w:tcBorders>
              <w:top w:val="nil"/>
              <w:left w:val="nil"/>
              <w:bottom w:val="nil"/>
              <w:right w:val="nil"/>
            </w:tcBorders>
            <w:shd w:val="clear" w:color="auto" w:fill="auto"/>
            <w:noWrap/>
            <w:vAlign w:val="bottom"/>
            <w:hideMark/>
          </w:tcPr>
          <w:p w:rsidR="00583BD3" w:rsidRDefault="00583BD3" w:rsidP="000727E8">
            <w:pPr>
              <w:jc w:val="center"/>
              <w:rPr>
                <w:rFonts w:ascii="Garamond" w:hAnsi="Garamond" w:cs="Calibri"/>
                <w:color w:val="000000"/>
                <w:sz w:val="20"/>
                <w:szCs w:val="20"/>
              </w:rPr>
            </w:pPr>
            <w:r w:rsidRPr="0027252E">
              <w:rPr>
                <w:rFonts w:ascii="Garamond" w:hAnsi="Garamond" w:cs="Calibri"/>
                <w:color w:val="000000"/>
                <w:sz w:val="20"/>
                <w:szCs w:val="20"/>
              </w:rPr>
              <w:t>Difference</w:t>
            </w:r>
          </w:p>
          <w:p w:rsidR="00583BD3" w:rsidRPr="0027252E" w:rsidRDefault="00583BD3" w:rsidP="000727E8">
            <w:pPr>
              <w:jc w:val="center"/>
              <w:rPr>
                <w:rFonts w:ascii="Garamond" w:hAnsi="Garamond" w:cs="Calibri"/>
                <w:color w:val="000000"/>
                <w:sz w:val="20"/>
                <w:szCs w:val="20"/>
              </w:rPr>
            </w:pPr>
            <w:r w:rsidRPr="0027252E">
              <w:rPr>
                <w:rFonts w:ascii="Garamond" w:hAnsi="Garamond" w:cs="Calibri"/>
                <w:color w:val="000000"/>
                <w:sz w:val="20"/>
                <w:szCs w:val="20"/>
              </w:rPr>
              <w:t>(Treatment minus Control)</w:t>
            </w:r>
          </w:p>
        </w:tc>
        <w:tc>
          <w:tcPr>
            <w:tcW w:w="892" w:type="dxa"/>
            <w:tcBorders>
              <w:top w:val="nil"/>
              <w:left w:val="nil"/>
              <w:bottom w:val="nil"/>
              <w:right w:val="nil"/>
            </w:tcBorders>
            <w:shd w:val="clear" w:color="auto" w:fill="auto"/>
            <w:noWrap/>
            <w:vAlign w:val="bottom"/>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p-value</w:t>
            </w:r>
          </w:p>
        </w:tc>
      </w:tr>
      <w:tr w:rsidR="00583BD3" w:rsidRPr="0027252E" w:rsidTr="000727E8">
        <w:trPr>
          <w:trHeight w:val="283"/>
          <w:jc w:val="center"/>
        </w:trPr>
        <w:tc>
          <w:tcPr>
            <w:tcW w:w="1573" w:type="dxa"/>
            <w:tcBorders>
              <w:top w:val="nil"/>
              <w:left w:val="nil"/>
              <w:bottom w:val="nil"/>
              <w:right w:val="nil"/>
            </w:tcBorders>
            <w:shd w:val="clear" w:color="auto" w:fill="auto"/>
            <w:noWrap/>
            <w:vAlign w:val="bottom"/>
            <w:hideMark/>
          </w:tcPr>
          <w:p w:rsidR="00583BD3" w:rsidRPr="0027252E" w:rsidRDefault="00583BD3" w:rsidP="000727E8">
            <w:pPr>
              <w:rPr>
                <w:rFonts w:ascii="Garamond" w:hAnsi="Garamond" w:cs="Calibri"/>
                <w:color w:val="000000"/>
                <w:sz w:val="20"/>
                <w:szCs w:val="20"/>
              </w:rPr>
            </w:pPr>
          </w:p>
        </w:tc>
        <w:tc>
          <w:tcPr>
            <w:tcW w:w="3402" w:type="dxa"/>
            <w:tcBorders>
              <w:top w:val="nil"/>
              <w:left w:val="nil"/>
              <w:bottom w:val="nil"/>
              <w:right w:val="nil"/>
            </w:tcBorders>
            <w:shd w:val="clear" w:color="auto" w:fill="auto"/>
            <w:noWrap/>
            <w:vAlign w:val="bottom"/>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Control (male CFO Leverage)</w:t>
            </w:r>
          </w:p>
        </w:tc>
        <w:tc>
          <w:tcPr>
            <w:tcW w:w="729" w:type="dxa"/>
            <w:tcBorders>
              <w:top w:val="nil"/>
              <w:left w:val="nil"/>
              <w:bottom w:val="nil"/>
              <w:right w:val="nil"/>
            </w:tcBorders>
            <w:shd w:val="clear" w:color="auto" w:fill="auto"/>
            <w:noWrap/>
            <w:vAlign w:val="bottom"/>
            <w:hideMark/>
          </w:tcPr>
          <w:p w:rsidR="00583BD3" w:rsidRPr="0027252E" w:rsidRDefault="00583BD3" w:rsidP="000727E8">
            <w:pPr>
              <w:jc w:val="right"/>
              <w:rPr>
                <w:rFonts w:ascii="Garamond" w:hAnsi="Garamond" w:cs="Calibri"/>
                <w:color w:val="000000"/>
                <w:sz w:val="20"/>
                <w:szCs w:val="20"/>
              </w:rPr>
            </w:pPr>
            <w:r w:rsidRPr="0027252E">
              <w:rPr>
                <w:rFonts w:ascii="Garamond" w:hAnsi="Garamond" w:cs="Calibri"/>
                <w:color w:val="000000"/>
                <w:sz w:val="20"/>
                <w:szCs w:val="20"/>
              </w:rPr>
              <w:t>0.23</w:t>
            </w:r>
            <w:r>
              <w:rPr>
                <w:rFonts w:ascii="Garamond" w:hAnsi="Garamond" w:cs="Calibri"/>
                <w:color w:val="000000"/>
                <w:sz w:val="20"/>
                <w:szCs w:val="20"/>
              </w:rPr>
              <w:t>7</w:t>
            </w:r>
          </w:p>
        </w:tc>
        <w:tc>
          <w:tcPr>
            <w:tcW w:w="2647" w:type="dxa"/>
            <w:tcBorders>
              <w:top w:val="nil"/>
              <w:left w:val="nil"/>
              <w:bottom w:val="nil"/>
              <w:right w:val="nil"/>
            </w:tcBorders>
            <w:shd w:val="clear" w:color="auto" w:fill="auto"/>
            <w:noWrap/>
            <w:vAlign w:val="bottom"/>
            <w:hideMark/>
          </w:tcPr>
          <w:p w:rsidR="00583BD3" w:rsidRPr="0027252E" w:rsidRDefault="00583BD3" w:rsidP="000727E8">
            <w:pPr>
              <w:jc w:val="center"/>
              <w:rPr>
                <w:rFonts w:ascii="Garamond" w:hAnsi="Garamond" w:cs="Calibri"/>
                <w:color w:val="000000"/>
                <w:sz w:val="20"/>
                <w:szCs w:val="20"/>
              </w:rPr>
            </w:pPr>
          </w:p>
        </w:tc>
        <w:tc>
          <w:tcPr>
            <w:tcW w:w="892" w:type="dxa"/>
            <w:tcBorders>
              <w:top w:val="nil"/>
              <w:left w:val="nil"/>
              <w:bottom w:val="nil"/>
              <w:right w:val="nil"/>
            </w:tcBorders>
            <w:shd w:val="clear" w:color="auto" w:fill="auto"/>
            <w:noWrap/>
            <w:vAlign w:val="center"/>
            <w:hideMark/>
          </w:tcPr>
          <w:p w:rsidR="00583BD3" w:rsidRPr="0027252E" w:rsidRDefault="00583BD3" w:rsidP="000727E8">
            <w:pPr>
              <w:rPr>
                <w:sz w:val="20"/>
                <w:szCs w:val="20"/>
              </w:rPr>
            </w:pPr>
          </w:p>
        </w:tc>
      </w:tr>
      <w:tr w:rsidR="00583BD3" w:rsidRPr="0027252E" w:rsidTr="000727E8">
        <w:trPr>
          <w:trHeight w:val="283"/>
          <w:jc w:val="center"/>
        </w:trPr>
        <w:tc>
          <w:tcPr>
            <w:tcW w:w="1573" w:type="dxa"/>
            <w:tcBorders>
              <w:top w:val="nil"/>
              <w:left w:val="nil"/>
              <w:bottom w:val="nil"/>
              <w:right w:val="nil"/>
            </w:tcBorders>
            <w:shd w:val="clear" w:color="auto" w:fill="auto"/>
            <w:noWrap/>
            <w:vAlign w:val="bottom"/>
            <w:hideMark/>
          </w:tcPr>
          <w:p w:rsidR="00583BD3" w:rsidRPr="0027252E" w:rsidRDefault="00583BD3" w:rsidP="000727E8">
            <w:pPr>
              <w:rPr>
                <w:sz w:val="20"/>
                <w:szCs w:val="20"/>
              </w:rPr>
            </w:pPr>
          </w:p>
        </w:tc>
        <w:tc>
          <w:tcPr>
            <w:tcW w:w="3402" w:type="dxa"/>
            <w:tcBorders>
              <w:top w:val="nil"/>
              <w:left w:val="nil"/>
              <w:bottom w:val="nil"/>
              <w:right w:val="nil"/>
            </w:tcBorders>
            <w:shd w:val="clear" w:color="auto" w:fill="auto"/>
            <w:noWrap/>
            <w:vAlign w:val="bottom"/>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Treatment (male CFO Leverage)</w:t>
            </w:r>
          </w:p>
        </w:tc>
        <w:tc>
          <w:tcPr>
            <w:tcW w:w="729" w:type="dxa"/>
            <w:tcBorders>
              <w:top w:val="nil"/>
              <w:left w:val="nil"/>
              <w:bottom w:val="nil"/>
              <w:right w:val="nil"/>
            </w:tcBorders>
            <w:shd w:val="clear" w:color="auto" w:fill="auto"/>
            <w:noWrap/>
            <w:vAlign w:val="bottom"/>
            <w:hideMark/>
          </w:tcPr>
          <w:p w:rsidR="00583BD3" w:rsidRPr="0027252E" w:rsidRDefault="00583BD3" w:rsidP="000727E8">
            <w:pPr>
              <w:jc w:val="right"/>
              <w:rPr>
                <w:rFonts w:ascii="Garamond" w:hAnsi="Garamond" w:cs="Calibri"/>
                <w:color w:val="000000"/>
                <w:sz w:val="20"/>
                <w:szCs w:val="20"/>
              </w:rPr>
            </w:pPr>
            <w:r w:rsidRPr="0027252E">
              <w:rPr>
                <w:rFonts w:ascii="Garamond" w:hAnsi="Garamond" w:cs="Calibri"/>
                <w:color w:val="000000"/>
                <w:sz w:val="20"/>
                <w:szCs w:val="20"/>
              </w:rPr>
              <w:t>0.22</w:t>
            </w:r>
            <w:r>
              <w:rPr>
                <w:rFonts w:ascii="Garamond" w:hAnsi="Garamond" w:cs="Calibri"/>
                <w:color w:val="000000"/>
                <w:sz w:val="20"/>
                <w:szCs w:val="20"/>
              </w:rPr>
              <w:t>7</w:t>
            </w:r>
          </w:p>
        </w:tc>
        <w:tc>
          <w:tcPr>
            <w:tcW w:w="2647" w:type="dxa"/>
            <w:tcBorders>
              <w:top w:val="nil"/>
              <w:left w:val="nil"/>
              <w:bottom w:val="nil"/>
              <w:right w:val="nil"/>
            </w:tcBorders>
            <w:shd w:val="clear" w:color="auto" w:fill="auto"/>
            <w:noWrap/>
            <w:vAlign w:val="bottom"/>
            <w:hideMark/>
          </w:tcPr>
          <w:p w:rsidR="00583BD3" w:rsidRPr="0027252E" w:rsidRDefault="00583BD3" w:rsidP="000727E8">
            <w:pPr>
              <w:jc w:val="center"/>
              <w:rPr>
                <w:rFonts w:ascii="Garamond" w:hAnsi="Garamond" w:cs="Calibri"/>
                <w:color w:val="000000"/>
                <w:sz w:val="20"/>
                <w:szCs w:val="20"/>
              </w:rPr>
            </w:pPr>
            <w:r w:rsidRPr="0027252E">
              <w:rPr>
                <w:rFonts w:ascii="Garamond" w:hAnsi="Garamond" w:cs="Calibri"/>
                <w:color w:val="000000"/>
                <w:sz w:val="20"/>
                <w:szCs w:val="20"/>
              </w:rPr>
              <w:t>-0.0</w:t>
            </w:r>
            <w:r>
              <w:rPr>
                <w:rFonts w:ascii="Garamond" w:hAnsi="Garamond" w:cs="Calibri"/>
                <w:color w:val="000000"/>
                <w:sz w:val="20"/>
                <w:szCs w:val="20"/>
              </w:rPr>
              <w:t>10</w:t>
            </w:r>
          </w:p>
        </w:tc>
        <w:tc>
          <w:tcPr>
            <w:tcW w:w="892" w:type="dxa"/>
            <w:tcBorders>
              <w:top w:val="nil"/>
              <w:left w:val="nil"/>
              <w:bottom w:val="nil"/>
              <w:right w:val="nil"/>
            </w:tcBorders>
            <w:shd w:val="clear" w:color="auto" w:fill="auto"/>
            <w:noWrap/>
            <w:vAlign w:val="center"/>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0.</w:t>
            </w:r>
            <w:r>
              <w:rPr>
                <w:rFonts w:ascii="Garamond" w:hAnsi="Garamond" w:cs="Calibri"/>
                <w:color w:val="000000"/>
                <w:sz w:val="20"/>
                <w:szCs w:val="20"/>
              </w:rPr>
              <w:t>310</w:t>
            </w:r>
          </w:p>
        </w:tc>
      </w:tr>
      <w:tr w:rsidR="00583BD3" w:rsidRPr="0027252E" w:rsidTr="000727E8">
        <w:trPr>
          <w:trHeight w:val="283"/>
          <w:jc w:val="center"/>
        </w:trPr>
        <w:tc>
          <w:tcPr>
            <w:tcW w:w="1573" w:type="dxa"/>
            <w:tcBorders>
              <w:top w:val="nil"/>
              <w:left w:val="nil"/>
              <w:bottom w:val="nil"/>
              <w:right w:val="nil"/>
            </w:tcBorders>
            <w:shd w:val="clear" w:color="auto" w:fill="auto"/>
            <w:noWrap/>
            <w:vAlign w:val="bottom"/>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Post-transition</w:t>
            </w:r>
          </w:p>
        </w:tc>
        <w:tc>
          <w:tcPr>
            <w:tcW w:w="3402" w:type="dxa"/>
            <w:tcBorders>
              <w:top w:val="nil"/>
              <w:left w:val="nil"/>
              <w:bottom w:val="nil"/>
              <w:right w:val="nil"/>
            </w:tcBorders>
            <w:shd w:val="clear" w:color="auto" w:fill="auto"/>
            <w:noWrap/>
            <w:vAlign w:val="center"/>
            <w:hideMark/>
          </w:tcPr>
          <w:p w:rsidR="00583BD3" w:rsidRPr="0027252E" w:rsidRDefault="00583BD3" w:rsidP="000727E8">
            <w:pPr>
              <w:rPr>
                <w:rFonts w:ascii="Garamond" w:hAnsi="Garamond" w:cs="Calibri"/>
                <w:color w:val="000000"/>
                <w:sz w:val="20"/>
                <w:szCs w:val="20"/>
              </w:rPr>
            </w:pPr>
          </w:p>
        </w:tc>
        <w:tc>
          <w:tcPr>
            <w:tcW w:w="729" w:type="dxa"/>
            <w:tcBorders>
              <w:top w:val="nil"/>
              <w:left w:val="nil"/>
              <w:bottom w:val="nil"/>
              <w:right w:val="nil"/>
            </w:tcBorders>
            <w:shd w:val="clear" w:color="auto" w:fill="auto"/>
            <w:noWrap/>
            <w:vAlign w:val="bottom"/>
            <w:hideMark/>
          </w:tcPr>
          <w:p w:rsidR="00583BD3" w:rsidRPr="0027252E" w:rsidRDefault="00583BD3" w:rsidP="000727E8">
            <w:pPr>
              <w:rPr>
                <w:sz w:val="20"/>
                <w:szCs w:val="20"/>
              </w:rPr>
            </w:pPr>
          </w:p>
        </w:tc>
        <w:tc>
          <w:tcPr>
            <w:tcW w:w="2647" w:type="dxa"/>
            <w:tcBorders>
              <w:top w:val="nil"/>
              <w:left w:val="nil"/>
              <w:bottom w:val="nil"/>
              <w:right w:val="nil"/>
            </w:tcBorders>
            <w:shd w:val="clear" w:color="auto" w:fill="auto"/>
            <w:noWrap/>
            <w:vAlign w:val="bottom"/>
            <w:hideMark/>
          </w:tcPr>
          <w:p w:rsidR="00583BD3" w:rsidRPr="0027252E" w:rsidRDefault="00583BD3" w:rsidP="000727E8">
            <w:pPr>
              <w:jc w:val="center"/>
              <w:rPr>
                <w:sz w:val="20"/>
                <w:szCs w:val="20"/>
              </w:rPr>
            </w:pPr>
          </w:p>
        </w:tc>
        <w:tc>
          <w:tcPr>
            <w:tcW w:w="892" w:type="dxa"/>
            <w:tcBorders>
              <w:top w:val="nil"/>
              <w:left w:val="nil"/>
              <w:bottom w:val="nil"/>
              <w:right w:val="nil"/>
            </w:tcBorders>
            <w:shd w:val="clear" w:color="auto" w:fill="auto"/>
            <w:noWrap/>
            <w:vAlign w:val="center"/>
            <w:hideMark/>
          </w:tcPr>
          <w:p w:rsidR="00583BD3" w:rsidRPr="0027252E" w:rsidRDefault="00583BD3" w:rsidP="000727E8">
            <w:pPr>
              <w:rPr>
                <w:sz w:val="20"/>
                <w:szCs w:val="20"/>
              </w:rPr>
            </w:pPr>
          </w:p>
        </w:tc>
      </w:tr>
      <w:tr w:rsidR="00583BD3" w:rsidRPr="0027252E" w:rsidTr="000727E8">
        <w:trPr>
          <w:trHeight w:val="283"/>
          <w:jc w:val="center"/>
        </w:trPr>
        <w:tc>
          <w:tcPr>
            <w:tcW w:w="1573" w:type="dxa"/>
            <w:tcBorders>
              <w:top w:val="nil"/>
              <w:left w:val="nil"/>
              <w:bottom w:val="nil"/>
              <w:right w:val="nil"/>
            </w:tcBorders>
            <w:shd w:val="clear" w:color="auto" w:fill="auto"/>
            <w:noWrap/>
            <w:vAlign w:val="center"/>
            <w:hideMark/>
          </w:tcPr>
          <w:p w:rsidR="00583BD3" w:rsidRPr="0027252E" w:rsidRDefault="00583BD3" w:rsidP="000727E8">
            <w:pPr>
              <w:rPr>
                <w:sz w:val="20"/>
                <w:szCs w:val="20"/>
              </w:rPr>
            </w:pPr>
          </w:p>
        </w:tc>
        <w:tc>
          <w:tcPr>
            <w:tcW w:w="3402" w:type="dxa"/>
            <w:tcBorders>
              <w:top w:val="nil"/>
              <w:left w:val="nil"/>
              <w:bottom w:val="nil"/>
              <w:right w:val="nil"/>
            </w:tcBorders>
            <w:shd w:val="clear" w:color="auto" w:fill="auto"/>
            <w:noWrap/>
            <w:vAlign w:val="bottom"/>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Control (male CFO Leverage)</w:t>
            </w:r>
          </w:p>
        </w:tc>
        <w:tc>
          <w:tcPr>
            <w:tcW w:w="729" w:type="dxa"/>
            <w:tcBorders>
              <w:top w:val="nil"/>
              <w:left w:val="nil"/>
              <w:bottom w:val="nil"/>
              <w:right w:val="nil"/>
            </w:tcBorders>
            <w:shd w:val="clear" w:color="auto" w:fill="auto"/>
            <w:noWrap/>
            <w:vAlign w:val="bottom"/>
            <w:hideMark/>
          </w:tcPr>
          <w:p w:rsidR="00583BD3" w:rsidRPr="0027252E" w:rsidRDefault="00583BD3" w:rsidP="000727E8">
            <w:pPr>
              <w:jc w:val="right"/>
              <w:rPr>
                <w:rFonts w:ascii="Garamond" w:hAnsi="Garamond" w:cs="Calibri"/>
                <w:color w:val="000000"/>
                <w:sz w:val="20"/>
                <w:szCs w:val="20"/>
              </w:rPr>
            </w:pPr>
            <w:r w:rsidRPr="0027252E">
              <w:rPr>
                <w:rFonts w:ascii="Garamond" w:hAnsi="Garamond" w:cs="Calibri"/>
                <w:color w:val="000000"/>
                <w:sz w:val="20"/>
                <w:szCs w:val="20"/>
              </w:rPr>
              <w:t>0.2</w:t>
            </w:r>
            <w:r>
              <w:rPr>
                <w:rFonts w:ascii="Garamond" w:hAnsi="Garamond" w:cs="Calibri"/>
                <w:color w:val="000000"/>
                <w:sz w:val="20"/>
                <w:szCs w:val="20"/>
              </w:rPr>
              <w:t>73</w:t>
            </w:r>
          </w:p>
        </w:tc>
        <w:tc>
          <w:tcPr>
            <w:tcW w:w="2647" w:type="dxa"/>
            <w:tcBorders>
              <w:top w:val="nil"/>
              <w:left w:val="nil"/>
              <w:bottom w:val="nil"/>
              <w:right w:val="nil"/>
            </w:tcBorders>
            <w:shd w:val="clear" w:color="auto" w:fill="auto"/>
            <w:noWrap/>
            <w:vAlign w:val="bottom"/>
            <w:hideMark/>
          </w:tcPr>
          <w:p w:rsidR="00583BD3" w:rsidRPr="0027252E" w:rsidRDefault="00583BD3" w:rsidP="000727E8">
            <w:pPr>
              <w:jc w:val="center"/>
              <w:rPr>
                <w:rFonts w:ascii="Garamond" w:hAnsi="Garamond" w:cs="Calibri"/>
                <w:color w:val="000000"/>
                <w:sz w:val="20"/>
                <w:szCs w:val="20"/>
              </w:rPr>
            </w:pPr>
          </w:p>
        </w:tc>
        <w:tc>
          <w:tcPr>
            <w:tcW w:w="892" w:type="dxa"/>
            <w:tcBorders>
              <w:top w:val="nil"/>
              <w:left w:val="nil"/>
              <w:bottom w:val="nil"/>
              <w:right w:val="nil"/>
            </w:tcBorders>
            <w:shd w:val="clear" w:color="auto" w:fill="auto"/>
            <w:noWrap/>
            <w:vAlign w:val="center"/>
            <w:hideMark/>
          </w:tcPr>
          <w:p w:rsidR="00583BD3" w:rsidRPr="0027252E" w:rsidRDefault="00583BD3" w:rsidP="000727E8">
            <w:pPr>
              <w:rPr>
                <w:sz w:val="20"/>
                <w:szCs w:val="20"/>
              </w:rPr>
            </w:pPr>
          </w:p>
        </w:tc>
      </w:tr>
      <w:tr w:rsidR="00583BD3" w:rsidRPr="0027252E" w:rsidTr="000727E8">
        <w:trPr>
          <w:trHeight w:val="283"/>
          <w:jc w:val="center"/>
        </w:trPr>
        <w:tc>
          <w:tcPr>
            <w:tcW w:w="1573" w:type="dxa"/>
            <w:tcBorders>
              <w:top w:val="nil"/>
              <w:left w:val="nil"/>
              <w:bottom w:val="nil"/>
              <w:right w:val="nil"/>
            </w:tcBorders>
            <w:shd w:val="clear" w:color="auto" w:fill="auto"/>
            <w:noWrap/>
            <w:vAlign w:val="bottom"/>
            <w:hideMark/>
          </w:tcPr>
          <w:p w:rsidR="00583BD3" w:rsidRPr="0027252E" w:rsidRDefault="00583BD3" w:rsidP="000727E8">
            <w:pPr>
              <w:rPr>
                <w:sz w:val="20"/>
                <w:szCs w:val="20"/>
              </w:rPr>
            </w:pPr>
          </w:p>
        </w:tc>
        <w:tc>
          <w:tcPr>
            <w:tcW w:w="3402" w:type="dxa"/>
            <w:tcBorders>
              <w:top w:val="nil"/>
              <w:left w:val="nil"/>
              <w:bottom w:val="nil"/>
              <w:right w:val="nil"/>
            </w:tcBorders>
            <w:shd w:val="clear" w:color="auto" w:fill="auto"/>
            <w:noWrap/>
            <w:vAlign w:val="bottom"/>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Treatment (female CFO Leverage)</w:t>
            </w:r>
          </w:p>
        </w:tc>
        <w:tc>
          <w:tcPr>
            <w:tcW w:w="729" w:type="dxa"/>
            <w:tcBorders>
              <w:top w:val="nil"/>
              <w:left w:val="nil"/>
              <w:bottom w:val="nil"/>
              <w:right w:val="nil"/>
            </w:tcBorders>
            <w:shd w:val="clear" w:color="auto" w:fill="auto"/>
            <w:noWrap/>
            <w:vAlign w:val="bottom"/>
            <w:hideMark/>
          </w:tcPr>
          <w:p w:rsidR="00583BD3" w:rsidRPr="0027252E" w:rsidRDefault="00583BD3" w:rsidP="000727E8">
            <w:pPr>
              <w:jc w:val="right"/>
              <w:rPr>
                <w:rFonts w:ascii="Garamond" w:hAnsi="Garamond" w:cs="Calibri"/>
                <w:color w:val="000000"/>
                <w:sz w:val="20"/>
                <w:szCs w:val="20"/>
              </w:rPr>
            </w:pPr>
            <w:r w:rsidRPr="0027252E">
              <w:rPr>
                <w:rFonts w:ascii="Garamond" w:hAnsi="Garamond" w:cs="Calibri"/>
                <w:color w:val="000000"/>
                <w:sz w:val="20"/>
                <w:szCs w:val="20"/>
              </w:rPr>
              <w:t>0.2</w:t>
            </w:r>
            <w:r>
              <w:rPr>
                <w:rFonts w:ascii="Garamond" w:hAnsi="Garamond" w:cs="Calibri"/>
                <w:color w:val="000000"/>
                <w:sz w:val="20"/>
                <w:szCs w:val="20"/>
              </w:rPr>
              <w:t>37</w:t>
            </w:r>
          </w:p>
        </w:tc>
        <w:tc>
          <w:tcPr>
            <w:tcW w:w="2647" w:type="dxa"/>
            <w:tcBorders>
              <w:top w:val="nil"/>
              <w:left w:val="nil"/>
              <w:bottom w:val="nil"/>
              <w:right w:val="nil"/>
            </w:tcBorders>
            <w:shd w:val="clear" w:color="auto" w:fill="auto"/>
            <w:noWrap/>
            <w:vAlign w:val="bottom"/>
            <w:hideMark/>
          </w:tcPr>
          <w:p w:rsidR="00583BD3" w:rsidRPr="0027252E" w:rsidRDefault="00583BD3" w:rsidP="000727E8">
            <w:pPr>
              <w:jc w:val="center"/>
              <w:rPr>
                <w:rFonts w:ascii="Garamond" w:hAnsi="Garamond" w:cs="Calibri"/>
                <w:color w:val="000000"/>
                <w:sz w:val="20"/>
                <w:szCs w:val="20"/>
              </w:rPr>
            </w:pPr>
            <w:r w:rsidRPr="0027252E">
              <w:rPr>
                <w:rFonts w:ascii="Garamond" w:hAnsi="Garamond" w:cs="Calibri"/>
                <w:color w:val="000000"/>
                <w:sz w:val="20"/>
                <w:szCs w:val="20"/>
              </w:rPr>
              <w:t>-0.0</w:t>
            </w:r>
            <w:r>
              <w:rPr>
                <w:rFonts w:ascii="Garamond" w:hAnsi="Garamond" w:cs="Calibri"/>
                <w:color w:val="000000"/>
                <w:sz w:val="20"/>
                <w:szCs w:val="20"/>
              </w:rPr>
              <w:t>36</w:t>
            </w:r>
          </w:p>
        </w:tc>
        <w:tc>
          <w:tcPr>
            <w:tcW w:w="892" w:type="dxa"/>
            <w:tcBorders>
              <w:top w:val="nil"/>
              <w:left w:val="nil"/>
              <w:bottom w:val="nil"/>
              <w:right w:val="nil"/>
            </w:tcBorders>
            <w:shd w:val="clear" w:color="auto" w:fill="auto"/>
            <w:noWrap/>
            <w:vAlign w:val="center"/>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0.00</w:t>
            </w:r>
            <w:r>
              <w:rPr>
                <w:rFonts w:ascii="Garamond" w:hAnsi="Garamond" w:cs="Calibri"/>
                <w:color w:val="000000"/>
                <w:sz w:val="20"/>
                <w:szCs w:val="20"/>
              </w:rPr>
              <w:t>1</w:t>
            </w:r>
            <w:r w:rsidRPr="0027252E">
              <w:rPr>
                <w:rFonts w:ascii="Garamond" w:hAnsi="Garamond" w:cs="Calibri"/>
                <w:color w:val="000000"/>
                <w:sz w:val="20"/>
                <w:szCs w:val="20"/>
              </w:rPr>
              <w:t>***</w:t>
            </w:r>
          </w:p>
        </w:tc>
      </w:tr>
      <w:tr w:rsidR="00583BD3" w:rsidRPr="0027252E" w:rsidTr="000727E8">
        <w:trPr>
          <w:trHeight w:val="283"/>
          <w:jc w:val="center"/>
        </w:trPr>
        <w:tc>
          <w:tcPr>
            <w:tcW w:w="4975" w:type="dxa"/>
            <w:gridSpan w:val="2"/>
            <w:tcBorders>
              <w:top w:val="nil"/>
              <w:left w:val="nil"/>
              <w:bottom w:val="nil"/>
              <w:right w:val="nil"/>
            </w:tcBorders>
            <w:shd w:val="clear" w:color="auto" w:fill="auto"/>
            <w:noWrap/>
            <w:vAlign w:val="bottom"/>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Diff-in-Diff (Post-transition - Pre-transition)</w:t>
            </w:r>
          </w:p>
        </w:tc>
        <w:tc>
          <w:tcPr>
            <w:tcW w:w="729" w:type="dxa"/>
            <w:tcBorders>
              <w:top w:val="nil"/>
              <w:left w:val="nil"/>
              <w:bottom w:val="nil"/>
              <w:right w:val="nil"/>
            </w:tcBorders>
            <w:shd w:val="clear" w:color="auto" w:fill="auto"/>
            <w:noWrap/>
            <w:vAlign w:val="center"/>
            <w:hideMark/>
          </w:tcPr>
          <w:p w:rsidR="00583BD3" w:rsidRPr="0027252E" w:rsidRDefault="00583BD3" w:rsidP="000727E8">
            <w:pPr>
              <w:rPr>
                <w:rFonts w:ascii="Garamond" w:hAnsi="Garamond" w:cs="Calibri"/>
                <w:color w:val="000000"/>
                <w:sz w:val="20"/>
                <w:szCs w:val="20"/>
              </w:rPr>
            </w:pPr>
          </w:p>
        </w:tc>
        <w:tc>
          <w:tcPr>
            <w:tcW w:w="2647" w:type="dxa"/>
            <w:tcBorders>
              <w:top w:val="nil"/>
              <w:left w:val="nil"/>
              <w:bottom w:val="nil"/>
              <w:right w:val="nil"/>
            </w:tcBorders>
            <w:shd w:val="clear" w:color="auto" w:fill="auto"/>
            <w:noWrap/>
            <w:vAlign w:val="bottom"/>
            <w:hideMark/>
          </w:tcPr>
          <w:p w:rsidR="00583BD3" w:rsidRPr="0027252E" w:rsidRDefault="00583BD3" w:rsidP="000727E8">
            <w:pPr>
              <w:jc w:val="center"/>
              <w:rPr>
                <w:rFonts w:ascii="Garamond" w:hAnsi="Garamond" w:cs="Calibri"/>
                <w:color w:val="000000"/>
                <w:sz w:val="20"/>
                <w:szCs w:val="20"/>
              </w:rPr>
            </w:pPr>
            <w:r w:rsidRPr="0027252E">
              <w:rPr>
                <w:rFonts w:ascii="Garamond" w:hAnsi="Garamond" w:cs="Calibri"/>
                <w:color w:val="000000"/>
                <w:sz w:val="20"/>
                <w:szCs w:val="20"/>
              </w:rPr>
              <w:t>-0.0</w:t>
            </w:r>
            <w:r>
              <w:rPr>
                <w:rFonts w:ascii="Garamond" w:hAnsi="Garamond" w:cs="Calibri"/>
                <w:color w:val="000000"/>
                <w:sz w:val="20"/>
                <w:szCs w:val="20"/>
              </w:rPr>
              <w:t>25</w:t>
            </w:r>
          </w:p>
        </w:tc>
        <w:tc>
          <w:tcPr>
            <w:tcW w:w="892" w:type="dxa"/>
            <w:tcBorders>
              <w:top w:val="nil"/>
              <w:left w:val="nil"/>
              <w:bottom w:val="nil"/>
              <w:right w:val="nil"/>
            </w:tcBorders>
            <w:shd w:val="clear" w:color="auto" w:fill="auto"/>
            <w:noWrap/>
            <w:vAlign w:val="center"/>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0.0</w:t>
            </w:r>
            <w:r>
              <w:rPr>
                <w:rFonts w:ascii="Garamond" w:hAnsi="Garamond" w:cs="Calibri"/>
                <w:color w:val="000000"/>
                <w:sz w:val="20"/>
                <w:szCs w:val="20"/>
              </w:rPr>
              <w:t>66</w:t>
            </w:r>
            <w:r w:rsidRPr="0027252E">
              <w:rPr>
                <w:rFonts w:ascii="Garamond" w:hAnsi="Garamond" w:cs="Calibri"/>
                <w:color w:val="000000"/>
                <w:sz w:val="20"/>
                <w:szCs w:val="20"/>
              </w:rPr>
              <w:t>*</w:t>
            </w:r>
          </w:p>
        </w:tc>
      </w:tr>
      <w:tr w:rsidR="00583BD3" w:rsidRPr="0027252E" w:rsidTr="000727E8">
        <w:trPr>
          <w:trHeight w:val="283"/>
          <w:jc w:val="center"/>
        </w:trPr>
        <w:tc>
          <w:tcPr>
            <w:tcW w:w="4975" w:type="dxa"/>
            <w:gridSpan w:val="2"/>
            <w:tcBorders>
              <w:top w:val="single" w:sz="4" w:space="0" w:color="auto"/>
              <w:left w:val="nil"/>
              <w:bottom w:val="nil"/>
              <w:right w:val="nil"/>
            </w:tcBorders>
            <w:shd w:val="clear" w:color="auto" w:fill="auto"/>
            <w:noWrap/>
            <w:vAlign w:val="bottom"/>
            <w:hideMark/>
          </w:tcPr>
          <w:p w:rsidR="00583BD3" w:rsidRPr="0027252E" w:rsidRDefault="00583BD3" w:rsidP="000727E8">
            <w:pPr>
              <w:rPr>
                <w:rFonts w:ascii="Garamond" w:hAnsi="Garamond" w:cs="Calibri"/>
                <w:b/>
                <w:bCs/>
                <w:color w:val="000000"/>
                <w:sz w:val="20"/>
                <w:szCs w:val="20"/>
              </w:rPr>
            </w:pPr>
            <w:r w:rsidRPr="0027252E">
              <w:rPr>
                <w:rFonts w:ascii="Garamond" w:hAnsi="Garamond" w:cs="Calibri"/>
                <w:b/>
                <w:bCs/>
                <w:color w:val="000000"/>
                <w:sz w:val="20"/>
                <w:szCs w:val="20"/>
              </w:rPr>
              <w:t>Panel B: Controlling for Board Nationality Diversity</w:t>
            </w:r>
          </w:p>
        </w:tc>
        <w:tc>
          <w:tcPr>
            <w:tcW w:w="729" w:type="dxa"/>
            <w:tcBorders>
              <w:top w:val="single" w:sz="4" w:space="0" w:color="auto"/>
              <w:left w:val="nil"/>
              <w:bottom w:val="nil"/>
              <w:right w:val="nil"/>
            </w:tcBorders>
            <w:shd w:val="clear" w:color="auto" w:fill="auto"/>
            <w:noWrap/>
            <w:vAlign w:val="center"/>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 </w:t>
            </w:r>
          </w:p>
        </w:tc>
        <w:tc>
          <w:tcPr>
            <w:tcW w:w="2647" w:type="dxa"/>
            <w:tcBorders>
              <w:top w:val="single" w:sz="4" w:space="0" w:color="auto"/>
              <w:left w:val="nil"/>
              <w:bottom w:val="nil"/>
              <w:right w:val="nil"/>
            </w:tcBorders>
            <w:shd w:val="clear" w:color="auto" w:fill="auto"/>
            <w:noWrap/>
            <w:vAlign w:val="center"/>
            <w:hideMark/>
          </w:tcPr>
          <w:p w:rsidR="00583BD3" w:rsidRPr="0027252E" w:rsidRDefault="00583BD3" w:rsidP="000727E8">
            <w:pPr>
              <w:jc w:val="center"/>
              <w:rPr>
                <w:rFonts w:ascii="Garamond" w:hAnsi="Garamond" w:cs="Calibri"/>
                <w:color w:val="000000"/>
                <w:sz w:val="20"/>
                <w:szCs w:val="20"/>
              </w:rPr>
            </w:pPr>
          </w:p>
        </w:tc>
        <w:tc>
          <w:tcPr>
            <w:tcW w:w="892" w:type="dxa"/>
            <w:tcBorders>
              <w:top w:val="single" w:sz="4" w:space="0" w:color="auto"/>
              <w:left w:val="nil"/>
              <w:bottom w:val="nil"/>
              <w:right w:val="nil"/>
            </w:tcBorders>
            <w:shd w:val="clear" w:color="auto" w:fill="auto"/>
            <w:noWrap/>
            <w:vAlign w:val="center"/>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 </w:t>
            </w:r>
          </w:p>
        </w:tc>
      </w:tr>
      <w:tr w:rsidR="00583BD3" w:rsidRPr="0027252E" w:rsidTr="000727E8">
        <w:trPr>
          <w:trHeight w:val="283"/>
          <w:jc w:val="center"/>
        </w:trPr>
        <w:tc>
          <w:tcPr>
            <w:tcW w:w="1573" w:type="dxa"/>
            <w:tcBorders>
              <w:top w:val="nil"/>
              <w:left w:val="nil"/>
              <w:bottom w:val="nil"/>
              <w:right w:val="nil"/>
            </w:tcBorders>
            <w:shd w:val="clear" w:color="auto" w:fill="auto"/>
            <w:noWrap/>
            <w:vAlign w:val="bottom"/>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Pre-transition</w:t>
            </w:r>
          </w:p>
        </w:tc>
        <w:tc>
          <w:tcPr>
            <w:tcW w:w="3402" w:type="dxa"/>
            <w:tcBorders>
              <w:top w:val="nil"/>
              <w:left w:val="nil"/>
              <w:bottom w:val="nil"/>
              <w:right w:val="nil"/>
            </w:tcBorders>
            <w:shd w:val="clear" w:color="auto" w:fill="auto"/>
            <w:noWrap/>
            <w:vAlign w:val="bottom"/>
            <w:hideMark/>
          </w:tcPr>
          <w:p w:rsidR="00583BD3" w:rsidRPr="0027252E" w:rsidRDefault="00583BD3" w:rsidP="000727E8">
            <w:pPr>
              <w:rPr>
                <w:rFonts w:ascii="Garamond" w:hAnsi="Garamond" w:cs="Calibri"/>
                <w:color w:val="000000"/>
                <w:sz w:val="20"/>
                <w:szCs w:val="20"/>
              </w:rPr>
            </w:pPr>
          </w:p>
        </w:tc>
        <w:tc>
          <w:tcPr>
            <w:tcW w:w="729" w:type="dxa"/>
            <w:tcBorders>
              <w:top w:val="nil"/>
              <w:left w:val="nil"/>
              <w:bottom w:val="nil"/>
              <w:right w:val="nil"/>
            </w:tcBorders>
            <w:shd w:val="clear" w:color="auto" w:fill="auto"/>
            <w:noWrap/>
            <w:vAlign w:val="bottom"/>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Mean</w:t>
            </w:r>
          </w:p>
        </w:tc>
        <w:tc>
          <w:tcPr>
            <w:tcW w:w="2647" w:type="dxa"/>
            <w:tcBorders>
              <w:top w:val="nil"/>
              <w:left w:val="nil"/>
              <w:bottom w:val="nil"/>
              <w:right w:val="nil"/>
            </w:tcBorders>
            <w:shd w:val="clear" w:color="auto" w:fill="auto"/>
            <w:noWrap/>
            <w:vAlign w:val="bottom"/>
            <w:hideMark/>
          </w:tcPr>
          <w:p w:rsidR="00583BD3" w:rsidRDefault="00583BD3" w:rsidP="000727E8">
            <w:pPr>
              <w:jc w:val="center"/>
              <w:rPr>
                <w:rFonts w:ascii="Garamond" w:hAnsi="Garamond" w:cs="Calibri"/>
                <w:color w:val="000000"/>
                <w:sz w:val="20"/>
                <w:szCs w:val="20"/>
              </w:rPr>
            </w:pPr>
            <w:r w:rsidRPr="0027252E">
              <w:rPr>
                <w:rFonts w:ascii="Garamond" w:hAnsi="Garamond" w:cs="Calibri"/>
                <w:color w:val="000000"/>
                <w:sz w:val="20"/>
                <w:szCs w:val="20"/>
              </w:rPr>
              <w:t>Difference</w:t>
            </w:r>
          </w:p>
          <w:p w:rsidR="00583BD3" w:rsidRPr="0027252E" w:rsidRDefault="00583BD3" w:rsidP="000727E8">
            <w:pPr>
              <w:jc w:val="center"/>
              <w:rPr>
                <w:rFonts w:ascii="Garamond" w:hAnsi="Garamond" w:cs="Calibri"/>
                <w:color w:val="000000"/>
                <w:sz w:val="20"/>
                <w:szCs w:val="20"/>
              </w:rPr>
            </w:pPr>
            <w:r w:rsidRPr="0027252E">
              <w:rPr>
                <w:rFonts w:ascii="Garamond" w:hAnsi="Garamond" w:cs="Calibri"/>
                <w:color w:val="000000"/>
                <w:sz w:val="20"/>
                <w:szCs w:val="20"/>
              </w:rPr>
              <w:t>(Treatment minus Control)</w:t>
            </w:r>
          </w:p>
        </w:tc>
        <w:tc>
          <w:tcPr>
            <w:tcW w:w="892" w:type="dxa"/>
            <w:tcBorders>
              <w:top w:val="nil"/>
              <w:left w:val="nil"/>
              <w:bottom w:val="nil"/>
              <w:right w:val="nil"/>
            </w:tcBorders>
            <w:shd w:val="clear" w:color="auto" w:fill="auto"/>
            <w:noWrap/>
            <w:vAlign w:val="bottom"/>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p-value</w:t>
            </w:r>
          </w:p>
        </w:tc>
      </w:tr>
      <w:tr w:rsidR="00583BD3" w:rsidRPr="0027252E" w:rsidTr="000727E8">
        <w:trPr>
          <w:trHeight w:val="283"/>
          <w:jc w:val="center"/>
        </w:trPr>
        <w:tc>
          <w:tcPr>
            <w:tcW w:w="1573" w:type="dxa"/>
            <w:tcBorders>
              <w:top w:val="nil"/>
              <w:left w:val="nil"/>
              <w:bottom w:val="nil"/>
              <w:right w:val="nil"/>
            </w:tcBorders>
            <w:shd w:val="clear" w:color="auto" w:fill="auto"/>
            <w:noWrap/>
            <w:vAlign w:val="bottom"/>
            <w:hideMark/>
          </w:tcPr>
          <w:p w:rsidR="00583BD3" w:rsidRPr="0027252E" w:rsidRDefault="00583BD3" w:rsidP="000727E8">
            <w:pPr>
              <w:rPr>
                <w:rFonts w:ascii="Garamond" w:hAnsi="Garamond" w:cs="Calibri"/>
                <w:color w:val="000000"/>
                <w:sz w:val="20"/>
                <w:szCs w:val="20"/>
              </w:rPr>
            </w:pPr>
          </w:p>
        </w:tc>
        <w:tc>
          <w:tcPr>
            <w:tcW w:w="3402" w:type="dxa"/>
            <w:tcBorders>
              <w:top w:val="nil"/>
              <w:left w:val="nil"/>
              <w:bottom w:val="nil"/>
              <w:right w:val="nil"/>
            </w:tcBorders>
            <w:shd w:val="clear" w:color="auto" w:fill="auto"/>
            <w:noWrap/>
            <w:vAlign w:val="bottom"/>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Control (male CFO Leverage)</w:t>
            </w:r>
          </w:p>
        </w:tc>
        <w:tc>
          <w:tcPr>
            <w:tcW w:w="729" w:type="dxa"/>
            <w:tcBorders>
              <w:top w:val="nil"/>
              <w:left w:val="nil"/>
              <w:bottom w:val="nil"/>
              <w:right w:val="nil"/>
            </w:tcBorders>
            <w:shd w:val="clear" w:color="auto" w:fill="auto"/>
            <w:noWrap/>
            <w:vAlign w:val="bottom"/>
            <w:hideMark/>
          </w:tcPr>
          <w:p w:rsidR="00583BD3" w:rsidRPr="0027252E" w:rsidRDefault="00583BD3" w:rsidP="000727E8">
            <w:pPr>
              <w:jc w:val="right"/>
              <w:rPr>
                <w:rFonts w:ascii="Garamond" w:hAnsi="Garamond" w:cs="Calibri"/>
                <w:color w:val="000000"/>
                <w:sz w:val="20"/>
                <w:szCs w:val="20"/>
              </w:rPr>
            </w:pPr>
            <w:r w:rsidRPr="0027252E">
              <w:rPr>
                <w:rFonts w:ascii="Garamond" w:hAnsi="Garamond" w:cs="Calibri"/>
                <w:color w:val="000000"/>
                <w:sz w:val="20"/>
                <w:szCs w:val="20"/>
              </w:rPr>
              <w:t>0.2</w:t>
            </w:r>
            <w:r>
              <w:rPr>
                <w:rFonts w:ascii="Garamond" w:hAnsi="Garamond" w:cs="Calibri"/>
                <w:color w:val="000000"/>
                <w:sz w:val="20"/>
                <w:szCs w:val="20"/>
              </w:rPr>
              <w:t>42</w:t>
            </w:r>
          </w:p>
        </w:tc>
        <w:tc>
          <w:tcPr>
            <w:tcW w:w="2647" w:type="dxa"/>
            <w:tcBorders>
              <w:top w:val="nil"/>
              <w:left w:val="nil"/>
              <w:bottom w:val="nil"/>
              <w:right w:val="nil"/>
            </w:tcBorders>
            <w:shd w:val="clear" w:color="auto" w:fill="auto"/>
            <w:noWrap/>
            <w:vAlign w:val="bottom"/>
            <w:hideMark/>
          </w:tcPr>
          <w:p w:rsidR="00583BD3" w:rsidRPr="0027252E" w:rsidRDefault="00583BD3" w:rsidP="000727E8">
            <w:pPr>
              <w:jc w:val="center"/>
              <w:rPr>
                <w:rFonts w:ascii="Garamond" w:hAnsi="Garamond" w:cs="Calibri"/>
                <w:color w:val="000000"/>
                <w:sz w:val="20"/>
                <w:szCs w:val="20"/>
              </w:rPr>
            </w:pPr>
          </w:p>
        </w:tc>
        <w:tc>
          <w:tcPr>
            <w:tcW w:w="892" w:type="dxa"/>
            <w:tcBorders>
              <w:top w:val="nil"/>
              <w:left w:val="nil"/>
              <w:bottom w:val="nil"/>
              <w:right w:val="nil"/>
            </w:tcBorders>
            <w:shd w:val="clear" w:color="auto" w:fill="auto"/>
            <w:noWrap/>
            <w:vAlign w:val="center"/>
            <w:hideMark/>
          </w:tcPr>
          <w:p w:rsidR="00583BD3" w:rsidRPr="0027252E" w:rsidRDefault="00583BD3" w:rsidP="000727E8">
            <w:pPr>
              <w:rPr>
                <w:sz w:val="20"/>
                <w:szCs w:val="20"/>
              </w:rPr>
            </w:pPr>
          </w:p>
        </w:tc>
      </w:tr>
      <w:tr w:rsidR="00583BD3" w:rsidRPr="0027252E" w:rsidTr="000727E8">
        <w:trPr>
          <w:trHeight w:val="283"/>
          <w:jc w:val="center"/>
        </w:trPr>
        <w:tc>
          <w:tcPr>
            <w:tcW w:w="1573" w:type="dxa"/>
            <w:tcBorders>
              <w:top w:val="nil"/>
              <w:left w:val="nil"/>
              <w:bottom w:val="nil"/>
              <w:right w:val="nil"/>
            </w:tcBorders>
            <w:shd w:val="clear" w:color="auto" w:fill="auto"/>
            <w:noWrap/>
            <w:vAlign w:val="bottom"/>
            <w:hideMark/>
          </w:tcPr>
          <w:p w:rsidR="00583BD3" w:rsidRPr="0027252E" w:rsidRDefault="00583BD3" w:rsidP="000727E8">
            <w:pPr>
              <w:rPr>
                <w:sz w:val="20"/>
                <w:szCs w:val="20"/>
              </w:rPr>
            </w:pPr>
          </w:p>
        </w:tc>
        <w:tc>
          <w:tcPr>
            <w:tcW w:w="3402" w:type="dxa"/>
            <w:tcBorders>
              <w:top w:val="nil"/>
              <w:left w:val="nil"/>
              <w:bottom w:val="nil"/>
              <w:right w:val="nil"/>
            </w:tcBorders>
            <w:shd w:val="clear" w:color="auto" w:fill="auto"/>
            <w:noWrap/>
            <w:vAlign w:val="bottom"/>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Treatment (male CFO Leverage)</w:t>
            </w:r>
          </w:p>
        </w:tc>
        <w:tc>
          <w:tcPr>
            <w:tcW w:w="729" w:type="dxa"/>
            <w:tcBorders>
              <w:top w:val="nil"/>
              <w:left w:val="nil"/>
              <w:bottom w:val="nil"/>
              <w:right w:val="nil"/>
            </w:tcBorders>
            <w:shd w:val="clear" w:color="auto" w:fill="auto"/>
            <w:noWrap/>
            <w:vAlign w:val="bottom"/>
            <w:hideMark/>
          </w:tcPr>
          <w:p w:rsidR="00583BD3" w:rsidRPr="0027252E" w:rsidRDefault="00583BD3" w:rsidP="000727E8">
            <w:pPr>
              <w:jc w:val="right"/>
              <w:rPr>
                <w:rFonts w:ascii="Garamond" w:hAnsi="Garamond" w:cs="Calibri"/>
                <w:color w:val="000000"/>
                <w:sz w:val="20"/>
                <w:szCs w:val="20"/>
              </w:rPr>
            </w:pPr>
            <w:r w:rsidRPr="0027252E">
              <w:rPr>
                <w:rFonts w:ascii="Garamond" w:hAnsi="Garamond" w:cs="Calibri"/>
                <w:color w:val="000000"/>
                <w:sz w:val="20"/>
                <w:szCs w:val="20"/>
              </w:rPr>
              <w:t>0.227</w:t>
            </w:r>
          </w:p>
        </w:tc>
        <w:tc>
          <w:tcPr>
            <w:tcW w:w="2647" w:type="dxa"/>
            <w:tcBorders>
              <w:top w:val="nil"/>
              <w:left w:val="nil"/>
              <w:bottom w:val="nil"/>
              <w:right w:val="nil"/>
            </w:tcBorders>
            <w:shd w:val="clear" w:color="auto" w:fill="auto"/>
            <w:noWrap/>
            <w:vAlign w:val="bottom"/>
            <w:hideMark/>
          </w:tcPr>
          <w:p w:rsidR="00583BD3" w:rsidRPr="0027252E" w:rsidRDefault="00583BD3" w:rsidP="000727E8">
            <w:pPr>
              <w:jc w:val="center"/>
              <w:rPr>
                <w:rFonts w:ascii="Garamond" w:hAnsi="Garamond" w:cs="Calibri"/>
                <w:color w:val="000000"/>
                <w:sz w:val="20"/>
                <w:szCs w:val="20"/>
              </w:rPr>
            </w:pPr>
            <w:r w:rsidRPr="0027252E">
              <w:rPr>
                <w:rFonts w:ascii="Garamond" w:hAnsi="Garamond" w:cs="Calibri"/>
                <w:color w:val="000000"/>
                <w:sz w:val="20"/>
                <w:szCs w:val="20"/>
              </w:rPr>
              <w:t>-0.01</w:t>
            </w:r>
            <w:r>
              <w:rPr>
                <w:rFonts w:ascii="Garamond" w:hAnsi="Garamond" w:cs="Calibri"/>
                <w:color w:val="000000"/>
                <w:sz w:val="20"/>
                <w:szCs w:val="20"/>
              </w:rPr>
              <w:t>5</w:t>
            </w:r>
          </w:p>
        </w:tc>
        <w:tc>
          <w:tcPr>
            <w:tcW w:w="892" w:type="dxa"/>
            <w:tcBorders>
              <w:top w:val="nil"/>
              <w:left w:val="nil"/>
              <w:bottom w:val="nil"/>
              <w:right w:val="nil"/>
            </w:tcBorders>
            <w:shd w:val="clear" w:color="auto" w:fill="auto"/>
            <w:noWrap/>
            <w:vAlign w:val="center"/>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0.</w:t>
            </w:r>
            <w:r>
              <w:rPr>
                <w:rFonts w:ascii="Garamond" w:hAnsi="Garamond" w:cs="Calibri"/>
                <w:color w:val="000000"/>
                <w:sz w:val="20"/>
                <w:szCs w:val="20"/>
              </w:rPr>
              <w:t>140</w:t>
            </w:r>
          </w:p>
        </w:tc>
      </w:tr>
      <w:tr w:rsidR="00583BD3" w:rsidRPr="0027252E" w:rsidTr="000727E8">
        <w:trPr>
          <w:trHeight w:val="283"/>
          <w:jc w:val="center"/>
        </w:trPr>
        <w:tc>
          <w:tcPr>
            <w:tcW w:w="1573" w:type="dxa"/>
            <w:tcBorders>
              <w:top w:val="nil"/>
              <w:left w:val="nil"/>
              <w:bottom w:val="nil"/>
              <w:right w:val="nil"/>
            </w:tcBorders>
            <w:shd w:val="clear" w:color="auto" w:fill="auto"/>
            <w:noWrap/>
            <w:vAlign w:val="bottom"/>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Post-transition</w:t>
            </w:r>
          </w:p>
        </w:tc>
        <w:tc>
          <w:tcPr>
            <w:tcW w:w="3402" w:type="dxa"/>
            <w:tcBorders>
              <w:top w:val="nil"/>
              <w:left w:val="nil"/>
              <w:bottom w:val="nil"/>
              <w:right w:val="nil"/>
            </w:tcBorders>
            <w:shd w:val="clear" w:color="auto" w:fill="auto"/>
            <w:noWrap/>
            <w:vAlign w:val="center"/>
            <w:hideMark/>
          </w:tcPr>
          <w:p w:rsidR="00583BD3" w:rsidRPr="0027252E" w:rsidRDefault="00583BD3" w:rsidP="000727E8">
            <w:pPr>
              <w:rPr>
                <w:rFonts w:ascii="Garamond" w:hAnsi="Garamond" w:cs="Calibri"/>
                <w:color w:val="000000"/>
                <w:sz w:val="20"/>
                <w:szCs w:val="20"/>
              </w:rPr>
            </w:pPr>
          </w:p>
        </w:tc>
        <w:tc>
          <w:tcPr>
            <w:tcW w:w="729" w:type="dxa"/>
            <w:tcBorders>
              <w:top w:val="nil"/>
              <w:left w:val="nil"/>
              <w:bottom w:val="nil"/>
              <w:right w:val="nil"/>
            </w:tcBorders>
            <w:shd w:val="clear" w:color="auto" w:fill="auto"/>
            <w:noWrap/>
            <w:vAlign w:val="bottom"/>
            <w:hideMark/>
          </w:tcPr>
          <w:p w:rsidR="00583BD3" w:rsidRPr="0027252E" w:rsidRDefault="00583BD3" w:rsidP="000727E8">
            <w:pPr>
              <w:rPr>
                <w:sz w:val="20"/>
                <w:szCs w:val="20"/>
              </w:rPr>
            </w:pPr>
          </w:p>
        </w:tc>
        <w:tc>
          <w:tcPr>
            <w:tcW w:w="2647" w:type="dxa"/>
            <w:tcBorders>
              <w:top w:val="nil"/>
              <w:left w:val="nil"/>
              <w:bottom w:val="nil"/>
              <w:right w:val="nil"/>
            </w:tcBorders>
            <w:shd w:val="clear" w:color="auto" w:fill="auto"/>
            <w:noWrap/>
            <w:vAlign w:val="bottom"/>
            <w:hideMark/>
          </w:tcPr>
          <w:p w:rsidR="00583BD3" w:rsidRPr="0027252E" w:rsidRDefault="00583BD3" w:rsidP="000727E8">
            <w:pPr>
              <w:jc w:val="center"/>
              <w:rPr>
                <w:sz w:val="20"/>
                <w:szCs w:val="20"/>
              </w:rPr>
            </w:pPr>
          </w:p>
        </w:tc>
        <w:tc>
          <w:tcPr>
            <w:tcW w:w="892" w:type="dxa"/>
            <w:tcBorders>
              <w:top w:val="nil"/>
              <w:left w:val="nil"/>
              <w:bottom w:val="nil"/>
              <w:right w:val="nil"/>
            </w:tcBorders>
            <w:shd w:val="clear" w:color="auto" w:fill="auto"/>
            <w:noWrap/>
            <w:vAlign w:val="center"/>
            <w:hideMark/>
          </w:tcPr>
          <w:p w:rsidR="00583BD3" w:rsidRPr="0027252E" w:rsidRDefault="00583BD3" w:rsidP="000727E8">
            <w:pPr>
              <w:rPr>
                <w:sz w:val="20"/>
                <w:szCs w:val="20"/>
              </w:rPr>
            </w:pPr>
          </w:p>
        </w:tc>
      </w:tr>
      <w:tr w:rsidR="00583BD3" w:rsidRPr="0027252E" w:rsidTr="000727E8">
        <w:trPr>
          <w:trHeight w:val="283"/>
          <w:jc w:val="center"/>
        </w:trPr>
        <w:tc>
          <w:tcPr>
            <w:tcW w:w="1573" w:type="dxa"/>
            <w:tcBorders>
              <w:top w:val="nil"/>
              <w:left w:val="nil"/>
              <w:bottom w:val="nil"/>
              <w:right w:val="nil"/>
            </w:tcBorders>
            <w:shd w:val="clear" w:color="auto" w:fill="auto"/>
            <w:noWrap/>
            <w:vAlign w:val="center"/>
            <w:hideMark/>
          </w:tcPr>
          <w:p w:rsidR="00583BD3" w:rsidRPr="0027252E" w:rsidRDefault="00583BD3" w:rsidP="000727E8">
            <w:pPr>
              <w:rPr>
                <w:sz w:val="20"/>
                <w:szCs w:val="20"/>
              </w:rPr>
            </w:pPr>
          </w:p>
        </w:tc>
        <w:tc>
          <w:tcPr>
            <w:tcW w:w="3402" w:type="dxa"/>
            <w:tcBorders>
              <w:top w:val="nil"/>
              <w:left w:val="nil"/>
              <w:bottom w:val="nil"/>
              <w:right w:val="nil"/>
            </w:tcBorders>
            <w:shd w:val="clear" w:color="auto" w:fill="auto"/>
            <w:noWrap/>
            <w:vAlign w:val="bottom"/>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Control (male CFO Leverage)</w:t>
            </w:r>
          </w:p>
        </w:tc>
        <w:tc>
          <w:tcPr>
            <w:tcW w:w="729" w:type="dxa"/>
            <w:tcBorders>
              <w:top w:val="nil"/>
              <w:left w:val="nil"/>
              <w:bottom w:val="nil"/>
              <w:right w:val="nil"/>
            </w:tcBorders>
            <w:shd w:val="clear" w:color="auto" w:fill="auto"/>
            <w:noWrap/>
            <w:vAlign w:val="bottom"/>
            <w:hideMark/>
          </w:tcPr>
          <w:p w:rsidR="00583BD3" w:rsidRPr="0027252E" w:rsidRDefault="00583BD3" w:rsidP="000727E8">
            <w:pPr>
              <w:jc w:val="right"/>
              <w:rPr>
                <w:rFonts w:ascii="Garamond" w:hAnsi="Garamond" w:cs="Calibri"/>
                <w:color w:val="000000"/>
                <w:sz w:val="20"/>
                <w:szCs w:val="20"/>
              </w:rPr>
            </w:pPr>
            <w:r w:rsidRPr="0027252E">
              <w:rPr>
                <w:rFonts w:ascii="Garamond" w:hAnsi="Garamond" w:cs="Calibri"/>
                <w:color w:val="000000"/>
                <w:sz w:val="20"/>
                <w:szCs w:val="20"/>
              </w:rPr>
              <w:t>0.2</w:t>
            </w:r>
            <w:r>
              <w:rPr>
                <w:rFonts w:ascii="Garamond" w:hAnsi="Garamond" w:cs="Calibri"/>
                <w:color w:val="000000"/>
                <w:sz w:val="20"/>
                <w:szCs w:val="20"/>
              </w:rPr>
              <w:t>81</w:t>
            </w:r>
          </w:p>
        </w:tc>
        <w:tc>
          <w:tcPr>
            <w:tcW w:w="2647" w:type="dxa"/>
            <w:tcBorders>
              <w:top w:val="nil"/>
              <w:left w:val="nil"/>
              <w:bottom w:val="nil"/>
              <w:right w:val="nil"/>
            </w:tcBorders>
            <w:shd w:val="clear" w:color="auto" w:fill="auto"/>
            <w:noWrap/>
            <w:vAlign w:val="bottom"/>
            <w:hideMark/>
          </w:tcPr>
          <w:p w:rsidR="00583BD3" w:rsidRPr="0027252E" w:rsidRDefault="00583BD3" w:rsidP="000727E8">
            <w:pPr>
              <w:jc w:val="center"/>
              <w:rPr>
                <w:rFonts w:ascii="Garamond" w:hAnsi="Garamond" w:cs="Calibri"/>
                <w:color w:val="000000"/>
                <w:sz w:val="20"/>
                <w:szCs w:val="20"/>
              </w:rPr>
            </w:pPr>
          </w:p>
        </w:tc>
        <w:tc>
          <w:tcPr>
            <w:tcW w:w="892" w:type="dxa"/>
            <w:tcBorders>
              <w:top w:val="nil"/>
              <w:left w:val="nil"/>
              <w:bottom w:val="nil"/>
              <w:right w:val="nil"/>
            </w:tcBorders>
            <w:shd w:val="clear" w:color="auto" w:fill="auto"/>
            <w:noWrap/>
            <w:vAlign w:val="center"/>
            <w:hideMark/>
          </w:tcPr>
          <w:p w:rsidR="00583BD3" w:rsidRPr="0027252E" w:rsidRDefault="00583BD3" w:rsidP="000727E8">
            <w:pPr>
              <w:rPr>
                <w:sz w:val="20"/>
                <w:szCs w:val="20"/>
              </w:rPr>
            </w:pPr>
          </w:p>
        </w:tc>
      </w:tr>
      <w:tr w:rsidR="00583BD3" w:rsidRPr="0027252E" w:rsidTr="000727E8">
        <w:trPr>
          <w:trHeight w:val="283"/>
          <w:jc w:val="center"/>
        </w:trPr>
        <w:tc>
          <w:tcPr>
            <w:tcW w:w="1573" w:type="dxa"/>
            <w:tcBorders>
              <w:top w:val="nil"/>
              <w:left w:val="nil"/>
              <w:bottom w:val="nil"/>
              <w:right w:val="nil"/>
            </w:tcBorders>
            <w:shd w:val="clear" w:color="auto" w:fill="auto"/>
            <w:noWrap/>
            <w:vAlign w:val="bottom"/>
            <w:hideMark/>
          </w:tcPr>
          <w:p w:rsidR="00583BD3" w:rsidRPr="0027252E" w:rsidRDefault="00583BD3" w:rsidP="000727E8">
            <w:pPr>
              <w:rPr>
                <w:sz w:val="20"/>
                <w:szCs w:val="20"/>
              </w:rPr>
            </w:pPr>
          </w:p>
        </w:tc>
        <w:tc>
          <w:tcPr>
            <w:tcW w:w="3402" w:type="dxa"/>
            <w:tcBorders>
              <w:top w:val="nil"/>
              <w:left w:val="nil"/>
              <w:bottom w:val="nil"/>
              <w:right w:val="nil"/>
            </w:tcBorders>
            <w:shd w:val="clear" w:color="auto" w:fill="auto"/>
            <w:noWrap/>
            <w:vAlign w:val="bottom"/>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Treatment (female CFO Leverage)</w:t>
            </w:r>
          </w:p>
        </w:tc>
        <w:tc>
          <w:tcPr>
            <w:tcW w:w="729" w:type="dxa"/>
            <w:tcBorders>
              <w:top w:val="nil"/>
              <w:left w:val="nil"/>
              <w:bottom w:val="nil"/>
              <w:right w:val="nil"/>
            </w:tcBorders>
            <w:shd w:val="clear" w:color="auto" w:fill="auto"/>
            <w:noWrap/>
            <w:vAlign w:val="bottom"/>
            <w:hideMark/>
          </w:tcPr>
          <w:p w:rsidR="00583BD3" w:rsidRPr="0027252E" w:rsidRDefault="00583BD3" w:rsidP="000727E8">
            <w:pPr>
              <w:jc w:val="right"/>
              <w:rPr>
                <w:rFonts w:ascii="Garamond" w:hAnsi="Garamond" w:cs="Calibri"/>
                <w:color w:val="000000"/>
                <w:sz w:val="20"/>
                <w:szCs w:val="20"/>
              </w:rPr>
            </w:pPr>
            <w:r w:rsidRPr="0027252E">
              <w:rPr>
                <w:rFonts w:ascii="Garamond" w:hAnsi="Garamond" w:cs="Calibri"/>
                <w:color w:val="000000"/>
                <w:sz w:val="20"/>
                <w:szCs w:val="20"/>
              </w:rPr>
              <w:t>0.2</w:t>
            </w:r>
            <w:r>
              <w:rPr>
                <w:rFonts w:ascii="Garamond" w:hAnsi="Garamond" w:cs="Calibri"/>
                <w:color w:val="000000"/>
                <w:sz w:val="20"/>
                <w:szCs w:val="20"/>
              </w:rPr>
              <w:t>37</w:t>
            </w:r>
          </w:p>
        </w:tc>
        <w:tc>
          <w:tcPr>
            <w:tcW w:w="2647" w:type="dxa"/>
            <w:tcBorders>
              <w:top w:val="nil"/>
              <w:left w:val="nil"/>
              <w:bottom w:val="nil"/>
              <w:right w:val="nil"/>
            </w:tcBorders>
            <w:shd w:val="clear" w:color="auto" w:fill="auto"/>
            <w:noWrap/>
            <w:vAlign w:val="bottom"/>
            <w:hideMark/>
          </w:tcPr>
          <w:p w:rsidR="00583BD3" w:rsidRPr="0027252E" w:rsidRDefault="00583BD3" w:rsidP="000727E8">
            <w:pPr>
              <w:jc w:val="center"/>
              <w:rPr>
                <w:rFonts w:ascii="Garamond" w:hAnsi="Garamond" w:cs="Calibri"/>
                <w:color w:val="000000"/>
                <w:sz w:val="20"/>
                <w:szCs w:val="20"/>
              </w:rPr>
            </w:pPr>
            <w:r w:rsidRPr="0027252E">
              <w:rPr>
                <w:rFonts w:ascii="Garamond" w:hAnsi="Garamond" w:cs="Calibri"/>
                <w:color w:val="000000"/>
                <w:sz w:val="20"/>
                <w:szCs w:val="20"/>
              </w:rPr>
              <w:t>-0.04</w:t>
            </w:r>
            <w:r>
              <w:rPr>
                <w:rFonts w:ascii="Garamond" w:hAnsi="Garamond" w:cs="Calibri"/>
                <w:color w:val="000000"/>
                <w:sz w:val="20"/>
                <w:szCs w:val="20"/>
              </w:rPr>
              <w:t>4</w:t>
            </w:r>
          </w:p>
        </w:tc>
        <w:tc>
          <w:tcPr>
            <w:tcW w:w="892" w:type="dxa"/>
            <w:tcBorders>
              <w:top w:val="nil"/>
              <w:left w:val="nil"/>
              <w:bottom w:val="nil"/>
              <w:right w:val="nil"/>
            </w:tcBorders>
            <w:shd w:val="clear" w:color="auto" w:fill="auto"/>
            <w:noWrap/>
            <w:vAlign w:val="center"/>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0.000***</w:t>
            </w:r>
          </w:p>
        </w:tc>
      </w:tr>
      <w:tr w:rsidR="00583BD3" w:rsidRPr="0027252E" w:rsidTr="000727E8">
        <w:trPr>
          <w:trHeight w:val="283"/>
          <w:jc w:val="center"/>
        </w:trPr>
        <w:tc>
          <w:tcPr>
            <w:tcW w:w="4975" w:type="dxa"/>
            <w:gridSpan w:val="2"/>
            <w:tcBorders>
              <w:top w:val="nil"/>
              <w:left w:val="nil"/>
              <w:bottom w:val="nil"/>
              <w:right w:val="nil"/>
            </w:tcBorders>
            <w:shd w:val="clear" w:color="auto" w:fill="auto"/>
            <w:noWrap/>
            <w:vAlign w:val="bottom"/>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Diff-in-Diff (Post-transition - Pre-transition)</w:t>
            </w:r>
          </w:p>
        </w:tc>
        <w:tc>
          <w:tcPr>
            <w:tcW w:w="729" w:type="dxa"/>
            <w:tcBorders>
              <w:top w:val="nil"/>
              <w:left w:val="nil"/>
              <w:bottom w:val="nil"/>
              <w:right w:val="nil"/>
            </w:tcBorders>
            <w:shd w:val="clear" w:color="auto" w:fill="auto"/>
            <w:noWrap/>
            <w:vAlign w:val="bottom"/>
            <w:hideMark/>
          </w:tcPr>
          <w:p w:rsidR="00583BD3" w:rsidRPr="0027252E" w:rsidRDefault="00583BD3" w:rsidP="000727E8">
            <w:pPr>
              <w:rPr>
                <w:rFonts w:ascii="Garamond" w:hAnsi="Garamond" w:cs="Calibri"/>
                <w:color w:val="000000"/>
                <w:sz w:val="20"/>
                <w:szCs w:val="20"/>
              </w:rPr>
            </w:pPr>
          </w:p>
        </w:tc>
        <w:tc>
          <w:tcPr>
            <w:tcW w:w="2647" w:type="dxa"/>
            <w:tcBorders>
              <w:top w:val="nil"/>
              <w:left w:val="nil"/>
              <w:bottom w:val="nil"/>
              <w:right w:val="nil"/>
            </w:tcBorders>
            <w:shd w:val="clear" w:color="auto" w:fill="auto"/>
            <w:noWrap/>
            <w:vAlign w:val="bottom"/>
            <w:hideMark/>
          </w:tcPr>
          <w:p w:rsidR="00583BD3" w:rsidRPr="0027252E" w:rsidRDefault="00583BD3" w:rsidP="000727E8">
            <w:pPr>
              <w:jc w:val="center"/>
              <w:rPr>
                <w:rFonts w:ascii="Garamond" w:hAnsi="Garamond" w:cs="Calibri"/>
                <w:color w:val="000000"/>
                <w:sz w:val="20"/>
                <w:szCs w:val="20"/>
              </w:rPr>
            </w:pPr>
            <w:r w:rsidRPr="0027252E">
              <w:rPr>
                <w:rFonts w:ascii="Garamond" w:hAnsi="Garamond" w:cs="Calibri"/>
                <w:color w:val="000000"/>
                <w:sz w:val="20"/>
                <w:szCs w:val="20"/>
              </w:rPr>
              <w:t>-0.0</w:t>
            </w:r>
            <w:r>
              <w:rPr>
                <w:rFonts w:ascii="Garamond" w:hAnsi="Garamond" w:cs="Calibri"/>
                <w:color w:val="000000"/>
                <w:sz w:val="20"/>
                <w:szCs w:val="20"/>
              </w:rPr>
              <w:t>29</w:t>
            </w:r>
          </w:p>
        </w:tc>
        <w:tc>
          <w:tcPr>
            <w:tcW w:w="892" w:type="dxa"/>
            <w:tcBorders>
              <w:top w:val="nil"/>
              <w:left w:val="nil"/>
              <w:bottom w:val="nil"/>
              <w:right w:val="nil"/>
            </w:tcBorders>
            <w:shd w:val="clear" w:color="auto" w:fill="auto"/>
            <w:noWrap/>
            <w:vAlign w:val="center"/>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0.029**</w:t>
            </w:r>
          </w:p>
        </w:tc>
      </w:tr>
      <w:tr w:rsidR="00583BD3" w:rsidRPr="0027252E" w:rsidTr="000727E8">
        <w:trPr>
          <w:trHeight w:val="283"/>
          <w:jc w:val="center"/>
        </w:trPr>
        <w:tc>
          <w:tcPr>
            <w:tcW w:w="4975" w:type="dxa"/>
            <w:gridSpan w:val="2"/>
            <w:tcBorders>
              <w:top w:val="single" w:sz="4" w:space="0" w:color="auto"/>
              <w:left w:val="nil"/>
              <w:bottom w:val="nil"/>
              <w:right w:val="nil"/>
            </w:tcBorders>
            <w:shd w:val="clear" w:color="auto" w:fill="auto"/>
            <w:noWrap/>
            <w:vAlign w:val="bottom"/>
            <w:hideMark/>
          </w:tcPr>
          <w:p w:rsidR="00583BD3" w:rsidRPr="0027252E" w:rsidRDefault="00583BD3" w:rsidP="000727E8">
            <w:pPr>
              <w:rPr>
                <w:rFonts w:ascii="Garamond" w:hAnsi="Garamond" w:cs="Calibri"/>
                <w:b/>
                <w:bCs/>
                <w:color w:val="000000"/>
                <w:sz w:val="20"/>
                <w:szCs w:val="20"/>
              </w:rPr>
            </w:pPr>
            <w:r w:rsidRPr="0027252E">
              <w:rPr>
                <w:rFonts w:ascii="Garamond" w:hAnsi="Garamond" w:cs="Calibri"/>
                <w:b/>
                <w:bCs/>
                <w:color w:val="000000"/>
                <w:sz w:val="20"/>
                <w:szCs w:val="20"/>
              </w:rPr>
              <w:t>Panel C: Controlling for Board Age Diversity</w:t>
            </w:r>
          </w:p>
        </w:tc>
        <w:tc>
          <w:tcPr>
            <w:tcW w:w="729" w:type="dxa"/>
            <w:tcBorders>
              <w:top w:val="single" w:sz="4" w:space="0" w:color="auto"/>
              <w:left w:val="nil"/>
              <w:bottom w:val="nil"/>
              <w:right w:val="nil"/>
            </w:tcBorders>
            <w:shd w:val="clear" w:color="auto" w:fill="auto"/>
            <w:noWrap/>
            <w:vAlign w:val="center"/>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 </w:t>
            </w:r>
          </w:p>
        </w:tc>
        <w:tc>
          <w:tcPr>
            <w:tcW w:w="2647" w:type="dxa"/>
            <w:tcBorders>
              <w:top w:val="single" w:sz="4" w:space="0" w:color="auto"/>
              <w:left w:val="nil"/>
              <w:bottom w:val="nil"/>
              <w:right w:val="nil"/>
            </w:tcBorders>
            <w:shd w:val="clear" w:color="auto" w:fill="auto"/>
            <w:noWrap/>
            <w:vAlign w:val="center"/>
            <w:hideMark/>
          </w:tcPr>
          <w:p w:rsidR="00583BD3" w:rsidRPr="0027252E" w:rsidRDefault="00583BD3" w:rsidP="000727E8">
            <w:pPr>
              <w:jc w:val="center"/>
              <w:rPr>
                <w:rFonts w:ascii="Garamond" w:hAnsi="Garamond" w:cs="Calibri"/>
                <w:color w:val="000000"/>
                <w:sz w:val="20"/>
                <w:szCs w:val="20"/>
              </w:rPr>
            </w:pPr>
          </w:p>
        </w:tc>
        <w:tc>
          <w:tcPr>
            <w:tcW w:w="892" w:type="dxa"/>
            <w:tcBorders>
              <w:top w:val="single" w:sz="4" w:space="0" w:color="auto"/>
              <w:left w:val="nil"/>
              <w:bottom w:val="nil"/>
              <w:right w:val="nil"/>
            </w:tcBorders>
            <w:shd w:val="clear" w:color="auto" w:fill="auto"/>
            <w:noWrap/>
            <w:vAlign w:val="center"/>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 </w:t>
            </w:r>
          </w:p>
        </w:tc>
      </w:tr>
      <w:tr w:rsidR="00583BD3" w:rsidRPr="0027252E" w:rsidTr="000727E8">
        <w:trPr>
          <w:trHeight w:val="283"/>
          <w:jc w:val="center"/>
        </w:trPr>
        <w:tc>
          <w:tcPr>
            <w:tcW w:w="1573" w:type="dxa"/>
            <w:tcBorders>
              <w:top w:val="nil"/>
              <w:left w:val="nil"/>
              <w:bottom w:val="nil"/>
              <w:right w:val="nil"/>
            </w:tcBorders>
            <w:shd w:val="clear" w:color="auto" w:fill="auto"/>
            <w:noWrap/>
            <w:vAlign w:val="bottom"/>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Pre-transition</w:t>
            </w:r>
          </w:p>
        </w:tc>
        <w:tc>
          <w:tcPr>
            <w:tcW w:w="3402" w:type="dxa"/>
            <w:tcBorders>
              <w:top w:val="nil"/>
              <w:left w:val="nil"/>
              <w:bottom w:val="nil"/>
              <w:right w:val="nil"/>
            </w:tcBorders>
            <w:shd w:val="clear" w:color="auto" w:fill="auto"/>
            <w:noWrap/>
            <w:vAlign w:val="bottom"/>
            <w:hideMark/>
          </w:tcPr>
          <w:p w:rsidR="00583BD3" w:rsidRPr="0027252E" w:rsidRDefault="00583BD3" w:rsidP="000727E8">
            <w:pPr>
              <w:rPr>
                <w:rFonts w:ascii="Garamond" w:hAnsi="Garamond" w:cs="Calibri"/>
                <w:color w:val="000000"/>
                <w:sz w:val="20"/>
                <w:szCs w:val="20"/>
              </w:rPr>
            </w:pPr>
          </w:p>
        </w:tc>
        <w:tc>
          <w:tcPr>
            <w:tcW w:w="729" w:type="dxa"/>
            <w:tcBorders>
              <w:top w:val="nil"/>
              <w:left w:val="nil"/>
              <w:bottom w:val="nil"/>
              <w:right w:val="nil"/>
            </w:tcBorders>
            <w:shd w:val="clear" w:color="auto" w:fill="auto"/>
            <w:noWrap/>
            <w:vAlign w:val="bottom"/>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Mean</w:t>
            </w:r>
          </w:p>
        </w:tc>
        <w:tc>
          <w:tcPr>
            <w:tcW w:w="2647" w:type="dxa"/>
            <w:tcBorders>
              <w:top w:val="nil"/>
              <w:left w:val="nil"/>
              <w:bottom w:val="nil"/>
              <w:right w:val="nil"/>
            </w:tcBorders>
            <w:shd w:val="clear" w:color="auto" w:fill="auto"/>
            <w:noWrap/>
            <w:vAlign w:val="bottom"/>
            <w:hideMark/>
          </w:tcPr>
          <w:p w:rsidR="00583BD3" w:rsidRDefault="00583BD3" w:rsidP="000727E8">
            <w:pPr>
              <w:jc w:val="center"/>
              <w:rPr>
                <w:rFonts w:ascii="Garamond" w:hAnsi="Garamond" w:cs="Calibri"/>
                <w:color w:val="000000"/>
                <w:sz w:val="20"/>
                <w:szCs w:val="20"/>
              </w:rPr>
            </w:pPr>
            <w:r w:rsidRPr="0027252E">
              <w:rPr>
                <w:rFonts w:ascii="Garamond" w:hAnsi="Garamond" w:cs="Calibri"/>
                <w:color w:val="000000"/>
                <w:sz w:val="20"/>
                <w:szCs w:val="20"/>
              </w:rPr>
              <w:t>Difference</w:t>
            </w:r>
          </w:p>
          <w:p w:rsidR="00583BD3" w:rsidRPr="0027252E" w:rsidRDefault="00583BD3" w:rsidP="000727E8">
            <w:pPr>
              <w:jc w:val="center"/>
              <w:rPr>
                <w:rFonts w:ascii="Garamond" w:hAnsi="Garamond" w:cs="Calibri"/>
                <w:color w:val="000000"/>
                <w:sz w:val="20"/>
                <w:szCs w:val="20"/>
              </w:rPr>
            </w:pPr>
            <w:r w:rsidRPr="0027252E">
              <w:rPr>
                <w:rFonts w:ascii="Garamond" w:hAnsi="Garamond" w:cs="Calibri"/>
                <w:color w:val="000000"/>
                <w:sz w:val="20"/>
                <w:szCs w:val="20"/>
              </w:rPr>
              <w:t>(Treatment minus Control)</w:t>
            </w:r>
          </w:p>
        </w:tc>
        <w:tc>
          <w:tcPr>
            <w:tcW w:w="892" w:type="dxa"/>
            <w:tcBorders>
              <w:top w:val="nil"/>
              <w:left w:val="nil"/>
              <w:bottom w:val="nil"/>
              <w:right w:val="nil"/>
            </w:tcBorders>
            <w:shd w:val="clear" w:color="auto" w:fill="auto"/>
            <w:noWrap/>
            <w:vAlign w:val="bottom"/>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p-value</w:t>
            </w:r>
          </w:p>
        </w:tc>
      </w:tr>
      <w:tr w:rsidR="00583BD3" w:rsidRPr="0027252E" w:rsidTr="000727E8">
        <w:trPr>
          <w:trHeight w:val="283"/>
          <w:jc w:val="center"/>
        </w:trPr>
        <w:tc>
          <w:tcPr>
            <w:tcW w:w="1573" w:type="dxa"/>
            <w:tcBorders>
              <w:top w:val="nil"/>
              <w:left w:val="nil"/>
              <w:bottom w:val="nil"/>
              <w:right w:val="nil"/>
            </w:tcBorders>
            <w:shd w:val="clear" w:color="auto" w:fill="auto"/>
            <w:noWrap/>
            <w:vAlign w:val="bottom"/>
            <w:hideMark/>
          </w:tcPr>
          <w:p w:rsidR="00583BD3" w:rsidRPr="0027252E" w:rsidRDefault="00583BD3" w:rsidP="000727E8">
            <w:pPr>
              <w:rPr>
                <w:rFonts w:ascii="Garamond" w:hAnsi="Garamond" w:cs="Calibri"/>
                <w:color w:val="000000"/>
                <w:sz w:val="20"/>
                <w:szCs w:val="20"/>
              </w:rPr>
            </w:pPr>
          </w:p>
        </w:tc>
        <w:tc>
          <w:tcPr>
            <w:tcW w:w="3402" w:type="dxa"/>
            <w:tcBorders>
              <w:top w:val="nil"/>
              <w:left w:val="nil"/>
              <w:bottom w:val="nil"/>
              <w:right w:val="nil"/>
            </w:tcBorders>
            <w:shd w:val="clear" w:color="auto" w:fill="auto"/>
            <w:noWrap/>
            <w:vAlign w:val="bottom"/>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Control (male CFO Leverage)</w:t>
            </w:r>
          </w:p>
        </w:tc>
        <w:tc>
          <w:tcPr>
            <w:tcW w:w="729" w:type="dxa"/>
            <w:tcBorders>
              <w:top w:val="nil"/>
              <w:left w:val="nil"/>
              <w:bottom w:val="nil"/>
              <w:right w:val="nil"/>
            </w:tcBorders>
            <w:shd w:val="clear" w:color="auto" w:fill="auto"/>
            <w:noWrap/>
            <w:vAlign w:val="bottom"/>
            <w:hideMark/>
          </w:tcPr>
          <w:p w:rsidR="00583BD3" w:rsidRPr="0027252E" w:rsidRDefault="00583BD3" w:rsidP="000727E8">
            <w:pPr>
              <w:jc w:val="right"/>
              <w:rPr>
                <w:rFonts w:ascii="Garamond" w:hAnsi="Garamond" w:cs="Calibri"/>
                <w:color w:val="000000"/>
                <w:sz w:val="20"/>
                <w:szCs w:val="20"/>
              </w:rPr>
            </w:pPr>
            <w:r w:rsidRPr="0027252E">
              <w:rPr>
                <w:rFonts w:ascii="Garamond" w:hAnsi="Garamond" w:cs="Calibri"/>
                <w:color w:val="000000"/>
                <w:sz w:val="20"/>
                <w:szCs w:val="20"/>
              </w:rPr>
              <w:t>0.2</w:t>
            </w:r>
            <w:r>
              <w:rPr>
                <w:rFonts w:ascii="Garamond" w:hAnsi="Garamond" w:cs="Calibri"/>
                <w:color w:val="000000"/>
                <w:sz w:val="20"/>
                <w:szCs w:val="20"/>
              </w:rPr>
              <w:t>42</w:t>
            </w:r>
          </w:p>
        </w:tc>
        <w:tc>
          <w:tcPr>
            <w:tcW w:w="2647" w:type="dxa"/>
            <w:tcBorders>
              <w:top w:val="nil"/>
              <w:left w:val="nil"/>
              <w:bottom w:val="nil"/>
              <w:right w:val="nil"/>
            </w:tcBorders>
            <w:shd w:val="clear" w:color="auto" w:fill="auto"/>
            <w:noWrap/>
            <w:vAlign w:val="bottom"/>
            <w:hideMark/>
          </w:tcPr>
          <w:p w:rsidR="00583BD3" w:rsidRPr="0027252E" w:rsidRDefault="00583BD3" w:rsidP="000727E8">
            <w:pPr>
              <w:jc w:val="center"/>
              <w:rPr>
                <w:rFonts w:ascii="Garamond" w:hAnsi="Garamond" w:cs="Calibri"/>
                <w:color w:val="000000"/>
                <w:sz w:val="20"/>
                <w:szCs w:val="20"/>
              </w:rPr>
            </w:pPr>
          </w:p>
        </w:tc>
        <w:tc>
          <w:tcPr>
            <w:tcW w:w="892" w:type="dxa"/>
            <w:tcBorders>
              <w:top w:val="nil"/>
              <w:left w:val="nil"/>
              <w:bottom w:val="nil"/>
              <w:right w:val="nil"/>
            </w:tcBorders>
            <w:shd w:val="clear" w:color="auto" w:fill="auto"/>
            <w:noWrap/>
            <w:vAlign w:val="center"/>
            <w:hideMark/>
          </w:tcPr>
          <w:p w:rsidR="00583BD3" w:rsidRPr="0027252E" w:rsidRDefault="00583BD3" w:rsidP="000727E8">
            <w:pPr>
              <w:rPr>
                <w:sz w:val="20"/>
                <w:szCs w:val="20"/>
              </w:rPr>
            </w:pPr>
          </w:p>
        </w:tc>
      </w:tr>
      <w:tr w:rsidR="00583BD3" w:rsidRPr="0027252E" w:rsidTr="000727E8">
        <w:trPr>
          <w:trHeight w:val="283"/>
          <w:jc w:val="center"/>
        </w:trPr>
        <w:tc>
          <w:tcPr>
            <w:tcW w:w="1573" w:type="dxa"/>
            <w:tcBorders>
              <w:top w:val="nil"/>
              <w:left w:val="nil"/>
              <w:bottom w:val="nil"/>
              <w:right w:val="nil"/>
            </w:tcBorders>
            <w:shd w:val="clear" w:color="auto" w:fill="auto"/>
            <w:noWrap/>
            <w:vAlign w:val="bottom"/>
            <w:hideMark/>
          </w:tcPr>
          <w:p w:rsidR="00583BD3" w:rsidRPr="0027252E" w:rsidRDefault="00583BD3" w:rsidP="000727E8">
            <w:pPr>
              <w:rPr>
                <w:sz w:val="20"/>
                <w:szCs w:val="20"/>
              </w:rPr>
            </w:pPr>
          </w:p>
        </w:tc>
        <w:tc>
          <w:tcPr>
            <w:tcW w:w="3402" w:type="dxa"/>
            <w:tcBorders>
              <w:top w:val="nil"/>
              <w:left w:val="nil"/>
              <w:bottom w:val="nil"/>
              <w:right w:val="nil"/>
            </w:tcBorders>
            <w:shd w:val="clear" w:color="auto" w:fill="auto"/>
            <w:noWrap/>
            <w:vAlign w:val="bottom"/>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Treatment (male CFO Leverage)</w:t>
            </w:r>
          </w:p>
        </w:tc>
        <w:tc>
          <w:tcPr>
            <w:tcW w:w="729" w:type="dxa"/>
            <w:tcBorders>
              <w:top w:val="nil"/>
              <w:left w:val="nil"/>
              <w:bottom w:val="nil"/>
              <w:right w:val="nil"/>
            </w:tcBorders>
            <w:shd w:val="clear" w:color="auto" w:fill="auto"/>
            <w:noWrap/>
            <w:vAlign w:val="bottom"/>
            <w:hideMark/>
          </w:tcPr>
          <w:p w:rsidR="00583BD3" w:rsidRPr="0027252E" w:rsidRDefault="00583BD3" w:rsidP="000727E8">
            <w:pPr>
              <w:jc w:val="right"/>
              <w:rPr>
                <w:rFonts w:ascii="Garamond" w:hAnsi="Garamond" w:cs="Calibri"/>
                <w:color w:val="000000"/>
                <w:sz w:val="20"/>
                <w:szCs w:val="20"/>
              </w:rPr>
            </w:pPr>
            <w:r w:rsidRPr="0027252E">
              <w:rPr>
                <w:rFonts w:ascii="Garamond" w:hAnsi="Garamond" w:cs="Calibri"/>
                <w:color w:val="000000"/>
                <w:sz w:val="20"/>
                <w:szCs w:val="20"/>
              </w:rPr>
              <w:t>0.227</w:t>
            </w:r>
          </w:p>
        </w:tc>
        <w:tc>
          <w:tcPr>
            <w:tcW w:w="2647" w:type="dxa"/>
            <w:tcBorders>
              <w:top w:val="nil"/>
              <w:left w:val="nil"/>
              <w:bottom w:val="nil"/>
              <w:right w:val="nil"/>
            </w:tcBorders>
            <w:shd w:val="clear" w:color="auto" w:fill="auto"/>
            <w:noWrap/>
            <w:vAlign w:val="bottom"/>
            <w:hideMark/>
          </w:tcPr>
          <w:p w:rsidR="00583BD3" w:rsidRPr="0027252E" w:rsidRDefault="00583BD3" w:rsidP="000727E8">
            <w:pPr>
              <w:jc w:val="center"/>
              <w:rPr>
                <w:rFonts w:ascii="Garamond" w:hAnsi="Garamond" w:cs="Calibri"/>
                <w:color w:val="000000"/>
                <w:sz w:val="20"/>
                <w:szCs w:val="20"/>
              </w:rPr>
            </w:pPr>
            <w:r w:rsidRPr="0027252E">
              <w:rPr>
                <w:rFonts w:ascii="Garamond" w:hAnsi="Garamond" w:cs="Calibri"/>
                <w:color w:val="000000"/>
                <w:sz w:val="20"/>
                <w:szCs w:val="20"/>
              </w:rPr>
              <w:t>-0.01</w:t>
            </w:r>
            <w:r>
              <w:rPr>
                <w:rFonts w:ascii="Garamond" w:hAnsi="Garamond" w:cs="Calibri"/>
                <w:color w:val="000000"/>
                <w:sz w:val="20"/>
                <w:szCs w:val="20"/>
              </w:rPr>
              <w:t>5</w:t>
            </w:r>
          </w:p>
        </w:tc>
        <w:tc>
          <w:tcPr>
            <w:tcW w:w="892" w:type="dxa"/>
            <w:tcBorders>
              <w:top w:val="nil"/>
              <w:left w:val="nil"/>
              <w:bottom w:val="nil"/>
              <w:right w:val="nil"/>
            </w:tcBorders>
            <w:shd w:val="clear" w:color="auto" w:fill="auto"/>
            <w:noWrap/>
            <w:vAlign w:val="center"/>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0.</w:t>
            </w:r>
            <w:r>
              <w:rPr>
                <w:rFonts w:ascii="Garamond" w:hAnsi="Garamond" w:cs="Calibri"/>
                <w:color w:val="000000"/>
                <w:sz w:val="20"/>
                <w:szCs w:val="20"/>
              </w:rPr>
              <w:t>139</w:t>
            </w:r>
          </w:p>
        </w:tc>
      </w:tr>
      <w:tr w:rsidR="00583BD3" w:rsidRPr="0027252E" w:rsidTr="000727E8">
        <w:trPr>
          <w:trHeight w:val="283"/>
          <w:jc w:val="center"/>
        </w:trPr>
        <w:tc>
          <w:tcPr>
            <w:tcW w:w="1573" w:type="dxa"/>
            <w:tcBorders>
              <w:top w:val="nil"/>
              <w:left w:val="nil"/>
              <w:bottom w:val="nil"/>
              <w:right w:val="nil"/>
            </w:tcBorders>
            <w:shd w:val="clear" w:color="auto" w:fill="auto"/>
            <w:noWrap/>
            <w:vAlign w:val="bottom"/>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Post-transition</w:t>
            </w:r>
          </w:p>
        </w:tc>
        <w:tc>
          <w:tcPr>
            <w:tcW w:w="3402" w:type="dxa"/>
            <w:tcBorders>
              <w:top w:val="nil"/>
              <w:left w:val="nil"/>
              <w:bottom w:val="nil"/>
              <w:right w:val="nil"/>
            </w:tcBorders>
            <w:shd w:val="clear" w:color="auto" w:fill="auto"/>
            <w:noWrap/>
            <w:vAlign w:val="center"/>
            <w:hideMark/>
          </w:tcPr>
          <w:p w:rsidR="00583BD3" w:rsidRPr="0027252E" w:rsidRDefault="00583BD3" w:rsidP="000727E8">
            <w:pPr>
              <w:rPr>
                <w:rFonts w:ascii="Garamond" w:hAnsi="Garamond" w:cs="Calibri"/>
                <w:color w:val="000000"/>
                <w:sz w:val="20"/>
                <w:szCs w:val="20"/>
              </w:rPr>
            </w:pPr>
          </w:p>
        </w:tc>
        <w:tc>
          <w:tcPr>
            <w:tcW w:w="729" w:type="dxa"/>
            <w:tcBorders>
              <w:top w:val="nil"/>
              <w:left w:val="nil"/>
              <w:bottom w:val="nil"/>
              <w:right w:val="nil"/>
            </w:tcBorders>
            <w:shd w:val="clear" w:color="auto" w:fill="auto"/>
            <w:noWrap/>
            <w:vAlign w:val="bottom"/>
            <w:hideMark/>
          </w:tcPr>
          <w:p w:rsidR="00583BD3" w:rsidRPr="0027252E" w:rsidRDefault="00583BD3" w:rsidP="000727E8">
            <w:pPr>
              <w:rPr>
                <w:sz w:val="20"/>
                <w:szCs w:val="20"/>
              </w:rPr>
            </w:pPr>
          </w:p>
        </w:tc>
        <w:tc>
          <w:tcPr>
            <w:tcW w:w="2647" w:type="dxa"/>
            <w:tcBorders>
              <w:top w:val="nil"/>
              <w:left w:val="nil"/>
              <w:bottom w:val="nil"/>
              <w:right w:val="nil"/>
            </w:tcBorders>
            <w:shd w:val="clear" w:color="auto" w:fill="auto"/>
            <w:noWrap/>
            <w:vAlign w:val="bottom"/>
            <w:hideMark/>
          </w:tcPr>
          <w:p w:rsidR="00583BD3" w:rsidRPr="0027252E" w:rsidRDefault="00583BD3" w:rsidP="000727E8">
            <w:pPr>
              <w:jc w:val="center"/>
              <w:rPr>
                <w:sz w:val="20"/>
                <w:szCs w:val="20"/>
              </w:rPr>
            </w:pPr>
          </w:p>
        </w:tc>
        <w:tc>
          <w:tcPr>
            <w:tcW w:w="892" w:type="dxa"/>
            <w:tcBorders>
              <w:top w:val="nil"/>
              <w:left w:val="nil"/>
              <w:bottom w:val="nil"/>
              <w:right w:val="nil"/>
            </w:tcBorders>
            <w:shd w:val="clear" w:color="auto" w:fill="auto"/>
            <w:noWrap/>
            <w:vAlign w:val="center"/>
            <w:hideMark/>
          </w:tcPr>
          <w:p w:rsidR="00583BD3" w:rsidRPr="0027252E" w:rsidRDefault="00583BD3" w:rsidP="000727E8">
            <w:pPr>
              <w:rPr>
                <w:sz w:val="20"/>
                <w:szCs w:val="20"/>
              </w:rPr>
            </w:pPr>
          </w:p>
        </w:tc>
      </w:tr>
      <w:tr w:rsidR="00583BD3" w:rsidRPr="0027252E" w:rsidTr="000727E8">
        <w:trPr>
          <w:trHeight w:val="283"/>
          <w:jc w:val="center"/>
        </w:trPr>
        <w:tc>
          <w:tcPr>
            <w:tcW w:w="1573" w:type="dxa"/>
            <w:tcBorders>
              <w:top w:val="nil"/>
              <w:left w:val="nil"/>
              <w:bottom w:val="nil"/>
              <w:right w:val="nil"/>
            </w:tcBorders>
            <w:shd w:val="clear" w:color="auto" w:fill="auto"/>
            <w:noWrap/>
            <w:vAlign w:val="center"/>
            <w:hideMark/>
          </w:tcPr>
          <w:p w:rsidR="00583BD3" w:rsidRPr="0027252E" w:rsidRDefault="00583BD3" w:rsidP="000727E8">
            <w:pPr>
              <w:rPr>
                <w:sz w:val="20"/>
                <w:szCs w:val="20"/>
              </w:rPr>
            </w:pPr>
          </w:p>
        </w:tc>
        <w:tc>
          <w:tcPr>
            <w:tcW w:w="3402" w:type="dxa"/>
            <w:tcBorders>
              <w:top w:val="nil"/>
              <w:left w:val="nil"/>
              <w:bottom w:val="nil"/>
              <w:right w:val="nil"/>
            </w:tcBorders>
            <w:shd w:val="clear" w:color="auto" w:fill="auto"/>
            <w:noWrap/>
            <w:vAlign w:val="bottom"/>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Control (male CFO Leverage)</w:t>
            </w:r>
          </w:p>
        </w:tc>
        <w:tc>
          <w:tcPr>
            <w:tcW w:w="729" w:type="dxa"/>
            <w:tcBorders>
              <w:top w:val="nil"/>
              <w:left w:val="nil"/>
              <w:bottom w:val="nil"/>
              <w:right w:val="nil"/>
            </w:tcBorders>
            <w:shd w:val="clear" w:color="auto" w:fill="auto"/>
            <w:noWrap/>
            <w:vAlign w:val="bottom"/>
            <w:hideMark/>
          </w:tcPr>
          <w:p w:rsidR="00583BD3" w:rsidRPr="0027252E" w:rsidRDefault="00583BD3" w:rsidP="000727E8">
            <w:pPr>
              <w:jc w:val="right"/>
              <w:rPr>
                <w:rFonts w:ascii="Garamond" w:hAnsi="Garamond" w:cs="Calibri"/>
                <w:color w:val="000000"/>
                <w:sz w:val="20"/>
                <w:szCs w:val="20"/>
              </w:rPr>
            </w:pPr>
            <w:r w:rsidRPr="0027252E">
              <w:rPr>
                <w:rFonts w:ascii="Garamond" w:hAnsi="Garamond" w:cs="Calibri"/>
                <w:color w:val="000000"/>
                <w:sz w:val="20"/>
                <w:szCs w:val="20"/>
              </w:rPr>
              <w:t>0.2</w:t>
            </w:r>
            <w:r>
              <w:rPr>
                <w:rFonts w:ascii="Garamond" w:hAnsi="Garamond" w:cs="Calibri"/>
                <w:color w:val="000000"/>
                <w:sz w:val="20"/>
                <w:szCs w:val="20"/>
              </w:rPr>
              <w:t>75</w:t>
            </w:r>
          </w:p>
        </w:tc>
        <w:tc>
          <w:tcPr>
            <w:tcW w:w="2647" w:type="dxa"/>
            <w:tcBorders>
              <w:top w:val="nil"/>
              <w:left w:val="nil"/>
              <w:bottom w:val="nil"/>
              <w:right w:val="nil"/>
            </w:tcBorders>
            <w:shd w:val="clear" w:color="auto" w:fill="auto"/>
            <w:noWrap/>
            <w:vAlign w:val="bottom"/>
            <w:hideMark/>
          </w:tcPr>
          <w:p w:rsidR="00583BD3" w:rsidRPr="0027252E" w:rsidRDefault="00583BD3" w:rsidP="000727E8">
            <w:pPr>
              <w:jc w:val="center"/>
              <w:rPr>
                <w:rFonts w:ascii="Garamond" w:hAnsi="Garamond" w:cs="Calibri"/>
                <w:color w:val="000000"/>
                <w:sz w:val="20"/>
                <w:szCs w:val="20"/>
              </w:rPr>
            </w:pPr>
          </w:p>
        </w:tc>
        <w:tc>
          <w:tcPr>
            <w:tcW w:w="892" w:type="dxa"/>
            <w:tcBorders>
              <w:top w:val="nil"/>
              <w:left w:val="nil"/>
              <w:bottom w:val="nil"/>
              <w:right w:val="nil"/>
            </w:tcBorders>
            <w:shd w:val="clear" w:color="auto" w:fill="auto"/>
            <w:noWrap/>
            <w:vAlign w:val="center"/>
            <w:hideMark/>
          </w:tcPr>
          <w:p w:rsidR="00583BD3" w:rsidRPr="0027252E" w:rsidRDefault="00583BD3" w:rsidP="000727E8">
            <w:pPr>
              <w:rPr>
                <w:sz w:val="20"/>
                <w:szCs w:val="20"/>
              </w:rPr>
            </w:pPr>
          </w:p>
        </w:tc>
      </w:tr>
      <w:tr w:rsidR="00583BD3" w:rsidRPr="0027252E" w:rsidTr="000727E8">
        <w:trPr>
          <w:trHeight w:val="283"/>
          <w:jc w:val="center"/>
        </w:trPr>
        <w:tc>
          <w:tcPr>
            <w:tcW w:w="1573" w:type="dxa"/>
            <w:tcBorders>
              <w:top w:val="nil"/>
              <w:left w:val="nil"/>
              <w:bottom w:val="nil"/>
              <w:right w:val="nil"/>
            </w:tcBorders>
            <w:shd w:val="clear" w:color="auto" w:fill="auto"/>
            <w:noWrap/>
            <w:vAlign w:val="bottom"/>
            <w:hideMark/>
          </w:tcPr>
          <w:p w:rsidR="00583BD3" w:rsidRPr="0027252E" w:rsidRDefault="00583BD3" w:rsidP="000727E8">
            <w:pPr>
              <w:rPr>
                <w:sz w:val="20"/>
                <w:szCs w:val="20"/>
              </w:rPr>
            </w:pPr>
          </w:p>
        </w:tc>
        <w:tc>
          <w:tcPr>
            <w:tcW w:w="3402" w:type="dxa"/>
            <w:tcBorders>
              <w:top w:val="nil"/>
              <w:left w:val="nil"/>
              <w:bottom w:val="nil"/>
              <w:right w:val="nil"/>
            </w:tcBorders>
            <w:shd w:val="clear" w:color="auto" w:fill="auto"/>
            <w:noWrap/>
            <w:vAlign w:val="bottom"/>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Treatment (female CFO Leverage)</w:t>
            </w:r>
          </w:p>
        </w:tc>
        <w:tc>
          <w:tcPr>
            <w:tcW w:w="729" w:type="dxa"/>
            <w:tcBorders>
              <w:top w:val="nil"/>
              <w:left w:val="nil"/>
              <w:bottom w:val="nil"/>
              <w:right w:val="nil"/>
            </w:tcBorders>
            <w:shd w:val="clear" w:color="auto" w:fill="auto"/>
            <w:noWrap/>
            <w:vAlign w:val="bottom"/>
            <w:hideMark/>
          </w:tcPr>
          <w:p w:rsidR="00583BD3" w:rsidRPr="0027252E" w:rsidRDefault="00583BD3" w:rsidP="000727E8">
            <w:pPr>
              <w:jc w:val="right"/>
              <w:rPr>
                <w:rFonts w:ascii="Garamond" w:hAnsi="Garamond" w:cs="Calibri"/>
                <w:color w:val="000000"/>
                <w:sz w:val="20"/>
                <w:szCs w:val="20"/>
              </w:rPr>
            </w:pPr>
            <w:r w:rsidRPr="0027252E">
              <w:rPr>
                <w:rFonts w:ascii="Garamond" w:hAnsi="Garamond" w:cs="Calibri"/>
                <w:color w:val="000000"/>
                <w:sz w:val="20"/>
                <w:szCs w:val="20"/>
              </w:rPr>
              <w:t>0.2</w:t>
            </w:r>
            <w:r>
              <w:rPr>
                <w:rFonts w:ascii="Garamond" w:hAnsi="Garamond" w:cs="Calibri"/>
                <w:color w:val="000000"/>
                <w:sz w:val="20"/>
                <w:szCs w:val="20"/>
              </w:rPr>
              <w:t>37</w:t>
            </w:r>
          </w:p>
        </w:tc>
        <w:tc>
          <w:tcPr>
            <w:tcW w:w="2647" w:type="dxa"/>
            <w:tcBorders>
              <w:top w:val="nil"/>
              <w:left w:val="nil"/>
              <w:bottom w:val="nil"/>
              <w:right w:val="nil"/>
            </w:tcBorders>
            <w:shd w:val="clear" w:color="auto" w:fill="auto"/>
            <w:noWrap/>
            <w:vAlign w:val="bottom"/>
            <w:hideMark/>
          </w:tcPr>
          <w:p w:rsidR="00583BD3" w:rsidRPr="0027252E" w:rsidRDefault="00583BD3" w:rsidP="000727E8">
            <w:pPr>
              <w:jc w:val="center"/>
              <w:rPr>
                <w:rFonts w:ascii="Garamond" w:hAnsi="Garamond" w:cs="Calibri"/>
                <w:color w:val="000000"/>
                <w:sz w:val="20"/>
                <w:szCs w:val="20"/>
              </w:rPr>
            </w:pPr>
            <w:r w:rsidRPr="0027252E">
              <w:rPr>
                <w:rFonts w:ascii="Garamond" w:hAnsi="Garamond" w:cs="Calibri"/>
                <w:color w:val="000000"/>
                <w:sz w:val="20"/>
                <w:szCs w:val="20"/>
              </w:rPr>
              <w:t>-0.03</w:t>
            </w:r>
            <w:r>
              <w:rPr>
                <w:rFonts w:ascii="Garamond" w:hAnsi="Garamond" w:cs="Calibri"/>
                <w:color w:val="000000"/>
                <w:sz w:val="20"/>
                <w:szCs w:val="20"/>
              </w:rPr>
              <w:t>8</w:t>
            </w:r>
          </w:p>
        </w:tc>
        <w:tc>
          <w:tcPr>
            <w:tcW w:w="892" w:type="dxa"/>
            <w:tcBorders>
              <w:top w:val="nil"/>
              <w:left w:val="nil"/>
              <w:bottom w:val="nil"/>
              <w:right w:val="nil"/>
            </w:tcBorders>
            <w:shd w:val="clear" w:color="auto" w:fill="auto"/>
            <w:noWrap/>
            <w:vAlign w:val="center"/>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0.004***</w:t>
            </w:r>
          </w:p>
        </w:tc>
      </w:tr>
      <w:tr w:rsidR="00583BD3" w:rsidRPr="0027252E" w:rsidTr="000727E8">
        <w:trPr>
          <w:trHeight w:val="283"/>
          <w:jc w:val="center"/>
        </w:trPr>
        <w:tc>
          <w:tcPr>
            <w:tcW w:w="4975" w:type="dxa"/>
            <w:gridSpan w:val="2"/>
            <w:tcBorders>
              <w:top w:val="nil"/>
              <w:left w:val="nil"/>
              <w:bottom w:val="nil"/>
              <w:right w:val="nil"/>
            </w:tcBorders>
            <w:shd w:val="clear" w:color="auto" w:fill="auto"/>
            <w:noWrap/>
            <w:vAlign w:val="bottom"/>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Diff-in-Diff (Post-transition - Pre-transition)</w:t>
            </w:r>
          </w:p>
        </w:tc>
        <w:tc>
          <w:tcPr>
            <w:tcW w:w="729" w:type="dxa"/>
            <w:tcBorders>
              <w:top w:val="nil"/>
              <w:left w:val="nil"/>
              <w:bottom w:val="nil"/>
              <w:right w:val="nil"/>
            </w:tcBorders>
            <w:shd w:val="clear" w:color="auto" w:fill="auto"/>
            <w:noWrap/>
            <w:vAlign w:val="bottom"/>
            <w:hideMark/>
          </w:tcPr>
          <w:p w:rsidR="00583BD3" w:rsidRPr="0027252E" w:rsidRDefault="00583BD3" w:rsidP="000727E8">
            <w:pPr>
              <w:rPr>
                <w:rFonts w:ascii="Garamond" w:hAnsi="Garamond" w:cs="Calibri"/>
                <w:color w:val="000000"/>
                <w:sz w:val="20"/>
                <w:szCs w:val="20"/>
              </w:rPr>
            </w:pPr>
          </w:p>
        </w:tc>
        <w:tc>
          <w:tcPr>
            <w:tcW w:w="2647" w:type="dxa"/>
            <w:tcBorders>
              <w:top w:val="nil"/>
              <w:left w:val="nil"/>
              <w:bottom w:val="nil"/>
              <w:right w:val="nil"/>
            </w:tcBorders>
            <w:shd w:val="clear" w:color="auto" w:fill="auto"/>
            <w:noWrap/>
            <w:vAlign w:val="bottom"/>
            <w:hideMark/>
          </w:tcPr>
          <w:p w:rsidR="00583BD3" w:rsidRPr="0027252E" w:rsidRDefault="00583BD3" w:rsidP="000727E8">
            <w:pPr>
              <w:jc w:val="center"/>
              <w:rPr>
                <w:rFonts w:ascii="Garamond" w:hAnsi="Garamond" w:cs="Calibri"/>
                <w:color w:val="000000"/>
                <w:sz w:val="20"/>
                <w:szCs w:val="20"/>
              </w:rPr>
            </w:pPr>
            <w:r w:rsidRPr="0027252E">
              <w:rPr>
                <w:rFonts w:ascii="Garamond" w:hAnsi="Garamond" w:cs="Calibri"/>
                <w:color w:val="000000"/>
                <w:sz w:val="20"/>
                <w:szCs w:val="20"/>
              </w:rPr>
              <w:t>-0.02</w:t>
            </w:r>
            <w:r>
              <w:rPr>
                <w:rFonts w:ascii="Garamond" w:hAnsi="Garamond" w:cs="Calibri"/>
                <w:color w:val="000000"/>
                <w:sz w:val="20"/>
                <w:szCs w:val="20"/>
              </w:rPr>
              <w:t>3</w:t>
            </w:r>
          </w:p>
        </w:tc>
        <w:tc>
          <w:tcPr>
            <w:tcW w:w="892" w:type="dxa"/>
            <w:tcBorders>
              <w:top w:val="nil"/>
              <w:left w:val="nil"/>
              <w:bottom w:val="nil"/>
              <w:right w:val="nil"/>
            </w:tcBorders>
            <w:shd w:val="clear" w:color="auto" w:fill="auto"/>
            <w:noWrap/>
            <w:vAlign w:val="center"/>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0.0</w:t>
            </w:r>
            <w:r>
              <w:rPr>
                <w:rFonts w:ascii="Garamond" w:hAnsi="Garamond" w:cs="Calibri"/>
                <w:color w:val="000000"/>
                <w:sz w:val="20"/>
                <w:szCs w:val="20"/>
              </w:rPr>
              <w:t>86</w:t>
            </w:r>
            <w:r w:rsidRPr="0027252E">
              <w:rPr>
                <w:rFonts w:ascii="Garamond" w:hAnsi="Garamond" w:cs="Calibri"/>
                <w:color w:val="000000"/>
                <w:sz w:val="20"/>
                <w:szCs w:val="20"/>
              </w:rPr>
              <w:t>**</w:t>
            </w:r>
          </w:p>
        </w:tc>
      </w:tr>
      <w:tr w:rsidR="00583BD3" w:rsidRPr="0027252E" w:rsidTr="000727E8">
        <w:trPr>
          <w:trHeight w:val="283"/>
          <w:jc w:val="center"/>
        </w:trPr>
        <w:tc>
          <w:tcPr>
            <w:tcW w:w="4975" w:type="dxa"/>
            <w:gridSpan w:val="2"/>
            <w:tcBorders>
              <w:top w:val="single" w:sz="4" w:space="0" w:color="auto"/>
              <w:left w:val="nil"/>
              <w:bottom w:val="nil"/>
              <w:right w:val="nil"/>
            </w:tcBorders>
            <w:shd w:val="clear" w:color="auto" w:fill="auto"/>
            <w:noWrap/>
            <w:vAlign w:val="bottom"/>
            <w:hideMark/>
          </w:tcPr>
          <w:p w:rsidR="00583BD3" w:rsidRPr="0027252E" w:rsidRDefault="00583BD3" w:rsidP="000727E8">
            <w:pPr>
              <w:rPr>
                <w:rFonts w:ascii="Garamond" w:hAnsi="Garamond" w:cs="Calibri"/>
                <w:b/>
                <w:bCs/>
                <w:color w:val="000000"/>
                <w:sz w:val="20"/>
                <w:szCs w:val="20"/>
              </w:rPr>
            </w:pPr>
            <w:r w:rsidRPr="0027252E">
              <w:rPr>
                <w:rFonts w:ascii="Garamond" w:hAnsi="Garamond" w:cs="Calibri"/>
                <w:b/>
                <w:bCs/>
                <w:color w:val="000000"/>
                <w:sz w:val="20"/>
                <w:szCs w:val="20"/>
              </w:rPr>
              <w:t>Panel D: Controlling for Board Aggregate Diversity</w:t>
            </w:r>
          </w:p>
        </w:tc>
        <w:tc>
          <w:tcPr>
            <w:tcW w:w="729" w:type="dxa"/>
            <w:tcBorders>
              <w:top w:val="single" w:sz="4" w:space="0" w:color="auto"/>
              <w:left w:val="nil"/>
              <w:bottom w:val="nil"/>
              <w:right w:val="nil"/>
            </w:tcBorders>
            <w:shd w:val="clear" w:color="auto" w:fill="auto"/>
            <w:noWrap/>
            <w:vAlign w:val="center"/>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 </w:t>
            </w:r>
          </w:p>
        </w:tc>
        <w:tc>
          <w:tcPr>
            <w:tcW w:w="2647" w:type="dxa"/>
            <w:tcBorders>
              <w:top w:val="single" w:sz="4" w:space="0" w:color="auto"/>
              <w:left w:val="nil"/>
              <w:bottom w:val="nil"/>
              <w:right w:val="nil"/>
            </w:tcBorders>
            <w:shd w:val="clear" w:color="auto" w:fill="auto"/>
            <w:noWrap/>
            <w:vAlign w:val="center"/>
            <w:hideMark/>
          </w:tcPr>
          <w:p w:rsidR="00583BD3" w:rsidRPr="0027252E" w:rsidRDefault="00583BD3" w:rsidP="000727E8">
            <w:pPr>
              <w:jc w:val="center"/>
              <w:rPr>
                <w:rFonts w:ascii="Garamond" w:hAnsi="Garamond" w:cs="Calibri"/>
                <w:color w:val="000000"/>
                <w:sz w:val="20"/>
                <w:szCs w:val="20"/>
              </w:rPr>
            </w:pPr>
          </w:p>
        </w:tc>
        <w:tc>
          <w:tcPr>
            <w:tcW w:w="892" w:type="dxa"/>
            <w:tcBorders>
              <w:top w:val="single" w:sz="4" w:space="0" w:color="auto"/>
              <w:left w:val="nil"/>
              <w:bottom w:val="nil"/>
              <w:right w:val="nil"/>
            </w:tcBorders>
            <w:shd w:val="clear" w:color="auto" w:fill="auto"/>
            <w:noWrap/>
            <w:vAlign w:val="center"/>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 </w:t>
            </w:r>
          </w:p>
        </w:tc>
      </w:tr>
      <w:tr w:rsidR="00583BD3" w:rsidRPr="0027252E" w:rsidTr="000727E8">
        <w:trPr>
          <w:trHeight w:val="283"/>
          <w:jc w:val="center"/>
        </w:trPr>
        <w:tc>
          <w:tcPr>
            <w:tcW w:w="1573" w:type="dxa"/>
            <w:tcBorders>
              <w:top w:val="nil"/>
              <w:left w:val="nil"/>
              <w:bottom w:val="nil"/>
              <w:right w:val="nil"/>
            </w:tcBorders>
            <w:shd w:val="clear" w:color="auto" w:fill="auto"/>
            <w:noWrap/>
            <w:vAlign w:val="bottom"/>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Pre-transition</w:t>
            </w:r>
          </w:p>
        </w:tc>
        <w:tc>
          <w:tcPr>
            <w:tcW w:w="3402" w:type="dxa"/>
            <w:tcBorders>
              <w:top w:val="nil"/>
              <w:left w:val="nil"/>
              <w:bottom w:val="nil"/>
              <w:right w:val="nil"/>
            </w:tcBorders>
            <w:shd w:val="clear" w:color="auto" w:fill="auto"/>
            <w:noWrap/>
            <w:vAlign w:val="bottom"/>
            <w:hideMark/>
          </w:tcPr>
          <w:p w:rsidR="00583BD3" w:rsidRPr="0027252E" w:rsidRDefault="00583BD3" w:rsidP="000727E8">
            <w:pPr>
              <w:rPr>
                <w:rFonts w:ascii="Garamond" w:hAnsi="Garamond" w:cs="Calibri"/>
                <w:color w:val="000000"/>
                <w:sz w:val="20"/>
                <w:szCs w:val="20"/>
              </w:rPr>
            </w:pPr>
          </w:p>
        </w:tc>
        <w:tc>
          <w:tcPr>
            <w:tcW w:w="729" w:type="dxa"/>
            <w:tcBorders>
              <w:top w:val="nil"/>
              <w:left w:val="nil"/>
              <w:bottom w:val="nil"/>
              <w:right w:val="nil"/>
            </w:tcBorders>
            <w:shd w:val="clear" w:color="auto" w:fill="auto"/>
            <w:noWrap/>
            <w:vAlign w:val="bottom"/>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Mean</w:t>
            </w:r>
          </w:p>
        </w:tc>
        <w:tc>
          <w:tcPr>
            <w:tcW w:w="2647" w:type="dxa"/>
            <w:tcBorders>
              <w:top w:val="nil"/>
              <w:left w:val="nil"/>
              <w:bottom w:val="nil"/>
              <w:right w:val="nil"/>
            </w:tcBorders>
            <w:shd w:val="clear" w:color="auto" w:fill="auto"/>
            <w:noWrap/>
            <w:vAlign w:val="bottom"/>
            <w:hideMark/>
          </w:tcPr>
          <w:p w:rsidR="00583BD3" w:rsidRDefault="00583BD3" w:rsidP="000727E8">
            <w:pPr>
              <w:jc w:val="center"/>
              <w:rPr>
                <w:rFonts w:ascii="Garamond" w:hAnsi="Garamond" w:cs="Calibri"/>
                <w:color w:val="000000"/>
                <w:sz w:val="20"/>
                <w:szCs w:val="20"/>
              </w:rPr>
            </w:pPr>
            <w:r w:rsidRPr="0027252E">
              <w:rPr>
                <w:rFonts w:ascii="Garamond" w:hAnsi="Garamond" w:cs="Calibri"/>
                <w:color w:val="000000"/>
                <w:sz w:val="20"/>
                <w:szCs w:val="20"/>
              </w:rPr>
              <w:t>Difference</w:t>
            </w:r>
          </w:p>
          <w:p w:rsidR="00583BD3" w:rsidRPr="0027252E" w:rsidRDefault="00583BD3" w:rsidP="000727E8">
            <w:pPr>
              <w:jc w:val="center"/>
              <w:rPr>
                <w:rFonts w:ascii="Garamond" w:hAnsi="Garamond" w:cs="Calibri"/>
                <w:color w:val="000000"/>
                <w:sz w:val="20"/>
                <w:szCs w:val="20"/>
              </w:rPr>
            </w:pPr>
            <w:r w:rsidRPr="0027252E">
              <w:rPr>
                <w:rFonts w:ascii="Garamond" w:hAnsi="Garamond" w:cs="Calibri"/>
                <w:color w:val="000000"/>
                <w:sz w:val="20"/>
                <w:szCs w:val="20"/>
              </w:rPr>
              <w:t>(Treatment minus Control)</w:t>
            </w:r>
          </w:p>
        </w:tc>
        <w:tc>
          <w:tcPr>
            <w:tcW w:w="892" w:type="dxa"/>
            <w:tcBorders>
              <w:top w:val="nil"/>
              <w:left w:val="nil"/>
              <w:bottom w:val="nil"/>
              <w:right w:val="nil"/>
            </w:tcBorders>
            <w:shd w:val="clear" w:color="auto" w:fill="auto"/>
            <w:noWrap/>
            <w:vAlign w:val="bottom"/>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p-value</w:t>
            </w:r>
          </w:p>
        </w:tc>
      </w:tr>
      <w:tr w:rsidR="00583BD3" w:rsidRPr="0027252E" w:rsidTr="000727E8">
        <w:trPr>
          <w:trHeight w:val="283"/>
          <w:jc w:val="center"/>
        </w:trPr>
        <w:tc>
          <w:tcPr>
            <w:tcW w:w="1573" w:type="dxa"/>
            <w:tcBorders>
              <w:top w:val="nil"/>
              <w:left w:val="nil"/>
              <w:bottom w:val="nil"/>
              <w:right w:val="nil"/>
            </w:tcBorders>
            <w:shd w:val="clear" w:color="auto" w:fill="auto"/>
            <w:noWrap/>
            <w:vAlign w:val="bottom"/>
            <w:hideMark/>
          </w:tcPr>
          <w:p w:rsidR="00583BD3" w:rsidRPr="0027252E" w:rsidRDefault="00583BD3" w:rsidP="000727E8">
            <w:pPr>
              <w:rPr>
                <w:rFonts w:ascii="Garamond" w:hAnsi="Garamond" w:cs="Calibri"/>
                <w:color w:val="000000"/>
                <w:sz w:val="20"/>
                <w:szCs w:val="20"/>
              </w:rPr>
            </w:pPr>
          </w:p>
        </w:tc>
        <w:tc>
          <w:tcPr>
            <w:tcW w:w="3402" w:type="dxa"/>
            <w:tcBorders>
              <w:top w:val="nil"/>
              <w:left w:val="nil"/>
              <w:bottom w:val="nil"/>
              <w:right w:val="nil"/>
            </w:tcBorders>
            <w:shd w:val="clear" w:color="auto" w:fill="auto"/>
            <w:noWrap/>
            <w:vAlign w:val="bottom"/>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Control (male CFO Leverage)</w:t>
            </w:r>
          </w:p>
        </w:tc>
        <w:tc>
          <w:tcPr>
            <w:tcW w:w="729" w:type="dxa"/>
            <w:tcBorders>
              <w:top w:val="nil"/>
              <w:left w:val="nil"/>
              <w:bottom w:val="nil"/>
              <w:right w:val="nil"/>
            </w:tcBorders>
            <w:shd w:val="clear" w:color="auto" w:fill="auto"/>
            <w:noWrap/>
            <w:vAlign w:val="bottom"/>
            <w:hideMark/>
          </w:tcPr>
          <w:p w:rsidR="00583BD3" w:rsidRPr="0027252E" w:rsidRDefault="00583BD3" w:rsidP="000727E8">
            <w:pPr>
              <w:jc w:val="right"/>
              <w:rPr>
                <w:rFonts w:ascii="Garamond" w:hAnsi="Garamond" w:cs="Calibri"/>
                <w:color w:val="000000"/>
                <w:sz w:val="20"/>
                <w:szCs w:val="20"/>
              </w:rPr>
            </w:pPr>
            <w:r w:rsidRPr="0027252E">
              <w:rPr>
                <w:rFonts w:ascii="Garamond" w:hAnsi="Garamond" w:cs="Calibri"/>
                <w:color w:val="000000"/>
                <w:sz w:val="20"/>
                <w:szCs w:val="20"/>
              </w:rPr>
              <w:t>0.2</w:t>
            </w:r>
            <w:r>
              <w:rPr>
                <w:rFonts w:ascii="Garamond" w:hAnsi="Garamond" w:cs="Calibri"/>
                <w:color w:val="000000"/>
                <w:sz w:val="20"/>
                <w:szCs w:val="20"/>
              </w:rPr>
              <w:t>41</w:t>
            </w:r>
          </w:p>
        </w:tc>
        <w:tc>
          <w:tcPr>
            <w:tcW w:w="2647" w:type="dxa"/>
            <w:tcBorders>
              <w:top w:val="nil"/>
              <w:left w:val="nil"/>
              <w:bottom w:val="nil"/>
              <w:right w:val="nil"/>
            </w:tcBorders>
            <w:shd w:val="clear" w:color="auto" w:fill="auto"/>
            <w:noWrap/>
            <w:vAlign w:val="bottom"/>
            <w:hideMark/>
          </w:tcPr>
          <w:p w:rsidR="00583BD3" w:rsidRPr="0027252E" w:rsidRDefault="00583BD3" w:rsidP="000727E8">
            <w:pPr>
              <w:jc w:val="center"/>
              <w:rPr>
                <w:rFonts w:ascii="Garamond" w:hAnsi="Garamond" w:cs="Calibri"/>
                <w:color w:val="000000"/>
                <w:sz w:val="20"/>
                <w:szCs w:val="20"/>
              </w:rPr>
            </w:pPr>
          </w:p>
        </w:tc>
        <w:tc>
          <w:tcPr>
            <w:tcW w:w="892" w:type="dxa"/>
            <w:tcBorders>
              <w:top w:val="nil"/>
              <w:left w:val="nil"/>
              <w:bottom w:val="nil"/>
              <w:right w:val="nil"/>
            </w:tcBorders>
            <w:shd w:val="clear" w:color="auto" w:fill="auto"/>
            <w:noWrap/>
            <w:vAlign w:val="center"/>
            <w:hideMark/>
          </w:tcPr>
          <w:p w:rsidR="00583BD3" w:rsidRPr="0027252E" w:rsidRDefault="00583BD3" w:rsidP="000727E8">
            <w:pPr>
              <w:rPr>
                <w:sz w:val="20"/>
                <w:szCs w:val="20"/>
              </w:rPr>
            </w:pPr>
          </w:p>
        </w:tc>
      </w:tr>
      <w:tr w:rsidR="00583BD3" w:rsidRPr="0027252E" w:rsidTr="000727E8">
        <w:trPr>
          <w:trHeight w:val="283"/>
          <w:jc w:val="center"/>
        </w:trPr>
        <w:tc>
          <w:tcPr>
            <w:tcW w:w="1573" w:type="dxa"/>
            <w:tcBorders>
              <w:top w:val="nil"/>
              <w:left w:val="nil"/>
              <w:bottom w:val="nil"/>
              <w:right w:val="nil"/>
            </w:tcBorders>
            <w:shd w:val="clear" w:color="auto" w:fill="auto"/>
            <w:noWrap/>
            <w:vAlign w:val="bottom"/>
            <w:hideMark/>
          </w:tcPr>
          <w:p w:rsidR="00583BD3" w:rsidRPr="0027252E" w:rsidRDefault="00583BD3" w:rsidP="000727E8">
            <w:pPr>
              <w:rPr>
                <w:sz w:val="20"/>
                <w:szCs w:val="20"/>
              </w:rPr>
            </w:pPr>
          </w:p>
        </w:tc>
        <w:tc>
          <w:tcPr>
            <w:tcW w:w="3402" w:type="dxa"/>
            <w:tcBorders>
              <w:top w:val="nil"/>
              <w:left w:val="nil"/>
              <w:bottom w:val="nil"/>
              <w:right w:val="nil"/>
            </w:tcBorders>
            <w:shd w:val="clear" w:color="auto" w:fill="auto"/>
            <w:noWrap/>
            <w:vAlign w:val="bottom"/>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Treatment (male CFO Leverage)</w:t>
            </w:r>
          </w:p>
        </w:tc>
        <w:tc>
          <w:tcPr>
            <w:tcW w:w="729" w:type="dxa"/>
            <w:tcBorders>
              <w:top w:val="nil"/>
              <w:left w:val="nil"/>
              <w:bottom w:val="nil"/>
              <w:right w:val="nil"/>
            </w:tcBorders>
            <w:shd w:val="clear" w:color="auto" w:fill="auto"/>
            <w:noWrap/>
            <w:vAlign w:val="bottom"/>
            <w:hideMark/>
          </w:tcPr>
          <w:p w:rsidR="00583BD3" w:rsidRPr="0027252E" w:rsidRDefault="00583BD3" w:rsidP="000727E8">
            <w:pPr>
              <w:jc w:val="right"/>
              <w:rPr>
                <w:rFonts w:ascii="Garamond" w:hAnsi="Garamond" w:cs="Calibri"/>
                <w:color w:val="000000"/>
                <w:sz w:val="20"/>
                <w:szCs w:val="20"/>
              </w:rPr>
            </w:pPr>
            <w:r w:rsidRPr="0027252E">
              <w:rPr>
                <w:rFonts w:ascii="Garamond" w:hAnsi="Garamond" w:cs="Calibri"/>
                <w:color w:val="000000"/>
                <w:sz w:val="20"/>
                <w:szCs w:val="20"/>
              </w:rPr>
              <w:t>0.227</w:t>
            </w:r>
          </w:p>
        </w:tc>
        <w:tc>
          <w:tcPr>
            <w:tcW w:w="2647" w:type="dxa"/>
            <w:tcBorders>
              <w:top w:val="nil"/>
              <w:left w:val="nil"/>
              <w:bottom w:val="nil"/>
              <w:right w:val="nil"/>
            </w:tcBorders>
            <w:shd w:val="clear" w:color="auto" w:fill="auto"/>
            <w:noWrap/>
            <w:vAlign w:val="bottom"/>
            <w:hideMark/>
          </w:tcPr>
          <w:p w:rsidR="00583BD3" w:rsidRPr="0027252E" w:rsidRDefault="00583BD3" w:rsidP="000727E8">
            <w:pPr>
              <w:jc w:val="center"/>
              <w:rPr>
                <w:rFonts w:ascii="Garamond" w:hAnsi="Garamond" w:cs="Calibri"/>
                <w:color w:val="000000"/>
                <w:sz w:val="20"/>
                <w:szCs w:val="20"/>
              </w:rPr>
            </w:pPr>
            <w:r w:rsidRPr="0027252E">
              <w:rPr>
                <w:rFonts w:ascii="Garamond" w:hAnsi="Garamond" w:cs="Calibri"/>
                <w:color w:val="000000"/>
                <w:sz w:val="20"/>
                <w:szCs w:val="20"/>
              </w:rPr>
              <w:t>-0.01</w:t>
            </w:r>
            <w:r>
              <w:rPr>
                <w:rFonts w:ascii="Garamond" w:hAnsi="Garamond" w:cs="Calibri"/>
                <w:color w:val="000000"/>
                <w:sz w:val="20"/>
                <w:szCs w:val="20"/>
              </w:rPr>
              <w:t>4</w:t>
            </w:r>
          </w:p>
        </w:tc>
        <w:tc>
          <w:tcPr>
            <w:tcW w:w="892" w:type="dxa"/>
            <w:tcBorders>
              <w:top w:val="nil"/>
              <w:left w:val="nil"/>
              <w:bottom w:val="nil"/>
              <w:right w:val="nil"/>
            </w:tcBorders>
            <w:shd w:val="clear" w:color="auto" w:fill="auto"/>
            <w:noWrap/>
            <w:vAlign w:val="center"/>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0.</w:t>
            </w:r>
            <w:r>
              <w:rPr>
                <w:rFonts w:ascii="Garamond" w:hAnsi="Garamond" w:cs="Calibri"/>
                <w:color w:val="000000"/>
                <w:sz w:val="20"/>
                <w:szCs w:val="20"/>
              </w:rPr>
              <w:t>160</w:t>
            </w:r>
          </w:p>
        </w:tc>
      </w:tr>
      <w:tr w:rsidR="00583BD3" w:rsidRPr="0027252E" w:rsidTr="000727E8">
        <w:trPr>
          <w:trHeight w:val="283"/>
          <w:jc w:val="center"/>
        </w:trPr>
        <w:tc>
          <w:tcPr>
            <w:tcW w:w="1573" w:type="dxa"/>
            <w:tcBorders>
              <w:top w:val="nil"/>
              <w:left w:val="nil"/>
              <w:bottom w:val="nil"/>
              <w:right w:val="nil"/>
            </w:tcBorders>
            <w:shd w:val="clear" w:color="auto" w:fill="auto"/>
            <w:noWrap/>
            <w:vAlign w:val="bottom"/>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Post-transition</w:t>
            </w:r>
          </w:p>
        </w:tc>
        <w:tc>
          <w:tcPr>
            <w:tcW w:w="3402" w:type="dxa"/>
            <w:tcBorders>
              <w:top w:val="nil"/>
              <w:left w:val="nil"/>
              <w:bottom w:val="nil"/>
              <w:right w:val="nil"/>
            </w:tcBorders>
            <w:shd w:val="clear" w:color="auto" w:fill="auto"/>
            <w:noWrap/>
            <w:vAlign w:val="center"/>
            <w:hideMark/>
          </w:tcPr>
          <w:p w:rsidR="00583BD3" w:rsidRPr="0027252E" w:rsidRDefault="00583BD3" w:rsidP="000727E8">
            <w:pPr>
              <w:rPr>
                <w:rFonts w:ascii="Garamond" w:hAnsi="Garamond" w:cs="Calibri"/>
                <w:color w:val="000000"/>
                <w:sz w:val="20"/>
                <w:szCs w:val="20"/>
              </w:rPr>
            </w:pPr>
          </w:p>
        </w:tc>
        <w:tc>
          <w:tcPr>
            <w:tcW w:w="729" w:type="dxa"/>
            <w:tcBorders>
              <w:top w:val="nil"/>
              <w:left w:val="nil"/>
              <w:bottom w:val="nil"/>
              <w:right w:val="nil"/>
            </w:tcBorders>
            <w:shd w:val="clear" w:color="auto" w:fill="auto"/>
            <w:noWrap/>
            <w:vAlign w:val="bottom"/>
            <w:hideMark/>
          </w:tcPr>
          <w:p w:rsidR="00583BD3" w:rsidRPr="0027252E" w:rsidRDefault="00583BD3" w:rsidP="000727E8">
            <w:pPr>
              <w:rPr>
                <w:sz w:val="20"/>
                <w:szCs w:val="20"/>
              </w:rPr>
            </w:pPr>
          </w:p>
        </w:tc>
        <w:tc>
          <w:tcPr>
            <w:tcW w:w="2647" w:type="dxa"/>
            <w:tcBorders>
              <w:top w:val="nil"/>
              <w:left w:val="nil"/>
              <w:bottom w:val="nil"/>
              <w:right w:val="nil"/>
            </w:tcBorders>
            <w:shd w:val="clear" w:color="auto" w:fill="auto"/>
            <w:noWrap/>
            <w:vAlign w:val="bottom"/>
            <w:hideMark/>
          </w:tcPr>
          <w:p w:rsidR="00583BD3" w:rsidRPr="0027252E" w:rsidRDefault="00583BD3" w:rsidP="000727E8">
            <w:pPr>
              <w:jc w:val="center"/>
              <w:rPr>
                <w:sz w:val="20"/>
                <w:szCs w:val="20"/>
              </w:rPr>
            </w:pPr>
          </w:p>
        </w:tc>
        <w:tc>
          <w:tcPr>
            <w:tcW w:w="892" w:type="dxa"/>
            <w:tcBorders>
              <w:top w:val="nil"/>
              <w:left w:val="nil"/>
              <w:bottom w:val="nil"/>
              <w:right w:val="nil"/>
            </w:tcBorders>
            <w:shd w:val="clear" w:color="auto" w:fill="auto"/>
            <w:noWrap/>
            <w:vAlign w:val="center"/>
            <w:hideMark/>
          </w:tcPr>
          <w:p w:rsidR="00583BD3" w:rsidRPr="0027252E" w:rsidRDefault="00583BD3" w:rsidP="000727E8">
            <w:pPr>
              <w:rPr>
                <w:sz w:val="20"/>
                <w:szCs w:val="20"/>
              </w:rPr>
            </w:pPr>
          </w:p>
        </w:tc>
      </w:tr>
      <w:tr w:rsidR="00583BD3" w:rsidRPr="0027252E" w:rsidTr="000727E8">
        <w:trPr>
          <w:trHeight w:val="283"/>
          <w:jc w:val="center"/>
        </w:trPr>
        <w:tc>
          <w:tcPr>
            <w:tcW w:w="1573" w:type="dxa"/>
            <w:tcBorders>
              <w:top w:val="nil"/>
              <w:left w:val="nil"/>
              <w:bottom w:val="nil"/>
              <w:right w:val="nil"/>
            </w:tcBorders>
            <w:shd w:val="clear" w:color="auto" w:fill="auto"/>
            <w:noWrap/>
            <w:vAlign w:val="center"/>
            <w:hideMark/>
          </w:tcPr>
          <w:p w:rsidR="00583BD3" w:rsidRPr="0027252E" w:rsidRDefault="00583BD3" w:rsidP="000727E8">
            <w:pPr>
              <w:rPr>
                <w:sz w:val="20"/>
                <w:szCs w:val="20"/>
              </w:rPr>
            </w:pPr>
          </w:p>
        </w:tc>
        <w:tc>
          <w:tcPr>
            <w:tcW w:w="3402" w:type="dxa"/>
            <w:tcBorders>
              <w:top w:val="nil"/>
              <w:left w:val="nil"/>
              <w:bottom w:val="nil"/>
              <w:right w:val="nil"/>
            </w:tcBorders>
            <w:shd w:val="clear" w:color="auto" w:fill="auto"/>
            <w:noWrap/>
            <w:vAlign w:val="bottom"/>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Control (male CFO Leverage)</w:t>
            </w:r>
          </w:p>
        </w:tc>
        <w:tc>
          <w:tcPr>
            <w:tcW w:w="729" w:type="dxa"/>
            <w:tcBorders>
              <w:top w:val="nil"/>
              <w:left w:val="nil"/>
              <w:bottom w:val="nil"/>
              <w:right w:val="nil"/>
            </w:tcBorders>
            <w:shd w:val="clear" w:color="auto" w:fill="auto"/>
            <w:noWrap/>
            <w:vAlign w:val="bottom"/>
            <w:hideMark/>
          </w:tcPr>
          <w:p w:rsidR="00583BD3" w:rsidRPr="0027252E" w:rsidRDefault="00583BD3" w:rsidP="000727E8">
            <w:pPr>
              <w:jc w:val="right"/>
              <w:rPr>
                <w:rFonts w:ascii="Garamond" w:hAnsi="Garamond" w:cs="Calibri"/>
                <w:color w:val="000000"/>
                <w:sz w:val="20"/>
                <w:szCs w:val="20"/>
              </w:rPr>
            </w:pPr>
            <w:r w:rsidRPr="0027252E">
              <w:rPr>
                <w:rFonts w:ascii="Garamond" w:hAnsi="Garamond" w:cs="Calibri"/>
                <w:color w:val="000000"/>
                <w:sz w:val="20"/>
                <w:szCs w:val="20"/>
              </w:rPr>
              <w:t>0.</w:t>
            </w:r>
            <w:r>
              <w:rPr>
                <w:rFonts w:ascii="Garamond" w:hAnsi="Garamond" w:cs="Calibri"/>
                <w:color w:val="000000"/>
                <w:sz w:val="20"/>
                <w:szCs w:val="20"/>
              </w:rPr>
              <w:t>288</w:t>
            </w:r>
          </w:p>
        </w:tc>
        <w:tc>
          <w:tcPr>
            <w:tcW w:w="2647" w:type="dxa"/>
            <w:tcBorders>
              <w:top w:val="nil"/>
              <w:left w:val="nil"/>
              <w:bottom w:val="nil"/>
              <w:right w:val="nil"/>
            </w:tcBorders>
            <w:shd w:val="clear" w:color="auto" w:fill="auto"/>
            <w:noWrap/>
            <w:vAlign w:val="bottom"/>
            <w:hideMark/>
          </w:tcPr>
          <w:p w:rsidR="00583BD3" w:rsidRPr="0027252E" w:rsidRDefault="00583BD3" w:rsidP="000727E8">
            <w:pPr>
              <w:jc w:val="center"/>
              <w:rPr>
                <w:rFonts w:ascii="Garamond" w:hAnsi="Garamond" w:cs="Calibri"/>
                <w:color w:val="000000"/>
                <w:sz w:val="20"/>
                <w:szCs w:val="20"/>
              </w:rPr>
            </w:pPr>
          </w:p>
        </w:tc>
        <w:tc>
          <w:tcPr>
            <w:tcW w:w="892" w:type="dxa"/>
            <w:tcBorders>
              <w:top w:val="nil"/>
              <w:left w:val="nil"/>
              <w:bottom w:val="nil"/>
              <w:right w:val="nil"/>
            </w:tcBorders>
            <w:shd w:val="clear" w:color="auto" w:fill="auto"/>
            <w:noWrap/>
            <w:vAlign w:val="center"/>
            <w:hideMark/>
          </w:tcPr>
          <w:p w:rsidR="00583BD3" w:rsidRPr="0027252E" w:rsidRDefault="00583BD3" w:rsidP="000727E8">
            <w:pPr>
              <w:rPr>
                <w:sz w:val="20"/>
                <w:szCs w:val="20"/>
              </w:rPr>
            </w:pPr>
          </w:p>
        </w:tc>
      </w:tr>
      <w:tr w:rsidR="00583BD3" w:rsidRPr="0027252E" w:rsidTr="000727E8">
        <w:trPr>
          <w:trHeight w:val="283"/>
          <w:jc w:val="center"/>
        </w:trPr>
        <w:tc>
          <w:tcPr>
            <w:tcW w:w="1573" w:type="dxa"/>
            <w:tcBorders>
              <w:top w:val="nil"/>
              <w:left w:val="nil"/>
              <w:bottom w:val="nil"/>
              <w:right w:val="nil"/>
            </w:tcBorders>
            <w:shd w:val="clear" w:color="auto" w:fill="auto"/>
            <w:noWrap/>
            <w:vAlign w:val="bottom"/>
            <w:hideMark/>
          </w:tcPr>
          <w:p w:rsidR="00583BD3" w:rsidRPr="0027252E" w:rsidRDefault="00583BD3" w:rsidP="000727E8">
            <w:pPr>
              <w:rPr>
                <w:sz w:val="20"/>
                <w:szCs w:val="20"/>
              </w:rPr>
            </w:pPr>
          </w:p>
        </w:tc>
        <w:tc>
          <w:tcPr>
            <w:tcW w:w="3402" w:type="dxa"/>
            <w:tcBorders>
              <w:top w:val="nil"/>
              <w:left w:val="nil"/>
              <w:bottom w:val="nil"/>
              <w:right w:val="nil"/>
            </w:tcBorders>
            <w:shd w:val="clear" w:color="auto" w:fill="auto"/>
            <w:noWrap/>
            <w:vAlign w:val="bottom"/>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Treatment (female CFO Leverage)</w:t>
            </w:r>
          </w:p>
        </w:tc>
        <w:tc>
          <w:tcPr>
            <w:tcW w:w="729" w:type="dxa"/>
            <w:tcBorders>
              <w:top w:val="nil"/>
              <w:left w:val="nil"/>
              <w:bottom w:val="nil"/>
              <w:right w:val="nil"/>
            </w:tcBorders>
            <w:shd w:val="clear" w:color="auto" w:fill="auto"/>
            <w:noWrap/>
            <w:vAlign w:val="bottom"/>
            <w:hideMark/>
          </w:tcPr>
          <w:p w:rsidR="00583BD3" w:rsidRPr="0027252E" w:rsidRDefault="00583BD3" w:rsidP="000727E8">
            <w:pPr>
              <w:jc w:val="right"/>
              <w:rPr>
                <w:rFonts w:ascii="Garamond" w:hAnsi="Garamond" w:cs="Calibri"/>
                <w:color w:val="000000"/>
                <w:sz w:val="20"/>
                <w:szCs w:val="20"/>
              </w:rPr>
            </w:pPr>
            <w:r w:rsidRPr="0027252E">
              <w:rPr>
                <w:rFonts w:ascii="Garamond" w:hAnsi="Garamond" w:cs="Calibri"/>
                <w:color w:val="000000"/>
                <w:sz w:val="20"/>
                <w:szCs w:val="20"/>
              </w:rPr>
              <w:t>0.2</w:t>
            </w:r>
            <w:r>
              <w:rPr>
                <w:rFonts w:ascii="Garamond" w:hAnsi="Garamond" w:cs="Calibri"/>
                <w:color w:val="000000"/>
                <w:sz w:val="20"/>
                <w:szCs w:val="20"/>
              </w:rPr>
              <w:t>37</w:t>
            </w:r>
          </w:p>
        </w:tc>
        <w:tc>
          <w:tcPr>
            <w:tcW w:w="2647" w:type="dxa"/>
            <w:tcBorders>
              <w:top w:val="nil"/>
              <w:left w:val="nil"/>
              <w:bottom w:val="nil"/>
              <w:right w:val="nil"/>
            </w:tcBorders>
            <w:shd w:val="clear" w:color="auto" w:fill="auto"/>
            <w:noWrap/>
            <w:vAlign w:val="bottom"/>
            <w:hideMark/>
          </w:tcPr>
          <w:p w:rsidR="00583BD3" w:rsidRPr="0027252E" w:rsidRDefault="00583BD3" w:rsidP="000727E8">
            <w:pPr>
              <w:jc w:val="center"/>
              <w:rPr>
                <w:rFonts w:ascii="Garamond" w:hAnsi="Garamond" w:cs="Calibri"/>
                <w:color w:val="000000"/>
                <w:sz w:val="20"/>
                <w:szCs w:val="20"/>
              </w:rPr>
            </w:pPr>
            <w:r w:rsidRPr="0027252E">
              <w:rPr>
                <w:rFonts w:ascii="Garamond" w:hAnsi="Garamond" w:cs="Calibri"/>
                <w:color w:val="000000"/>
                <w:sz w:val="20"/>
                <w:szCs w:val="20"/>
              </w:rPr>
              <w:t>-0.0</w:t>
            </w:r>
            <w:r>
              <w:rPr>
                <w:rFonts w:ascii="Garamond" w:hAnsi="Garamond" w:cs="Calibri"/>
                <w:color w:val="000000"/>
                <w:sz w:val="20"/>
                <w:szCs w:val="20"/>
              </w:rPr>
              <w:t>51</w:t>
            </w:r>
          </w:p>
        </w:tc>
        <w:tc>
          <w:tcPr>
            <w:tcW w:w="892" w:type="dxa"/>
            <w:tcBorders>
              <w:top w:val="nil"/>
              <w:left w:val="nil"/>
              <w:bottom w:val="nil"/>
              <w:right w:val="nil"/>
            </w:tcBorders>
            <w:shd w:val="clear" w:color="auto" w:fill="auto"/>
            <w:noWrap/>
            <w:vAlign w:val="center"/>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0.000***</w:t>
            </w:r>
          </w:p>
        </w:tc>
      </w:tr>
      <w:tr w:rsidR="00583BD3" w:rsidRPr="0027252E" w:rsidTr="000727E8">
        <w:trPr>
          <w:trHeight w:val="283"/>
          <w:jc w:val="center"/>
        </w:trPr>
        <w:tc>
          <w:tcPr>
            <w:tcW w:w="4975" w:type="dxa"/>
            <w:gridSpan w:val="2"/>
            <w:tcBorders>
              <w:top w:val="nil"/>
              <w:left w:val="nil"/>
              <w:bottom w:val="single" w:sz="4" w:space="0" w:color="auto"/>
              <w:right w:val="nil"/>
            </w:tcBorders>
            <w:shd w:val="clear" w:color="auto" w:fill="auto"/>
            <w:noWrap/>
            <w:vAlign w:val="bottom"/>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Diff-in-Diff (Post-transition - Pre-transition)</w:t>
            </w:r>
          </w:p>
        </w:tc>
        <w:tc>
          <w:tcPr>
            <w:tcW w:w="729" w:type="dxa"/>
            <w:tcBorders>
              <w:top w:val="nil"/>
              <w:left w:val="nil"/>
              <w:bottom w:val="single" w:sz="4" w:space="0" w:color="auto"/>
              <w:right w:val="nil"/>
            </w:tcBorders>
            <w:shd w:val="clear" w:color="auto" w:fill="auto"/>
            <w:noWrap/>
            <w:vAlign w:val="bottom"/>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 </w:t>
            </w:r>
          </w:p>
        </w:tc>
        <w:tc>
          <w:tcPr>
            <w:tcW w:w="2647" w:type="dxa"/>
            <w:tcBorders>
              <w:top w:val="nil"/>
              <w:left w:val="nil"/>
              <w:bottom w:val="single" w:sz="4" w:space="0" w:color="auto"/>
              <w:right w:val="nil"/>
            </w:tcBorders>
            <w:shd w:val="clear" w:color="auto" w:fill="auto"/>
            <w:noWrap/>
            <w:vAlign w:val="bottom"/>
            <w:hideMark/>
          </w:tcPr>
          <w:p w:rsidR="00583BD3" w:rsidRPr="0027252E" w:rsidRDefault="00583BD3" w:rsidP="000727E8">
            <w:pPr>
              <w:jc w:val="center"/>
              <w:rPr>
                <w:rFonts w:ascii="Garamond" w:hAnsi="Garamond" w:cs="Calibri"/>
                <w:color w:val="000000"/>
                <w:sz w:val="20"/>
                <w:szCs w:val="20"/>
              </w:rPr>
            </w:pPr>
            <w:r w:rsidRPr="0027252E">
              <w:rPr>
                <w:rFonts w:ascii="Garamond" w:hAnsi="Garamond" w:cs="Calibri"/>
                <w:color w:val="000000"/>
                <w:sz w:val="20"/>
                <w:szCs w:val="20"/>
              </w:rPr>
              <w:t>-0.0</w:t>
            </w:r>
            <w:r>
              <w:rPr>
                <w:rFonts w:ascii="Garamond" w:hAnsi="Garamond" w:cs="Calibri"/>
                <w:color w:val="000000"/>
                <w:sz w:val="20"/>
                <w:szCs w:val="20"/>
              </w:rPr>
              <w:t>36</w:t>
            </w:r>
          </w:p>
        </w:tc>
        <w:tc>
          <w:tcPr>
            <w:tcW w:w="892" w:type="dxa"/>
            <w:tcBorders>
              <w:top w:val="nil"/>
              <w:left w:val="nil"/>
              <w:bottom w:val="single" w:sz="4" w:space="0" w:color="auto"/>
              <w:right w:val="nil"/>
            </w:tcBorders>
            <w:shd w:val="clear" w:color="auto" w:fill="auto"/>
            <w:noWrap/>
            <w:vAlign w:val="center"/>
            <w:hideMark/>
          </w:tcPr>
          <w:p w:rsidR="00583BD3" w:rsidRPr="0027252E" w:rsidRDefault="00583BD3" w:rsidP="000727E8">
            <w:pPr>
              <w:rPr>
                <w:rFonts w:ascii="Garamond" w:hAnsi="Garamond" w:cs="Calibri"/>
                <w:color w:val="000000"/>
                <w:sz w:val="20"/>
                <w:szCs w:val="20"/>
              </w:rPr>
            </w:pPr>
            <w:r w:rsidRPr="0027252E">
              <w:rPr>
                <w:rFonts w:ascii="Garamond" w:hAnsi="Garamond" w:cs="Calibri"/>
                <w:color w:val="000000"/>
                <w:sz w:val="20"/>
                <w:szCs w:val="20"/>
              </w:rPr>
              <w:t>0.00</w:t>
            </w:r>
            <w:r>
              <w:rPr>
                <w:rFonts w:ascii="Garamond" w:hAnsi="Garamond" w:cs="Calibri"/>
                <w:color w:val="000000"/>
                <w:sz w:val="20"/>
                <w:szCs w:val="20"/>
              </w:rPr>
              <w:t>8</w:t>
            </w:r>
            <w:r w:rsidRPr="0027252E">
              <w:rPr>
                <w:rFonts w:ascii="Garamond" w:hAnsi="Garamond" w:cs="Calibri"/>
                <w:color w:val="000000"/>
                <w:sz w:val="20"/>
                <w:szCs w:val="20"/>
              </w:rPr>
              <w:t>***</w:t>
            </w:r>
          </w:p>
        </w:tc>
      </w:tr>
    </w:tbl>
    <w:p w:rsidR="00583BD3" w:rsidRDefault="00583BD3" w:rsidP="00583BD3"/>
    <w:p w:rsidR="00583BD3" w:rsidRDefault="00583BD3" w:rsidP="00583BD3">
      <w:pPr>
        <w:sectPr w:rsidR="00583BD3">
          <w:pgSz w:w="11906" w:h="16838"/>
          <w:pgMar w:top="1440" w:right="1440" w:bottom="1440" w:left="1440" w:header="708" w:footer="708" w:gutter="0"/>
          <w:cols w:space="708"/>
          <w:docGrid w:linePitch="360"/>
        </w:sectPr>
      </w:pPr>
    </w:p>
    <w:p w:rsidR="00583BD3" w:rsidRDefault="00583BD3" w:rsidP="00583BD3">
      <w:pPr>
        <w:jc w:val="both"/>
        <w:rPr>
          <w:rFonts w:ascii="Garamond" w:hAnsi="Garamond"/>
          <w:color w:val="000000" w:themeColor="text1"/>
          <w:sz w:val="20"/>
        </w:rPr>
      </w:pPr>
      <w:proofErr w:type="gramStart"/>
      <w:r w:rsidRPr="0027464C">
        <w:rPr>
          <w:rFonts w:ascii="Garamond" w:hAnsi="Garamond"/>
          <w:b/>
          <w:color w:val="000000" w:themeColor="text1"/>
          <w:sz w:val="20"/>
        </w:rPr>
        <w:lastRenderedPageBreak/>
        <w:t xml:space="preserve">Table </w:t>
      </w:r>
      <w:r>
        <w:rPr>
          <w:rFonts w:ascii="Garamond" w:hAnsi="Garamond"/>
          <w:b/>
          <w:color w:val="000000" w:themeColor="text1"/>
          <w:sz w:val="20"/>
        </w:rPr>
        <w:t>10</w:t>
      </w:r>
      <w:r w:rsidRPr="0027464C">
        <w:rPr>
          <w:rFonts w:ascii="Garamond" w:hAnsi="Garamond"/>
          <w:b/>
          <w:color w:val="000000" w:themeColor="text1"/>
          <w:sz w:val="20"/>
        </w:rPr>
        <w:t>:</w:t>
      </w:r>
      <w:r w:rsidRPr="0027464C">
        <w:rPr>
          <w:rFonts w:ascii="Garamond" w:hAnsi="Garamond"/>
          <w:color w:val="000000" w:themeColor="text1"/>
          <w:sz w:val="20"/>
        </w:rPr>
        <w:t xml:space="preserve"> </w:t>
      </w:r>
      <w:r>
        <w:rPr>
          <w:rFonts w:ascii="Garamond" w:hAnsi="Garamond"/>
          <w:b/>
          <w:color w:val="000000" w:themeColor="text1"/>
          <w:sz w:val="20"/>
        </w:rPr>
        <w:t>T</w:t>
      </w:r>
      <w:r w:rsidRPr="00D0508D">
        <w:rPr>
          <w:rFonts w:ascii="Garamond" w:hAnsi="Garamond"/>
          <w:b/>
          <w:color w:val="000000" w:themeColor="text1"/>
          <w:sz w:val="20"/>
        </w:rPr>
        <w:t>ransition firms.</w:t>
      </w:r>
      <w:proofErr w:type="gramEnd"/>
      <w:r w:rsidRPr="0027464C">
        <w:rPr>
          <w:rFonts w:ascii="Garamond" w:hAnsi="Garamond"/>
          <w:color w:val="000000" w:themeColor="text1"/>
          <w:sz w:val="20"/>
        </w:rPr>
        <w:t xml:space="preserve">  </w:t>
      </w:r>
    </w:p>
    <w:p w:rsidR="00583BD3" w:rsidRDefault="00583BD3" w:rsidP="00583BD3">
      <w:pPr>
        <w:jc w:val="both"/>
      </w:pPr>
      <w:r w:rsidRPr="0027464C">
        <w:rPr>
          <w:rFonts w:ascii="Garamond" w:hAnsi="Garamond"/>
          <w:color w:val="000000" w:themeColor="text1"/>
          <w:sz w:val="20"/>
        </w:rPr>
        <w:t>This table presents the regression results for female CFO influence on leverage for transition firms</w:t>
      </w:r>
      <w:r>
        <w:rPr>
          <w:rFonts w:ascii="Garamond" w:hAnsi="Garamond"/>
          <w:color w:val="000000" w:themeColor="text1"/>
          <w:sz w:val="20"/>
        </w:rPr>
        <w:t>, defined as firms that experience a change from a male to a female CFO, or vice versa, over the course of the sample period</w:t>
      </w:r>
      <w:r w:rsidRPr="0027464C">
        <w:rPr>
          <w:rFonts w:ascii="Garamond" w:hAnsi="Garamond"/>
          <w:color w:val="000000" w:themeColor="text1"/>
          <w:sz w:val="20"/>
        </w:rPr>
        <w:t xml:space="preserve">. Variable definitions are provided in </w:t>
      </w:r>
      <w:r>
        <w:rPr>
          <w:rFonts w:ascii="Garamond" w:hAnsi="Garamond"/>
          <w:color w:val="000000" w:themeColor="text1"/>
          <w:sz w:val="20"/>
        </w:rPr>
        <w:t>the a</w:t>
      </w:r>
      <w:r w:rsidRPr="0027464C">
        <w:rPr>
          <w:rFonts w:ascii="Garamond" w:hAnsi="Garamond"/>
          <w:color w:val="000000" w:themeColor="text1"/>
          <w:sz w:val="20"/>
        </w:rPr>
        <w:t xml:space="preserve">ppendix. </w:t>
      </w:r>
      <w:proofErr w:type="gramStart"/>
      <w:r w:rsidRPr="00D0508D">
        <w:rPr>
          <w:rFonts w:ascii="Garamond" w:hAnsi="Garamond"/>
          <w:i/>
          <w:color w:val="000000" w:themeColor="text1"/>
          <w:sz w:val="20"/>
        </w:rPr>
        <w:t>t</w:t>
      </w:r>
      <w:r w:rsidRPr="0027464C">
        <w:rPr>
          <w:rFonts w:ascii="Garamond" w:hAnsi="Garamond"/>
          <w:color w:val="000000" w:themeColor="text1"/>
          <w:sz w:val="20"/>
        </w:rPr>
        <w:t>-statistics</w:t>
      </w:r>
      <w:proofErr w:type="gramEnd"/>
      <w:r w:rsidRPr="0027464C">
        <w:rPr>
          <w:rFonts w:ascii="Garamond" w:hAnsi="Garamond"/>
          <w:color w:val="000000" w:themeColor="text1"/>
          <w:sz w:val="20"/>
        </w:rPr>
        <w:t xml:space="preserve"> are reported in parentheses and ***, ** and * indicate significance at the 1%, 5% and 10% level respectively. Standard errors are clustered at firm level.</w:t>
      </w:r>
    </w:p>
    <w:tbl>
      <w:tblPr>
        <w:tblW w:w="0" w:type="auto"/>
        <w:tblBorders>
          <w:top w:val="single" w:sz="4" w:space="0" w:color="auto"/>
          <w:bottom w:val="single" w:sz="4" w:space="0" w:color="auto"/>
        </w:tblBorders>
        <w:tblLook w:val="04A0"/>
      </w:tblPr>
      <w:tblGrid>
        <w:gridCol w:w="2480"/>
        <w:gridCol w:w="1048"/>
        <w:gridCol w:w="1048"/>
        <w:gridCol w:w="1048"/>
        <w:gridCol w:w="1048"/>
        <w:gridCol w:w="1048"/>
        <w:gridCol w:w="962"/>
      </w:tblGrid>
      <w:tr w:rsidR="00583BD3" w:rsidRPr="00812847" w:rsidTr="000727E8">
        <w:trPr>
          <w:trHeight w:hRule="exact" w:val="255"/>
        </w:trPr>
        <w:tc>
          <w:tcPr>
            <w:tcW w:w="0" w:type="auto"/>
            <w:tcBorders>
              <w:top w:val="single" w:sz="4" w:space="0" w:color="auto"/>
              <w:bottom w:val="single" w:sz="4" w:space="0" w:color="auto"/>
            </w:tcBorders>
            <w:shd w:val="clear" w:color="auto" w:fill="auto"/>
            <w:noWrap/>
            <w:hideMark/>
          </w:tcPr>
          <w:p w:rsidR="00583BD3" w:rsidRPr="00812847" w:rsidRDefault="00583BD3" w:rsidP="000727E8">
            <w:pPr>
              <w:jc w:val="center"/>
              <w:rPr>
                <w:rFonts w:ascii="Garamond" w:hAnsi="Garamond"/>
                <w:color w:val="000000" w:themeColor="text1"/>
                <w:sz w:val="20"/>
                <w:szCs w:val="20"/>
              </w:rPr>
            </w:pPr>
          </w:p>
        </w:tc>
        <w:tc>
          <w:tcPr>
            <w:tcW w:w="0" w:type="auto"/>
            <w:tcBorders>
              <w:top w:val="single" w:sz="4" w:space="0" w:color="auto"/>
              <w:bottom w:val="single" w:sz="4" w:space="0" w:color="auto"/>
            </w:tcBorders>
            <w:shd w:val="clear" w:color="auto" w:fill="auto"/>
            <w:noWrap/>
            <w:hideMark/>
          </w:tcPr>
          <w:p w:rsidR="00583BD3" w:rsidRPr="00812847" w:rsidRDefault="00583BD3" w:rsidP="000727E8">
            <w:pPr>
              <w:jc w:val="center"/>
              <w:rPr>
                <w:rFonts w:ascii="Garamond" w:hAnsi="Garamond" w:cs="Calibri"/>
                <w:color w:val="000000" w:themeColor="text1"/>
                <w:sz w:val="20"/>
                <w:szCs w:val="20"/>
              </w:rPr>
            </w:pPr>
            <w:r w:rsidRPr="00B454FC">
              <w:rPr>
                <w:rFonts w:ascii="Garamond" w:hAnsi="Garamond" w:cs="Calibri"/>
                <w:color w:val="000000" w:themeColor="text1"/>
                <w:sz w:val="20"/>
                <w:szCs w:val="20"/>
              </w:rPr>
              <w:t>(1)</w:t>
            </w:r>
          </w:p>
        </w:tc>
        <w:tc>
          <w:tcPr>
            <w:tcW w:w="0" w:type="auto"/>
            <w:tcBorders>
              <w:top w:val="single" w:sz="4" w:space="0" w:color="auto"/>
              <w:bottom w:val="single" w:sz="4" w:space="0" w:color="auto"/>
            </w:tcBorders>
            <w:shd w:val="clear" w:color="auto" w:fill="auto"/>
            <w:noWrap/>
            <w:hideMark/>
          </w:tcPr>
          <w:p w:rsidR="00583BD3" w:rsidRPr="00812847" w:rsidRDefault="00583BD3" w:rsidP="000727E8">
            <w:pPr>
              <w:jc w:val="center"/>
              <w:rPr>
                <w:rFonts w:ascii="Garamond" w:hAnsi="Garamond" w:cs="Calibri"/>
                <w:color w:val="000000" w:themeColor="text1"/>
                <w:sz w:val="20"/>
                <w:szCs w:val="20"/>
              </w:rPr>
            </w:pPr>
            <w:r w:rsidRPr="00B454FC">
              <w:rPr>
                <w:rFonts w:ascii="Garamond" w:hAnsi="Garamond" w:cs="Calibri"/>
                <w:color w:val="000000" w:themeColor="text1"/>
                <w:sz w:val="20"/>
                <w:szCs w:val="20"/>
              </w:rPr>
              <w:t>(2)</w:t>
            </w:r>
          </w:p>
        </w:tc>
        <w:tc>
          <w:tcPr>
            <w:tcW w:w="0" w:type="auto"/>
            <w:tcBorders>
              <w:top w:val="single" w:sz="4" w:space="0" w:color="auto"/>
              <w:bottom w:val="single" w:sz="4" w:space="0" w:color="auto"/>
            </w:tcBorders>
            <w:shd w:val="clear" w:color="auto" w:fill="auto"/>
            <w:noWrap/>
            <w:hideMark/>
          </w:tcPr>
          <w:p w:rsidR="00583BD3" w:rsidRPr="00812847" w:rsidRDefault="00583BD3" w:rsidP="000727E8">
            <w:pPr>
              <w:jc w:val="center"/>
              <w:rPr>
                <w:rFonts w:ascii="Garamond" w:hAnsi="Garamond" w:cs="Calibri"/>
                <w:color w:val="000000" w:themeColor="text1"/>
                <w:sz w:val="20"/>
                <w:szCs w:val="20"/>
              </w:rPr>
            </w:pPr>
            <w:r w:rsidRPr="00B454FC">
              <w:rPr>
                <w:rFonts w:ascii="Garamond" w:hAnsi="Garamond" w:cs="Calibri"/>
                <w:color w:val="000000" w:themeColor="text1"/>
                <w:sz w:val="20"/>
                <w:szCs w:val="20"/>
              </w:rPr>
              <w:t>(3)</w:t>
            </w:r>
          </w:p>
        </w:tc>
        <w:tc>
          <w:tcPr>
            <w:tcW w:w="0" w:type="auto"/>
            <w:tcBorders>
              <w:top w:val="single" w:sz="4" w:space="0" w:color="auto"/>
              <w:bottom w:val="single" w:sz="4" w:space="0" w:color="auto"/>
            </w:tcBorders>
            <w:shd w:val="clear" w:color="auto" w:fill="auto"/>
            <w:noWrap/>
            <w:hideMark/>
          </w:tcPr>
          <w:p w:rsidR="00583BD3" w:rsidRPr="00812847" w:rsidRDefault="00583BD3" w:rsidP="000727E8">
            <w:pPr>
              <w:jc w:val="center"/>
              <w:rPr>
                <w:rFonts w:ascii="Garamond" w:hAnsi="Garamond" w:cs="Calibri"/>
                <w:color w:val="000000" w:themeColor="text1"/>
                <w:sz w:val="20"/>
                <w:szCs w:val="20"/>
              </w:rPr>
            </w:pPr>
            <w:r w:rsidRPr="00B454FC">
              <w:rPr>
                <w:rFonts w:ascii="Garamond" w:hAnsi="Garamond" w:cs="Calibri"/>
                <w:color w:val="000000" w:themeColor="text1"/>
                <w:sz w:val="20"/>
                <w:szCs w:val="20"/>
              </w:rPr>
              <w:t>(4)</w:t>
            </w:r>
          </w:p>
        </w:tc>
        <w:tc>
          <w:tcPr>
            <w:tcW w:w="0" w:type="auto"/>
            <w:tcBorders>
              <w:top w:val="single" w:sz="4" w:space="0" w:color="auto"/>
              <w:bottom w:val="single" w:sz="4" w:space="0" w:color="auto"/>
            </w:tcBorders>
            <w:shd w:val="clear" w:color="auto" w:fill="auto"/>
            <w:noWrap/>
            <w:hideMark/>
          </w:tcPr>
          <w:p w:rsidR="00583BD3" w:rsidRPr="00812847" w:rsidRDefault="00583BD3" w:rsidP="000727E8">
            <w:pPr>
              <w:jc w:val="center"/>
              <w:rPr>
                <w:rFonts w:ascii="Garamond" w:hAnsi="Garamond" w:cs="Calibri"/>
                <w:color w:val="000000" w:themeColor="text1"/>
                <w:sz w:val="20"/>
                <w:szCs w:val="20"/>
              </w:rPr>
            </w:pPr>
            <w:r w:rsidRPr="00B454FC">
              <w:rPr>
                <w:rFonts w:ascii="Garamond" w:hAnsi="Garamond" w:cs="Calibri"/>
                <w:color w:val="000000" w:themeColor="text1"/>
                <w:sz w:val="20"/>
                <w:szCs w:val="20"/>
              </w:rPr>
              <w:t>(5)</w:t>
            </w:r>
          </w:p>
        </w:tc>
        <w:tc>
          <w:tcPr>
            <w:tcW w:w="0" w:type="auto"/>
            <w:tcBorders>
              <w:top w:val="single" w:sz="4" w:space="0" w:color="auto"/>
              <w:bottom w:val="single" w:sz="4" w:space="0" w:color="auto"/>
            </w:tcBorders>
            <w:shd w:val="clear" w:color="auto" w:fill="auto"/>
            <w:noWrap/>
            <w:hideMark/>
          </w:tcPr>
          <w:p w:rsidR="00583BD3" w:rsidRPr="00812847" w:rsidRDefault="00583BD3" w:rsidP="000727E8">
            <w:pPr>
              <w:jc w:val="center"/>
              <w:rPr>
                <w:rFonts w:ascii="Garamond" w:hAnsi="Garamond" w:cs="Calibri"/>
                <w:color w:val="000000" w:themeColor="text1"/>
                <w:sz w:val="20"/>
                <w:szCs w:val="20"/>
              </w:rPr>
            </w:pPr>
            <w:r w:rsidRPr="00B454FC">
              <w:rPr>
                <w:rFonts w:ascii="Garamond" w:hAnsi="Garamond" w:cs="Calibri"/>
                <w:color w:val="000000" w:themeColor="text1"/>
                <w:sz w:val="20"/>
                <w:szCs w:val="20"/>
              </w:rPr>
              <w:t>(6)</w:t>
            </w:r>
          </w:p>
        </w:tc>
      </w:tr>
      <w:tr w:rsidR="00583BD3" w:rsidRPr="00812847" w:rsidTr="000727E8">
        <w:trPr>
          <w:trHeight w:hRule="exact" w:val="255"/>
        </w:trPr>
        <w:tc>
          <w:tcPr>
            <w:tcW w:w="0" w:type="auto"/>
            <w:tcBorders>
              <w:top w:val="single" w:sz="4" w:space="0" w:color="auto"/>
            </w:tcBorders>
            <w:shd w:val="clear" w:color="auto" w:fill="auto"/>
            <w:noWrap/>
            <w:hideMark/>
          </w:tcPr>
          <w:p w:rsidR="00583BD3" w:rsidRPr="0062470B" w:rsidRDefault="00583BD3" w:rsidP="000727E8">
            <w:pPr>
              <w:jc w:val="center"/>
              <w:rPr>
                <w:rFonts w:ascii="Garamond" w:hAnsi="Garamond" w:cs="Calibri"/>
                <w:color w:val="FF0000"/>
                <w:sz w:val="18"/>
                <w:szCs w:val="18"/>
                <w:vertAlign w:val="subscript"/>
              </w:rPr>
            </w:pPr>
            <w:r w:rsidRPr="00444885">
              <w:rPr>
                <w:rFonts w:ascii="Garamond" w:hAnsi="Garamond" w:cs="Calibri"/>
                <w:color w:val="000000" w:themeColor="text1"/>
                <w:sz w:val="20"/>
                <w:szCs w:val="20"/>
              </w:rPr>
              <w:t>CFO Female Dummy</w:t>
            </w:r>
            <w:r w:rsidRPr="0062470B">
              <w:rPr>
                <w:rFonts w:ascii="Garamond" w:hAnsi="Garamond" w:cs="Calibri"/>
                <w:color w:val="000000"/>
                <w:sz w:val="18"/>
                <w:szCs w:val="18"/>
                <w:vertAlign w:val="subscript"/>
              </w:rPr>
              <w:t>t-1</w:t>
            </w:r>
          </w:p>
        </w:tc>
        <w:tc>
          <w:tcPr>
            <w:tcW w:w="0" w:type="auto"/>
            <w:tcBorders>
              <w:top w:val="single" w:sz="4" w:space="0" w:color="auto"/>
            </w:tcBorders>
            <w:shd w:val="clear" w:color="auto" w:fill="auto"/>
            <w:noWrap/>
            <w:vAlign w:val="center"/>
            <w:hideMark/>
          </w:tcPr>
          <w:p w:rsidR="00583BD3" w:rsidRPr="00444885" w:rsidRDefault="00583BD3" w:rsidP="000727E8">
            <w:pPr>
              <w:jc w:val="center"/>
              <w:rPr>
                <w:rFonts w:ascii="Garamond" w:hAnsi="Garamond"/>
                <w:color w:val="000000"/>
                <w:sz w:val="20"/>
                <w:szCs w:val="20"/>
              </w:rPr>
            </w:pPr>
            <w:r w:rsidRPr="00444885">
              <w:rPr>
                <w:rFonts w:ascii="Garamond" w:hAnsi="Garamond" w:hint="eastAsia"/>
                <w:color w:val="000000"/>
                <w:sz w:val="20"/>
                <w:szCs w:val="20"/>
              </w:rPr>
              <w:t>-0.0493***</w:t>
            </w:r>
          </w:p>
        </w:tc>
        <w:tc>
          <w:tcPr>
            <w:tcW w:w="0" w:type="auto"/>
            <w:tcBorders>
              <w:top w:val="single" w:sz="4" w:space="0" w:color="auto"/>
            </w:tcBorders>
            <w:shd w:val="clear" w:color="auto" w:fill="auto"/>
            <w:noWrap/>
            <w:vAlign w:val="center"/>
            <w:hideMark/>
          </w:tcPr>
          <w:p w:rsidR="00583BD3" w:rsidRPr="00444885" w:rsidRDefault="00583BD3" w:rsidP="000727E8">
            <w:pPr>
              <w:jc w:val="center"/>
              <w:rPr>
                <w:rFonts w:ascii="Garamond" w:hAnsi="Garamond"/>
                <w:color w:val="000000"/>
                <w:sz w:val="20"/>
                <w:szCs w:val="20"/>
              </w:rPr>
            </w:pPr>
            <w:r w:rsidRPr="00444885">
              <w:rPr>
                <w:rFonts w:ascii="Garamond" w:hAnsi="Garamond" w:hint="eastAsia"/>
                <w:color w:val="000000"/>
                <w:sz w:val="20"/>
                <w:szCs w:val="20"/>
              </w:rPr>
              <w:t>-0.0491***</w:t>
            </w:r>
          </w:p>
        </w:tc>
        <w:tc>
          <w:tcPr>
            <w:tcW w:w="0" w:type="auto"/>
            <w:tcBorders>
              <w:top w:val="single" w:sz="4" w:space="0" w:color="auto"/>
            </w:tcBorders>
            <w:shd w:val="clear" w:color="auto" w:fill="auto"/>
            <w:noWrap/>
            <w:vAlign w:val="center"/>
            <w:hideMark/>
          </w:tcPr>
          <w:p w:rsidR="00583BD3" w:rsidRPr="00444885" w:rsidRDefault="00583BD3" w:rsidP="000727E8">
            <w:pPr>
              <w:jc w:val="center"/>
              <w:rPr>
                <w:rFonts w:ascii="Garamond" w:hAnsi="Garamond"/>
                <w:color w:val="000000"/>
                <w:sz w:val="20"/>
                <w:szCs w:val="20"/>
              </w:rPr>
            </w:pPr>
            <w:r w:rsidRPr="00444885">
              <w:rPr>
                <w:rFonts w:ascii="Garamond" w:hAnsi="Garamond" w:hint="eastAsia"/>
                <w:color w:val="000000"/>
                <w:sz w:val="20"/>
                <w:szCs w:val="20"/>
              </w:rPr>
              <w:t>-0.0494***</w:t>
            </w:r>
          </w:p>
        </w:tc>
        <w:tc>
          <w:tcPr>
            <w:tcW w:w="0" w:type="auto"/>
            <w:tcBorders>
              <w:top w:val="single" w:sz="4" w:space="0" w:color="auto"/>
            </w:tcBorders>
            <w:shd w:val="clear" w:color="auto" w:fill="auto"/>
            <w:noWrap/>
            <w:vAlign w:val="center"/>
            <w:hideMark/>
          </w:tcPr>
          <w:p w:rsidR="00583BD3" w:rsidRPr="00444885" w:rsidRDefault="00583BD3" w:rsidP="000727E8">
            <w:pPr>
              <w:jc w:val="center"/>
              <w:rPr>
                <w:rFonts w:ascii="Garamond" w:hAnsi="Garamond"/>
                <w:color w:val="000000"/>
                <w:sz w:val="20"/>
                <w:szCs w:val="20"/>
              </w:rPr>
            </w:pPr>
            <w:r w:rsidRPr="00444885">
              <w:rPr>
                <w:rFonts w:ascii="Garamond" w:hAnsi="Garamond" w:hint="eastAsia"/>
                <w:color w:val="000000"/>
                <w:sz w:val="20"/>
                <w:szCs w:val="20"/>
              </w:rPr>
              <w:t>-0.0496***</w:t>
            </w:r>
          </w:p>
        </w:tc>
        <w:tc>
          <w:tcPr>
            <w:tcW w:w="0" w:type="auto"/>
            <w:tcBorders>
              <w:top w:val="single" w:sz="4" w:space="0" w:color="auto"/>
            </w:tcBorders>
            <w:shd w:val="clear" w:color="auto" w:fill="auto"/>
            <w:noWrap/>
            <w:vAlign w:val="center"/>
            <w:hideMark/>
          </w:tcPr>
          <w:p w:rsidR="00583BD3" w:rsidRPr="00444885" w:rsidRDefault="00583BD3" w:rsidP="000727E8">
            <w:pPr>
              <w:jc w:val="center"/>
              <w:rPr>
                <w:rFonts w:ascii="Garamond" w:hAnsi="Garamond"/>
                <w:color w:val="000000"/>
                <w:sz w:val="20"/>
                <w:szCs w:val="20"/>
              </w:rPr>
            </w:pPr>
            <w:r w:rsidRPr="00444885">
              <w:rPr>
                <w:rFonts w:ascii="Garamond" w:hAnsi="Garamond" w:hint="eastAsia"/>
                <w:color w:val="000000"/>
                <w:sz w:val="20"/>
                <w:szCs w:val="20"/>
              </w:rPr>
              <w:t>-0.0495***</w:t>
            </w:r>
          </w:p>
        </w:tc>
        <w:tc>
          <w:tcPr>
            <w:tcW w:w="0" w:type="auto"/>
            <w:tcBorders>
              <w:top w:val="single" w:sz="4" w:space="0" w:color="auto"/>
            </w:tcBorders>
            <w:shd w:val="clear" w:color="auto" w:fill="auto"/>
            <w:noWrap/>
            <w:vAlign w:val="center"/>
            <w:hideMark/>
          </w:tcPr>
          <w:p w:rsidR="00583BD3" w:rsidRPr="00444885" w:rsidRDefault="00583BD3" w:rsidP="000727E8">
            <w:pPr>
              <w:jc w:val="center"/>
              <w:rPr>
                <w:rFonts w:ascii="Garamond" w:hAnsi="Garamond"/>
                <w:color w:val="000000"/>
                <w:sz w:val="20"/>
                <w:szCs w:val="20"/>
              </w:rPr>
            </w:pPr>
            <w:r w:rsidRPr="00444885">
              <w:rPr>
                <w:rFonts w:ascii="Garamond" w:hAnsi="Garamond" w:hint="eastAsia"/>
                <w:color w:val="000000"/>
                <w:sz w:val="20"/>
                <w:szCs w:val="20"/>
              </w:rPr>
              <w:t>-0.0497**</w:t>
            </w:r>
          </w:p>
        </w:tc>
      </w:tr>
      <w:tr w:rsidR="00583BD3" w:rsidRPr="00812847" w:rsidTr="000727E8">
        <w:trPr>
          <w:trHeight w:hRule="exact" w:val="255"/>
        </w:trPr>
        <w:tc>
          <w:tcPr>
            <w:tcW w:w="0" w:type="auto"/>
            <w:shd w:val="clear" w:color="auto" w:fill="auto"/>
            <w:noWrap/>
            <w:hideMark/>
          </w:tcPr>
          <w:p w:rsidR="00583BD3" w:rsidRPr="00D14B9E" w:rsidRDefault="00583BD3" w:rsidP="000727E8">
            <w:pPr>
              <w:jc w:val="center"/>
              <w:rPr>
                <w:rFonts w:ascii="Garamond" w:hAnsi="Garamond" w:cs="Calibri"/>
                <w:color w:val="000000"/>
                <w:sz w:val="18"/>
                <w:szCs w:val="18"/>
              </w:rPr>
            </w:pP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r w:rsidRPr="00444885">
              <w:rPr>
                <w:rFonts w:ascii="Garamond" w:hAnsi="Garamond" w:hint="eastAsia"/>
                <w:color w:val="000000"/>
                <w:sz w:val="20"/>
                <w:szCs w:val="20"/>
              </w:rPr>
              <w:t>(-3.22)</w:t>
            </w: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r w:rsidRPr="00444885">
              <w:rPr>
                <w:rFonts w:ascii="Garamond" w:hAnsi="Garamond" w:hint="eastAsia"/>
                <w:color w:val="000000"/>
                <w:sz w:val="20"/>
                <w:szCs w:val="20"/>
              </w:rPr>
              <w:t>(-3.32)</w:t>
            </w: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r w:rsidRPr="00444885">
              <w:rPr>
                <w:rFonts w:ascii="Garamond" w:hAnsi="Garamond" w:hint="eastAsia"/>
                <w:color w:val="000000"/>
                <w:sz w:val="20"/>
                <w:szCs w:val="20"/>
              </w:rPr>
              <w:t>(-3.28)</w:t>
            </w: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r w:rsidRPr="00444885">
              <w:rPr>
                <w:rFonts w:ascii="Garamond" w:hAnsi="Garamond" w:hint="eastAsia"/>
                <w:color w:val="000000"/>
                <w:sz w:val="20"/>
                <w:szCs w:val="20"/>
              </w:rPr>
              <w:t>(-3.25)</w:t>
            </w: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r w:rsidRPr="00444885">
              <w:rPr>
                <w:rFonts w:ascii="Garamond" w:hAnsi="Garamond" w:hint="eastAsia"/>
                <w:color w:val="000000"/>
                <w:sz w:val="20"/>
                <w:szCs w:val="20"/>
              </w:rPr>
              <w:t>(-3.42)</w:t>
            </w: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r w:rsidRPr="00444885">
              <w:rPr>
                <w:rFonts w:ascii="Garamond" w:hAnsi="Garamond" w:hint="eastAsia"/>
                <w:color w:val="000000"/>
                <w:sz w:val="20"/>
                <w:szCs w:val="20"/>
              </w:rPr>
              <w:t>(-2.61)</w:t>
            </w:r>
          </w:p>
        </w:tc>
      </w:tr>
      <w:tr w:rsidR="00583BD3" w:rsidRPr="00812847" w:rsidTr="000727E8">
        <w:trPr>
          <w:trHeight w:hRule="exact" w:val="255"/>
        </w:trPr>
        <w:tc>
          <w:tcPr>
            <w:tcW w:w="0" w:type="auto"/>
            <w:shd w:val="clear" w:color="auto" w:fill="auto"/>
            <w:noWrap/>
            <w:hideMark/>
          </w:tcPr>
          <w:p w:rsidR="00583BD3" w:rsidRPr="00905DE4" w:rsidRDefault="00583BD3" w:rsidP="000727E8">
            <w:pPr>
              <w:jc w:val="center"/>
              <w:rPr>
                <w:rFonts w:ascii="Garamond" w:hAnsi="Garamond" w:cs="Calibri"/>
                <w:color w:val="000000" w:themeColor="text1"/>
                <w:sz w:val="20"/>
                <w:szCs w:val="20"/>
              </w:rPr>
            </w:pPr>
            <w:r>
              <w:rPr>
                <w:rFonts w:ascii="Garamond" w:hAnsi="Garamond" w:cs="Calibri"/>
                <w:color w:val="000000" w:themeColor="text1"/>
                <w:sz w:val="20"/>
                <w:szCs w:val="20"/>
              </w:rPr>
              <w:t>Board Gender Diversity</w:t>
            </w:r>
            <w:r>
              <w:rPr>
                <w:rFonts w:ascii="Garamond" w:hAnsi="Garamond" w:cs="Calibri"/>
                <w:color w:val="000000"/>
                <w:sz w:val="18"/>
                <w:szCs w:val="18"/>
                <w:vertAlign w:val="subscript"/>
              </w:rPr>
              <w:t>t-1</w:t>
            </w: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r w:rsidRPr="00444885">
              <w:rPr>
                <w:rFonts w:ascii="Garamond" w:hAnsi="Garamond" w:hint="eastAsia"/>
                <w:color w:val="000000"/>
                <w:sz w:val="20"/>
                <w:szCs w:val="20"/>
              </w:rPr>
              <w:t>0.154*</w:t>
            </w: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r w:rsidRPr="00444885">
              <w:rPr>
                <w:rFonts w:ascii="Garamond" w:hAnsi="Garamond" w:hint="eastAsia"/>
                <w:color w:val="000000"/>
                <w:sz w:val="20"/>
                <w:szCs w:val="20"/>
              </w:rPr>
              <w:t>0.163**</w:t>
            </w: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p>
        </w:tc>
      </w:tr>
      <w:tr w:rsidR="00583BD3" w:rsidRPr="00812847" w:rsidTr="000727E8">
        <w:trPr>
          <w:trHeight w:hRule="exact" w:val="255"/>
        </w:trPr>
        <w:tc>
          <w:tcPr>
            <w:tcW w:w="0" w:type="auto"/>
            <w:shd w:val="clear" w:color="auto" w:fill="auto"/>
            <w:noWrap/>
            <w:hideMark/>
          </w:tcPr>
          <w:p w:rsidR="00583BD3" w:rsidRPr="00905DE4" w:rsidRDefault="00583BD3" w:rsidP="000727E8">
            <w:pPr>
              <w:jc w:val="center"/>
              <w:rPr>
                <w:rFonts w:ascii="Garamond" w:hAnsi="Garamond" w:cs="Calibri"/>
                <w:color w:val="000000" w:themeColor="text1"/>
                <w:sz w:val="20"/>
                <w:szCs w:val="20"/>
              </w:rPr>
            </w:pP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r w:rsidRPr="00444885">
              <w:rPr>
                <w:rFonts w:ascii="Garamond" w:hAnsi="Garamond" w:hint="eastAsia"/>
                <w:color w:val="000000"/>
                <w:sz w:val="20"/>
                <w:szCs w:val="20"/>
              </w:rPr>
              <w:t>(1.93)</w:t>
            </w: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r w:rsidRPr="00444885">
              <w:rPr>
                <w:rFonts w:ascii="Garamond" w:hAnsi="Garamond" w:hint="eastAsia"/>
                <w:color w:val="000000"/>
                <w:sz w:val="20"/>
                <w:szCs w:val="20"/>
              </w:rPr>
              <w:t>(2.03)</w:t>
            </w: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p>
        </w:tc>
      </w:tr>
      <w:tr w:rsidR="00583BD3" w:rsidRPr="00812847" w:rsidTr="000727E8">
        <w:trPr>
          <w:trHeight w:hRule="exact" w:val="255"/>
        </w:trPr>
        <w:tc>
          <w:tcPr>
            <w:tcW w:w="0" w:type="auto"/>
            <w:shd w:val="clear" w:color="auto" w:fill="auto"/>
            <w:noWrap/>
            <w:hideMark/>
          </w:tcPr>
          <w:p w:rsidR="00583BD3" w:rsidRPr="00905DE4" w:rsidRDefault="00583BD3" w:rsidP="000727E8">
            <w:pPr>
              <w:jc w:val="center"/>
              <w:rPr>
                <w:rFonts w:ascii="Garamond" w:hAnsi="Garamond" w:cs="Calibri"/>
                <w:color w:val="000000" w:themeColor="text1"/>
                <w:sz w:val="20"/>
                <w:szCs w:val="20"/>
              </w:rPr>
            </w:pPr>
            <w:r>
              <w:rPr>
                <w:rFonts w:ascii="Garamond" w:hAnsi="Garamond" w:cs="Calibri"/>
                <w:color w:val="000000" w:themeColor="text1"/>
                <w:sz w:val="20"/>
                <w:szCs w:val="20"/>
              </w:rPr>
              <w:t>Board Nationality Diversity</w:t>
            </w:r>
            <w:r>
              <w:rPr>
                <w:rFonts w:ascii="Garamond" w:hAnsi="Garamond" w:cs="Calibri"/>
                <w:color w:val="000000"/>
                <w:sz w:val="18"/>
                <w:szCs w:val="18"/>
                <w:vertAlign w:val="subscript"/>
              </w:rPr>
              <w:t>t-1</w:t>
            </w: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r w:rsidRPr="00444885">
              <w:rPr>
                <w:rFonts w:ascii="Garamond" w:hAnsi="Garamond" w:hint="eastAsia"/>
                <w:color w:val="000000"/>
                <w:sz w:val="20"/>
                <w:szCs w:val="20"/>
              </w:rPr>
              <w:t>-0.0859</w:t>
            </w: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r w:rsidRPr="00444885">
              <w:rPr>
                <w:rFonts w:ascii="Garamond" w:hAnsi="Garamond" w:hint="eastAsia"/>
                <w:color w:val="000000"/>
                <w:sz w:val="20"/>
                <w:szCs w:val="20"/>
              </w:rPr>
              <w:t>-0.0958</w:t>
            </w: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p>
        </w:tc>
      </w:tr>
      <w:tr w:rsidR="00583BD3" w:rsidRPr="00812847" w:rsidTr="000727E8">
        <w:trPr>
          <w:trHeight w:hRule="exact" w:val="255"/>
        </w:trPr>
        <w:tc>
          <w:tcPr>
            <w:tcW w:w="0" w:type="auto"/>
            <w:shd w:val="clear" w:color="auto" w:fill="auto"/>
            <w:noWrap/>
            <w:hideMark/>
          </w:tcPr>
          <w:p w:rsidR="00583BD3" w:rsidRPr="00905DE4" w:rsidRDefault="00583BD3" w:rsidP="000727E8">
            <w:pPr>
              <w:jc w:val="center"/>
              <w:rPr>
                <w:rFonts w:ascii="Garamond" w:hAnsi="Garamond" w:cs="Calibri"/>
                <w:color w:val="000000" w:themeColor="text1"/>
                <w:sz w:val="20"/>
                <w:szCs w:val="20"/>
              </w:rPr>
            </w:pP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r w:rsidRPr="00444885">
              <w:rPr>
                <w:rFonts w:ascii="Garamond" w:hAnsi="Garamond" w:hint="eastAsia"/>
                <w:color w:val="000000"/>
                <w:sz w:val="20"/>
                <w:szCs w:val="20"/>
              </w:rPr>
              <w:t>(-1.03)</w:t>
            </w: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r w:rsidRPr="00444885">
              <w:rPr>
                <w:rFonts w:ascii="Garamond" w:hAnsi="Garamond" w:hint="eastAsia"/>
                <w:color w:val="000000"/>
                <w:sz w:val="20"/>
                <w:szCs w:val="20"/>
              </w:rPr>
              <w:t>(-1.13)</w:t>
            </w: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p>
        </w:tc>
      </w:tr>
      <w:tr w:rsidR="00583BD3" w:rsidRPr="00812847" w:rsidTr="000727E8">
        <w:trPr>
          <w:trHeight w:hRule="exact" w:val="255"/>
        </w:trPr>
        <w:tc>
          <w:tcPr>
            <w:tcW w:w="0" w:type="auto"/>
            <w:shd w:val="clear" w:color="auto" w:fill="auto"/>
            <w:noWrap/>
            <w:hideMark/>
          </w:tcPr>
          <w:p w:rsidR="00583BD3" w:rsidRPr="00905DE4" w:rsidRDefault="00583BD3" w:rsidP="000727E8">
            <w:pPr>
              <w:jc w:val="center"/>
              <w:rPr>
                <w:rFonts w:ascii="Garamond" w:hAnsi="Garamond" w:cs="Calibri"/>
                <w:color w:val="000000" w:themeColor="text1"/>
                <w:sz w:val="20"/>
                <w:szCs w:val="20"/>
              </w:rPr>
            </w:pPr>
            <w:r w:rsidRPr="00905DE4">
              <w:rPr>
                <w:rFonts w:ascii="Garamond" w:hAnsi="Garamond" w:cs="Calibri"/>
                <w:color w:val="000000" w:themeColor="text1"/>
                <w:sz w:val="20"/>
                <w:szCs w:val="20"/>
              </w:rPr>
              <w:t>Board Age Diversity</w:t>
            </w:r>
            <w:r>
              <w:rPr>
                <w:rFonts w:ascii="Garamond" w:hAnsi="Garamond" w:cs="Calibri"/>
                <w:color w:val="000000"/>
                <w:sz w:val="18"/>
                <w:szCs w:val="18"/>
                <w:vertAlign w:val="subscript"/>
              </w:rPr>
              <w:t>t-1</w:t>
            </w: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r w:rsidRPr="00444885">
              <w:rPr>
                <w:rFonts w:ascii="Garamond" w:hAnsi="Garamond" w:hint="eastAsia"/>
                <w:color w:val="000000"/>
                <w:sz w:val="20"/>
                <w:szCs w:val="20"/>
              </w:rPr>
              <w:t>-0.0298</w:t>
            </w: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r w:rsidRPr="00444885">
              <w:rPr>
                <w:rFonts w:ascii="Garamond" w:hAnsi="Garamond" w:hint="eastAsia"/>
                <w:color w:val="000000"/>
                <w:sz w:val="20"/>
                <w:szCs w:val="20"/>
              </w:rPr>
              <w:t>-0.0366</w:t>
            </w: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p>
        </w:tc>
      </w:tr>
      <w:tr w:rsidR="00583BD3" w:rsidRPr="00812847" w:rsidTr="000727E8">
        <w:trPr>
          <w:trHeight w:hRule="exact" w:val="255"/>
        </w:trPr>
        <w:tc>
          <w:tcPr>
            <w:tcW w:w="0" w:type="auto"/>
            <w:shd w:val="clear" w:color="auto" w:fill="auto"/>
            <w:noWrap/>
            <w:hideMark/>
          </w:tcPr>
          <w:p w:rsidR="00583BD3" w:rsidRPr="00905DE4" w:rsidRDefault="00583BD3" w:rsidP="000727E8">
            <w:pPr>
              <w:jc w:val="center"/>
              <w:rPr>
                <w:rFonts w:ascii="Garamond" w:hAnsi="Garamond" w:cs="Calibri"/>
                <w:color w:val="000000" w:themeColor="text1"/>
                <w:sz w:val="20"/>
                <w:szCs w:val="20"/>
              </w:rPr>
            </w:pP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r w:rsidRPr="00444885">
              <w:rPr>
                <w:rFonts w:ascii="Garamond" w:hAnsi="Garamond" w:hint="eastAsia"/>
                <w:color w:val="000000"/>
                <w:sz w:val="20"/>
                <w:szCs w:val="20"/>
              </w:rPr>
              <w:t>(-0.73)</w:t>
            </w: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r w:rsidRPr="00444885">
              <w:rPr>
                <w:rFonts w:ascii="Garamond" w:hAnsi="Garamond" w:hint="eastAsia"/>
                <w:color w:val="000000"/>
                <w:sz w:val="20"/>
                <w:szCs w:val="20"/>
              </w:rPr>
              <w:t>(-0.88)</w:t>
            </w: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p>
        </w:tc>
      </w:tr>
      <w:tr w:rsidR="00583BD3" w:rsidRPr="00812847" w:rsidTr="000727E8">
        <w:trPr>
          <w:trHeight w:hRule="exact" w:val="255"/>
        </w:trPr>
        <w:tc>
          <w:tcPr>
            <w:tcW w:w="0" w:type="auto"/>
            <w:shd w:val="clear" w:color="auto" w:fill="auto"/>
            <w:noWrap/>
            <w:hideMark/>
          </w:tcPr>
          <w:p w:rsidR="00583BD3" w:rsidRPr="00905DE4" w:rsidRDefault="00583BD3" w:rsidP="000727E8">
            <w:pPr>
              <w:jc w:val="center"/>
              <w:rPr>
                <w:rFonts w:ascii="Garamond" w:hAnsi="Garamond" w:cs="Calibri"/>
                <w:color w:val="000000" w:themeColor="text1"/>
                <w:sz w:val="20"/>
                <w:szCs w:val="20"/>
              </w:rPr>
            </w:pPr>
            <w:r w:rsidRPr="00905DE4">
              <w:rPr>
                <w:rFonts w:ascii="Garamond" w:hAnsi="Garamond" w:cs="Calibri"/>
                <w:color w:val="000000" w:themeColor="text1"/>
                <w:sz w:val="20"/>
                <w:szCs w:val="20"/>
              </w:rPr>
              <w:t>Board Aggregate Diversity</w:t>
            </w:r>
            <w:r>
              <w:rPr>
                <w:rFonts w:ascii="Garamond" w:hAnsi="Garamond" w:cs="Calibri"/>
                <w:color w:val="000000"/>
                <w:sz w:val="18"/>
                <w:szCs w:val="18"/>
                <w:vertAlign w:val="subscript"/>
              </w:rPr>
              <w:t>t-1</w:t>
            </w: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r w:rsidRPr="00444885">
              <w:rPr>
                <w:rFonts w:ascii="Garamond" w:hAnsi="Garamond" w:hint="eastAsia"/>
                <w:color w:val="000000"/>
                <w:sz w:val="20"/>
                <w:szCs w:val="20"/>
              </w:rPr>
              <w:t>0.000317</w:t>
            </w:r>
          </w:p>
        </w:tc>
      </w:tr>
      <w:tr w:rsidR="00583BD3" w:rsidRPr="00812847" w:rsidTr="000727E8">
        <w:trPr>
          <w:trHeight w:hRule="exact" w:val="255"/>
        </w:trPr>
        <w:tc>
          <w:tcPr>
            <w:tcW w:w="0" w:type="auto"/>
            <w:shd w:val="clear" w:color="auto" w:fill="auto"/>
            <w:noWrap/>
            <w:hideMark/>
          </w:tcPr>
          <w:p w:rsidR="00583BD3" w:rsidRPr="00D14B9E" w:rsidRDefault="00583BD3" w:rsidP="000727E8">
            <w:pPr>
              <w:jc w:val="center"/>
              <w:rPr>
                <w:rFonts w:ascii="Garamond" w:hAnsi="Garamond" w:cs="Calibri"/>
                <w:color w:val="000000"/>
                <w:sz w:val="18"/>
                <w:szCs w:val="18"/>
              </w:rPr>
            </w:pP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r w:rsidRPr="00444885">
              <w:rPr>
                <w:rFonts w:ascii="Garamond" w:hAnsi="Garamond" w:hint="eastAsia"/>
                <w:color w:val="000000"/>
                <w:sz w:val="20"/>
                <w:szCs w:val="20"/>
              </w:rPr>
              <w:t>(0.04)</w:t>
            </w:r>
          </w:p>
        </w:tc>
      </w:tr>
      <w:tr w:rsidR="00583BD3" w:rsidRPr="00812847" w:rsidTr="000727E8">
        <w:trPr>
          <w:trHeight w:hRule="exact" w:val="255"/>
        </w:trPr>
        <w:tc>
          <w:tcPr>
            <w:tcW w:w="0" w:type="auto"/>
            <w:shd w:val="clear" w:color="auto" w:fill="auto"/>
            <w:noWrap/>
            <w:hideMark/>
          </w:tcPr>
          <w:p w:rsidR="00583BD3" w:rsidRPr="00063022" w:rsidRDefault="00583BD3" w:rsidP="000727E8">
            <w:pPr>
              <w:jc w:val="center"/>
              <w:rPr>
                <w:rFonts w:ascii="Garamond" w:hAnsi="Garamond" w:cs="Calibri"/>
                <w:color w:val="000000" w:themeColor="text1"/>
                <w:sz w:val="20"/>
                <w:szCs w:val="20"/>
              </w:rPr>
            </w:pPr>
            <w:r w:rsidRPr="00063022">
              <w:rPr>
                <w:rFonts w:ascii="Garamond" w:hAnsi="Garamond" w:cs="Calibri"/>
                <w:color w:val="000000" w:themeColor="text1"/>
                <w:sz w:val="20"/>
                <w:szCs w:val="20"/>
              </w:rPr>
              <w:t>Constant</w:t>
            </w: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r w:rsidRPr="00444885">
              <w:rPr>
                <w:rFonts w:ascii="Garamond" w:hAnsi="Garamond" w:hint="eastAsia"/>
                <w:color w:val="000000"/>
                <w:sz w:val="20"/>
                <w:szCs w:val="20"/>
              </w:rPr>
              <w:t>-0.397</w:t>
            </w: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r w:rsidRPr="00444885">
              <w:rPr>
                <w:rFonts w:ascii="Garamond" w:hAnsi="Garamond" w:hint="eastAsia"/>
                <w:color w:val="000000"/>
                <w:sz w:val="20"/>
                <w:szCs w:val="20"/>
              </w:rPr>
              <w:t>-0.383</w:t>
            </w: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r w:rsidRPr="00444885">
              <w:rPr>
                <w:rFonts w:ascii="Garamond" w:hAnsi="Garamond" w:hint="eastAsia"/>
                <w:color w:val="000000"/>
                <w:sz w:val="20"/>
                <w:szCs w:val="20"/>
              </w:rPr>
              <w:t>-0.410</w:t>
            </w: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r w:rsidRPr="00444885">
              <w:rPr>
                <w:rFonts w:ascii="Garamond" w:hAnsi="Garamond" w:hint="eastAsia"/>
                <w:color w:val="000000"/>
                <w:sz w:val="20"/>
                <w:szCs w:val="20"/>
              </w:rPr>
              <w:t>-0.401</w:t>
            </w: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r w:rsidRPr="00444885">
              <w:rPr>
                <w:rFonts w:ascii="Garamond" w:hAnsi="Garamond" w:hint="eastAsia"/>
                <w:color w:val="000000"/>
                <w:sz w:val="20"/>
                <w:szCs w:val="20"/>
              </w:rPr>
              <w:t>-0.400</w:t>
            </w: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r w:rsidRPr="00444885">
              <w:rPr>
                <w:rFonts w:ascii="Garamond" w:hAnsi="Garamond" w:hint="eastAsia"/>
                <w:color w:val="000000"/>
                <w:sz w:val="20"/>
                <w:szCs w:val="20"/>
              </w:rPr>
              <w:t>-0.399</w:t>
            </w:r>
          </w:p>
        </w:tc>
      </w:tr>
      <w:tr w:rsidR="00583BD3" w:rsidRPr="00812847" w:rsidTr="000727E8">
        <w:trPr>
          <w:trHeight w:hRule="exact" w:val="255"/>
        </w:trPr>
        <w:tc>
          <w:tcPr>
            <w:tcW w:w="0" w:type="auto"/>
            <w:tcBorders>
              <w:bottom w:val="single" w:sz="4" w:space="0" w:color="auto"/>
            </w:tcBorders>
            <w:shd w:val="clear" w:color="auto" w:fill="auto"/>
            <w:noWrap/>
            <w:hideMark/>
          </w:tcPr>
          <w:p w:rsidR="00583BD3" w:rsidRPr="00063022" w:rsidRDefault="00583BD3" w:rsidP="000727E8">
            <w:pPr>
              <w:jc w:val="center"/>
              <w:rPr>
                <w:rFonts w:ascii="Garamond" w:hAnsi="Garamond" w:cs="Calibri"/>
                <w:color w:val="000000" w:themeColor="text1"/>
                <w:sz w:val="20"/>
                <w:szCs w:val="20"/>
              </w:rPr>
            </w:pPr>
          </w:p>
        </w:tc>
        <w:tc>
          <w:tcPr>
            <w:tcW w:w="0" w:type="auto"/>
            <w:tcBorders>
              <w:bottom w:val="single" w:sz="4" w:space="0" w:color="auto"/>
            </w:tcBorders>
            <w:shd w:val="clear" w:color="auto" w:fill="auto"/>
            <w:noWrap/>
            <w:vAlign w:val="center"/>
            <w:hideMark/>
          </w:tcPr>
          <w:p w:rsidR="00583BD3" w:rsidRPr="00444885" w:rsidRDefault="00583BD3" w:rsidP="000727E8">
            <w:pPr>
              <w:jc w:val="center"/>
              <w:rPr>
                <w:rFonts w:ascii="Garamond" w:hAnsi="Garamond"/>
                <w:color w:val="000000"/>
                <w:sz w:val="20"/>
                <w:szCs w:val="20"/>
              </w:rPr>
            </w:pPr>
            <w:r w:rsidRPr="00444885">
              <w:rPr>
                <w:rFonts w:ascii="Garamond" w:hAnsi="Garamond" w:hint="eastAsia"/>
                <w:color w:val="000000"/>
                <w:sz w:val="20"/>
                <w:szCs w:val="20"/>
              </w:rPr>
              <w:t>(-1.36)</w:t>
            </w:r>
          </w:p>
        </w:tc>
        <w:tc>
          <w:tcPr>
            <w:tcW w:w="0" w:type="auto"/>
            <w:tcBorders>
              <w:bottom w:val="single" w:sz="4" w:space="0" w:color="auto"/>
            </w:tcBorders>
            <w:shd w:val="clear" w:color="auto" w:fill="auto"/>
            <w:noWrap/>
            <w:vAlign w:val="center"/>
            <w:hideMark/>
          </w:tcPr>
          <w:p w:rsidR="00583BD3" w:rsidRPr="00444885" w:rsidRDefault="00583BD3" w:rsidP="000727E8">
            <w:pPr>
              <w:jc w:val="center"/>
              <w:rPr>
                <w:rFonts w:ascii="Garamond" w:hAnsi="Garamond"/>
                <w:color w:val="000000"/>
                <w:sz w:val="20"/>
                <w:szCs w:val="20"/>
              </w:rPr>
            </w:pPr>
            <w:r w:rsidRPr="00444885">
              <w:rPr>
                <w:rFonts w:ascii="Garamond" w:hAnsi="Garamond" w:hint="eastAsia"/>
                <w:color w:val="000000"/>
                <w:sz w:val="20"/>
                <w:szCs w:val="20"/>
              </w:rPr>
              <w:t>(-1.35)</w:t>
            </w:r>
          </w:p>
        </w:tc>
        <w:tc>
          <w:tcPr>
            <w:tcW w:w="0" w:type="auto"/>
            <w:tcBorders>
              <w:bottom w:val="single" w:sz="4" w:space="0" w:color="auto"/>
            </w:tcBorders>
            <w:shd w:val="clear" w:color="auto" w:fill="auto"/>
            <w:noWrap/>
            <w:vAlign w:val="center"/>
            <w:hideMark/>
          </w:tcPr>
          <w:p w:rsidR="00583BD3" w:rsidRPr="00444885" w:rsidRDefault="00583BD3" w:rsidP="000727E8">
            <w:pPr>
              <w:jc w:val="center"/>
              <w:rPr>
                <w:rFonts w:ascii="Garamond" w:hAnsi="Garamond"/>
                <w:color w:val="000000"/>
                <w:sz w:val="20"/>
                <w:szCs w:val="20"/>
              </w:rPr>
            </w:pPr>
            <w:r w:rsidRPr="00444885">
              <w:rPr>
                <w:rFonts w:ascii="Garamond" w:hAnsi="Garamond" w:hint="eastAsia"/>
                <w:color w:val="000000"/>
                <w:sz w:val="20"/>
                <w:szCs w:val="20"/>
              </w:rPr>
              <w:t>(-1.39)</w:t>
            </w:r>
          </w:p>
        </w:tc>
        <w:tc>
          <w:tcPr>
            <w:tcW w:w="0" w:type="auto"/>
            <w:tcBorders>
              <w:bottom w:val="single" w:sz="4" w:space="0" w:color="auto"/>
            </w:tcBorders>
            <w:shd w:val="clear" w:color="auto" w:fill="auto"/>
            <w:noWrap/>
            <w:vAlign w:val="center"/>
            <w:hideMark/>
          </w:tcPr>
          <w:p w:rsidR="00583BD3" w:rsidRPr="00444885" w:rsidRDefault="00583BD3" w:rsidP="000727E8">
            <w:pPr>
              <w:jc w:val="center"/>
              <w:rPr>
                <w:rFonts w:ascii="Garamond" w:hAnsi="Garamond"/>
                <w:color w:val="000000"/>
                <w:sz w:val="20"/>
                <w:szCs w:val="20"/>
              </w:rPr>
            </w:pPr>
            <w:r w:rsidRPr="00444885">
              <w:rPr>
                <w:rFonts w:ascii="Garamond" w:hAnsi="Garamond" w:hint="eastAsia"/>
                <w:color w:val="000000"/>
                <w:sz w:val="20"/>
                <w:szCs w:val="20"/>
              </w:rPr>
              <w:t>(-1.36)</w:t>
            </w:r>
          </w:p>
        </w:tc>
        <w:tc>
          <w:tcPr>
            <w:tcW w:w="0" w:type="auto"/>
            <w:tcBorders>
              <w:bottom w:val="single" w:sz="4" w:space="0" w:color="auto"/>
            </w:tcBorders>
            <w:shd w:val="clear" w:color="auto" w:fill="auto"/>
            <w:noWrap/>
            <w:vAlign w:val="center"/>
            <w:hideMark/>
          </w:tcPr>
          <w:p w:rsidR="00583BD3" w:rsidRPr="00444885" w:rsidRDefault="00583BD3" w:rsidP="000727E8">
            <w:pPr>
              <w:jc w:val="center"/>
              <w:rPr>
                <w:rFonts w:ascii="Garamond" w:hAnsi="Garamond"/>
                <w:color w:val="000000"/>
                <w:sz w:val="20"/>
                <w:szCs w:val="20"/>
              </w:rPr>
            </w:pPr>
            <w:r w:rsidRPr="00444885">
              <w:rPr>
                <w:rFonts w:ascii="Garamond" w:hAnsi="Garamond" w:hint="eastAsia"/>
                <w:color w:val="000000"/>
                <w:sz w:val="20"/>
                <w:szCs w:val="20"/>
              </w:rPr>
              <w:t>(-1.38)</w:t>
            </w:r>
          </w:p>
        </w:tc>
        <w:tc>
          <w:tcPr>
            <w:tcW w:w="0" w:type="auto"/>
            <w:tcBorders>
              <w:bottom w:val="single" w:sz="4" w:space="0" w:color="auto"/>
            </w:tcBorders>
            <w:shd w:val="clear" w:color="auto" w:fill="auto"/>
            <w:noWrap/>
            <w:vAlign w:val="center"/>
            <w:hideMark/>
          </w:tcPr>
          <w:p w:rsidR="00583BD3" w:rsidRPr="00444885" w:rsidRDefault="00583BD3" w:rsidP="000727E8">
            <w:pPr>
              <w:jc w:val="center"/>
              <w:rPr>
                <w:rFonts w:ascii="Garamond" w:hAnsi="Garamond"/>
                <w:color w:val="000000"/>
                <w:sz w:val="20"/>
                <w:szCs w:val="20"/>
              </w:rPr>
            </w:pPr>
            <w:r w:rsidRPr="00444885">
              <w:rPr>
                <w:rFonts w:ascii="Garamond" w:hAnsi="Garamond" w:hint="eastAsia"/>
                <w:color w:val="000000"/>
                <w:sz w:val="20"/>
                <w:szCs w:val="20"/>
              </w:rPr>
              <w:t>(-1.42)</w:t>
            </w:r>
          </w:p>
        </w:tc>
      </w:tr>
      <w:tr w:rsidR="00583BD3" w:rsidRPr="00812847" w:rsidTr="000727E8">
        <w:trPr>
          <w:trHeight w:hRule="exact" w:val="255"/>
        </w:trPr>
        <w:tc>
          <w:tcPr>
            <w:tcW w:w="0" w:type="auto"/>
            <w:tcBorders>
              <w:top w:val="single" w:sz="4" w:space="0" w:color="auto"/>
              <w:bottom w:val="nil"/>
            </w:tcBorders>
            <w:shd w:val="clear" w:color="auto" w:fill="auto"/>
            <w:noWrap/>
            <w:hideMark/>
          </w:tcPr>
          <w:p w:rsidR="00583BD3" w:rsidRPr="00063022" w:rsidRDefault="00583BD3" w:rsidP="000727E8">
            <w:pPr>
              <w:jc w:val="center"/>
              <w:rPr>
                <w:rFonts w:ascii="Garamond" w:hAnsi="Garamond" w:cs="Calibri"/>
                <w:color w:val="000000" w:themeColor="text1"/>
                <w:sz w:val="20"/>
                <w:szCs w:val="20"/>
              </w:rPr>
            </w:pPr>
            <w:r w:rsidRPr="00063022">
              <w:rPr>
                <w:rFonts w:ascii="Garamond" w:hAnsi="Garamond" w:cs="Calibri"/>
                <w:color w:val="000000" w:themeColor="text1"/>
                <w:sz w:val="20"/>
                <w:szCs w:val="20"/>
              </w:rPr>
              <w:t>Year Fixed Effects</w:t>
            </w:r>
          </w:p>
        </w:tc>
        <w:tc>
          <w:tcPr>
            <w:tcW w:w="0" w:type="auto"/>
            <w:tcBorders>
              <w:top w:val="single" w:sz="4" w:space="0" w:color="auto"/>
              <w:bottom w:val="nil"/>
            </w:tcBorders>
            <w:shd w:val="clear" w:color="auto" w:fill="auto"/>
            <w:noWrap/>
            <w:hideMark/>
          </w:tcPr>
          <w:p w:rsidR="00583BD3" w:rsidRPr="00063022" w:rsidRDefault="00583BD3" w:rsidP="000727E8">
            <w:pPr>
              <w:jc w:val="center"/>
              <w:rPr>
                <w:rFonts w:ascii="Garamond" w:hAnsi="Garamond" w:cs="Calibri"/>
                <w:color w:val="000000" w:themeColor="text1"/>
                <w:sz w:val="20"/>
                <w:szCs w:val="20"/>
              </w:rPr>
            </w:pPr>
            <w:r w:rsidRPr="00063022">
              <w:rPr>
                <w:rFonts w:ascii="Garamond" w:hAnsi="Garamond" w:cs="Calibri"/>
                <w:color w:val="000000" w:themeColor="text1"/>
                <w:sz w:val="20"/>
                <w:szCs w:val="20"/>
              </w:rPr>
              <w:t>Yes</w:t>
            </w:r>
          </w:p>
        </w:tc>
        <w:tc>
          <w:tcPr>
            <w:tcW w:w="0" w:type="auto"/>
            <w:tcBorders>
              <w:top w:val="single" w:sz="4" w:space="0" w:color="auto"/>
              <w:bottom w:val="nil"/>
            </w:tcBorders>
            <w:shd w:val="clear" w:color="auto" w:fill="auto"/>
            <w:noWrap/>
            <w:hideMark/>
          </w:tcPr>
          <w:p w:rsidR="00583BD3" w:rsidRPr="00063022" w:rsidRDefault="00583BD3" w:rsidP="000727E8">
            <w:pPr>
              <w:jc w:val="center"/>
              <w:rPr>
                <w:rFonts w:ascii="Garamond" w:hAnsi="Garamond" w:cs="Calibri"/>
                <w:color w:val="000000" w:themeColor="text1"/>
                <w:sz w:val="20"/>
                <w:szCs w:val="20"/>
              </w:rPr>
            </w:pPr>
            <w:r w:rsidRPr="00063022">
              <w:rPr>
                <w:rFonts w:ascii="Garamond" w:hAnsi="Garamond" w:cs="Calibri"/>
                <w:color w:val="000000" w:themeColor="text1"/>
                <w:sz w:val="20"/>
                <w:szCs w:val="20"/>
              </w:rPr>
              <w:t>Yes</w:t>
            </w:r>
          </w:p>
        </w:tc>
        <w:tc>
          <w:tcPr>
            <w:tcW w:w="0" w:type="auto"/>
            <w:tcBorders>
              <w:top w:val="single" w:sz="4" w:space="0" w:color="auto"/>
              <w:bottom w:val="nil"/>
            </w:tcBorders>
            <w:shd w:val="clear" w:color="auto" w:fill="auto"/>
            <w:noWrap/>
            <w:hideMark/>
          </w:tcPr>
          <w:p w:rsidR="00583BD3" w:rsidRPr="00063022" w:rsidRDefault="00583BD3" w:rsidP="000727E8">
            <w:pPr>
              <w:jc w:val="center"/>
              <w:rPr>
                <w:rFonts w:ascii="Garamond" w:hAnsi="Garamond" w:cs="Calibri"/>
                <w:color w:val="000000" w:themeColor="text1"/>
                <w:sz w:val="20"/>
                <w:szCs w:val="20"/>
              </w:rPr>
            </w:pPr>
            <w:r w:rsidRPr="00063022">
              <w:rPr>
                <w:rFonts w:ascii="Garamond" w:hAnsi="Garamond" w:cs="Calibri"/>
                <w:color w:val="000000" w:themeColor="text1"/>
                <w:sz w:val="20"/>
                <w:szCs w:val="20"/>
              </w:rPr>
              <w:t>Yes</w:t>
            </w:r>
          </w:p>
        </w:tc>
        <w:tc>
          <w:tcPr>
            <w:tcW w:w="0" w:type="auto"/>
            <w:tcBorders>
              <w:top w:val="single" w:sz="4" w:space="0" w:color="auto"/>
              <w:bottom w:val="nil"/>
            </w:tcBorders>
            <w:shd w:val="clear" w:color="auto" w:fill="auto"/>
            <w:noWrap/>
            <w:hideMark/>
          </w:tcPr>
          <w:p w:rsidR="00583BD3" w:rsidRPr="00063022" w:rsidRDefault="00583BD3" w:rsidP="000727E8">
            <w:pPr>
              <w:jc w:val="center"/>
              <w:rPr>
                <w:rFonts w:ascii="Garamond" w:hAnsi="Garamond" w:cs="Calibri"/>
                <w:color w:val="000000" w:themeColor="text1"/>
                <w:sz w:val="20"/>
                <w:szCs w:val="20"/>
              </w:rPr>
            </w:pPr>
            <w:r w:rsidRPr="00063022">
              <w:rPr>
                <w:rFonts w:ascii="Garamond" w:hAnsi="Garamond" w:cs="Calibri"/>
                <w:color w:val="000000" w:themeColor="text1"/>
                <w:sz w:val="20"/>
                <w:szCs w:val="20"/>
              </w:rPr>
              <w:t>Yes</w:t>
            </w:r>
          </w:p>
        </w:tc>
        <w:tc>
          <w:tcPr>
            <w:tcW w:w="0" w:type="auto"/>
            <w:tcBorders>
              <w:top w:val="single" w:sz="4" w:space="0" w:color="auto"/>
              <w:bottom w:val="nil"/>
            </w:tcBorders>
            <w:shd w:val="clear" w:color="auto" w:fill="auto"/>
            <w:noWrap/>
            <w:hideMark/>
          </w:tcPr>
          <w:p w:rsidR="00583BD3" w:rsidRPr="00063022" w:rsidRDefault="00583BD3" w:rsidP="000727E8">
            <w:pPr>
              <w:jc w:val="center"/>
              <w:rPr>
                <w:rFonts w:ascii="Garamond" w:hAnsi="Garamond" w:cs="Calibri"/>
                <w:color w:val="000000" w:themeColor="text1"/>
                <w:sz w:val="20"/>
                <w:szCs w:val="20"/>
              </w:rPr>
            </w:pPr>
            <w:r w:rsidRPr="00063022">
              <w:rPr>
                <w:rFonts w:ascii="Garamond" w:hAnsi="Garamond" w:cs="Calibri"/>
                <w:color w:val="000000" w:themeColor="text1"/>
                <w:sz w:val="20"/>
                <w:szCs w:val="20"/>
              </w:rPr>
              <w:t>Yes</w:t>
            </w:r>
          </w:p>
        </w:tc>
        <w:tc>
          <w:tcPr>
            <w:tcW w:w="0" w:type="auto"/>
            <w:tcBorders>
              <w:top w:val="single" w:sz="4" w:space="0" w:color="auto"/>
              <w:bottom w:val="nil"/>
            </w:tcBorders>
            <w:shd w:val="clear" w:color="auto" w:fill="auto"/>
            <w:noWrap/>
            <w:hideMark/>
          </w:tcPr>
          <w:p w:rsidR="00583BD3" w:rsidRPr="00063022" w:rsidRDefault="00583BD3" w:rsidP="000727E8">
            <w:pPr>
              <w:jc w:val="center"/>
              <w:rPr>
                <w:rFonts w:ascii="Garamond" w:hAnsi="Garamond" w:cs="Calibri"/>
                <w:color w:val="000000" w:themeColor="text1"/>
                <w:sz w:val="20"/>
                <w:szCs w:val="20"/>
              </w:rPr>
            </w:pPr>
            <w:r w:rsidRPr="00063022">
              <w:rPr>
                <w:rFonts w:ascii="Garamond" w:hAnsi="Garamond" w:cs="Calibri"/>
                <w:color w:val="000000" w:themeColor="text1"/>
                <w:sz w:val="20"/>
                <w:szCs w:val="20"/>
              </w:rPr>
              <w:t>Yes</w:t>
            </w:r>
          </w:p>
        </w:tc>
      </w:tr>
      <w:tr w:rsidR="00583BD3" w:rsidRPr="00812847" w:rsidTr="000727E8">
        <w:trPr>
          <w:trHeight w:hRule="exact" w:val="255"/>
        </w:trPr>
        <w:tc>
          <w:tcPr>
            <w:tcW w:w="0" w:type="auto"/>
            <w:tcBorders>
              <w:top w:val="nil"/>
            </w:tcBorders>
            <w:shd w:val="clear" w:color="auto" w:fill="auto"/>
            <w:noWrap/>
            <w:hideMark/>
          </w:tcPr>
          <w:p w:rsidR="00583BD3" w:rsidRPr="00063022" w:rsidRDefault="00583BD3" w:rsidP="000727E8">
            <w:pPr>
              <w:jc w:val="center"/>
              <w:rPr>
                <w:rFonts w:ascii="Garamond" w:hAnsi="Garamond" w:cs="Calibri"/>
                <w:color w:val="000000" w:themeColor="text1"/>
                <w:sz w:val="20"/>
                <w:szCs w:val="20"/>
              </w:rPr>
            </w:pPr>
            <w:r w:rsidRPr="00063022">
              <w:rPr>
                <w:rFonts w:ascii="Garamond" w:hAnsi="Garamond" w:cs="Calibri"/>
                <w:color w:val="000000" w:themeColor="text1"/>
                <w:sz w:val="20"/>
                <w:szCs w:val="20"/>
              </w:rPr>
              <w:t>Firm Fixed Effects</w:t>
            </w:r>
          </w:p>
        </w:tc>
        <w:tc>
          <w:tcPr>
            <w:tcW w:w="0" w:type="auto"/>
            <w:tcBorders>
              <w:top w:val="nil"/>
            </w:tcBorders>
            <w:shd w:val="clear" w:color="auto" w:fill="auto"/>
            <w:noWrap/>
            <w:hideMark/>
          </w:tcPr>
          <w:p w:rsidR="00583BD3" w:rsidRPr="00063022" w:rsidRDefault="00583BD3" w:rsidP="000727E8">
            <w:pPr>
              <w:jc w:val="center"/>
              <w:rPr>
                <w:rFonts w:ascii="Garamond" w:hAnsi="Garamond" w:cs="Calibri"/>
                <w:color w:val="000000" w:themeColor="text1"/>
                <w:sz w:val="20"/>
                <w:szCs w:val="20"/>
              </w:rPr>
            </w:pPr>
            <w:r w:rsidRPr="00063022">
              <w:rPr>
                <w:rFonts w:ascii="Garamond" w:hAnsi="Garamond" w:cs="Calibri"/>
                <w:color w:val="000000" w:themeColor="text1"/>
                <w:sz w:val="20"/>
                <w:szCs w:val="20"/>
              </w:rPr>
              <w:t>Yes</w:t>
            </w:r>
          </w:p>
        </w:tc>
        <w:tc>
          <w:tcPr>
            <w:tcW w:w="0" w:type="auto"/>
            <w:tcBorders>
              <w:top w:val="nil"/>
            </w:tcBorders>
            <w:shd w:val="clear" w:color="auto" w:fill="auto"/>
            <w:noWrap/>
            <w:hideMark/>
          </w:tcPr>
          <w:p w:rsidR="00583BD3" w:rsidRPr="00063022" w:rsidRDefault="00583BD3" w:rsidP="000727E8">
            <w:pPr>
              <w:jc w:val="center"/>
              <w:rPr>
                <w:rFonts w:ascii="Garamond" w:hAnsi="Garamond" w:cs="Calibri"/>
                <w:color w:val="000000" w:themeColor="text1"/>
                <w:sz w:val="20"/>
                <w:szCs w:val="20"/>
              </w:rPr>
            </w:pPr>
            <w:r w:rsidRPr="00063022">
              <w:rPr>
                <w:rFonts w:ascii="Garamond" w:hAnsi="Garamond" w:cs="Calibri"/>
                <w:color w:val="000000" w:themeColor="text1"/>
                <w:sz w:val="20"/>
                <w:szCs w:val="20"/>
              </w:rPr>
              <w:t>Yes</w:t>
            </w:r>
          </w:p>
        </w:tc>
        <w:tc>
          <w:tcPr>
            <w:tcW w:w="0" w:type="auto"/>
            <w:tcBorders>
              <w:top w:val="nil"/>
            </w:tcBorders>
            <w:shd w:val="clear" w:color="auto" w:fill="auto"/>
            <w:noWrap/>
            <w:hideMark/>
          </w:tcPr>
          <w:p w:rsidR="00583BD3" w:rsidRPr="00063022" w:rsidRDefault="00583BD3" w:rsidP="000727E8">
            <w:pPr>
              <w:jc w:val="center"/>
              <w:rPr>
                <w:rFonts w:ascii="Garamond" w:hAnsi="Garamond" w:cs="Calibri"/>
                <w:color w:val="000000" w:themeColor="text1"/>
                <w:sz w:val="20"/>
                <w:szCs w:val="20"/>
              </w:rPr>
            </w:pPr>
            <w:r w:rsidRPr="00063022">
              <w:rPr>
                <w:rFonts w:ascii="Garamond" w:hAnsi="Garamond" w:cs="Calibri"/>
                <w:color w:val="000000" w:themeColor="text1"/>
                <w:sz w:val="20"/>
                <w:szCs w:val="20"/>
              </w:rPr>
              <w:t>Yes</w:t>
            </w:r>
          </w:p>
        </w:tc>
        <w:tc>
          <w:tcPr>
            <w:tcW w:w="0" w:type="auto"/>
            <w:tcBorders>
              <w:top w:val="nil"/>
            </w:tcBorders>
            <w:shd w:val="clear" w:color="auto" w:fill="auto"/>
            <w:noWrap/>
            <w:hideMark/>
          </w:tcPr>
          <w:p w:rsidR="00583BD3" w:rsidRPr="00063022" w:rsidRDefault="00583BD3" w:rsidP="000727E8">
            <w:pPr>
              <w:jc w:val="center"/>
              <w:rPr>
                <w:rFonts w:ascii="Garamond" w:hAnsi="Garamond" w:cs="Calibri"/>
                <w:color w:val="000000" w:themeColor="text1"/>
                <w:sz w:val="20"/>
                <w:szCs w:val="20"/>
              </w:rPr>
            </w:pPr>
            <w:r w:rsidRPr="00063022">
              <w:rPr>
                <w:rFonts w:ascii="Garamond" w:hAnsi="Garamond" w:cs="Calibri"/>
                <w:color w:val="000000" w:themeColor="text1"/>
                <w:sz w:val="20"/>
                <w:szCs w:val="20"/>
              </w:rPr>
              <w:t>Yes</w:t>
            </w:r>
          </w:p>
        </w:tc>
        <w:tc>
          <w:tcPr>
            <w:tcW w:w="0" w:type="auto"/>
            <w:tcBorders>
              <w:top w:val="nil"/>
            </w:tcBorders>
            <w:shd w:val="clear" w:color="auto" w:fill="auto"/>
            <w:noWrap/>
            <w:hideMark/>
          </w:tcPr>
          <w:p w:rsidR="00583BD3" w:rsidRPr="00063022" w:rsidRDefault="00583BD3" w:rsidP="000727E8">
            <w:pPr>
              <w:jc w:val="center"/>
              <w:rPr>
                <w:rFonts w:ascii="Garamond" w:hAnsi="Garamond" w:cs="Calibri"/>
                <w:color w:val="000000" w:themeColor="text1"/>
                <w:sz w:val="20"/>
                <w:szCs w:val="20"/>
              </w:rPr>
            </w:pPr>
            <w:r w:rsidRPr="00063022">
              <w:rPr>
                <w:rFonts w:ascii="Garamond" w:hAnsi="Garamond" w:cs="Calibri"/>
                <w:color w:val="000000" w:themeColor="text1"/>
                <w:sz w:val="20"/>
                <w:szCs w:val="20"/>
              </w:rPr>
              <w:t>Yes</w:t>
            </w:r>
          </w:p>
        </w:tc>
        <w:tc>
          <w:tcPr>
            <w:tcW w:w="0" w:type="auto"/>
            <w:tcBorders>
              <w:top w:val="nil"/>
            </w:tcBorders>
            <w:shd w:val="clear" w:color="auto" w:fill="auto"/>
            <w:noWrap/>
            <w:hideMark/>
          </w:tcPr>
          <w:p w:rsidR="00583BD3" w:rsidRPr="00063022" w:rsidRDefault="00583BD3" w:rsidP="000727E8">
            <w:pPr>
              <w:jc w:val="center"/>
              <w:rPr>
                <w:rFonts w:ascii="Garamond" w:hAnsi="Garamond" w:cs="Calibri"/>
                <w:color w:val="000000" w:themeColor="text1"/>
                <w:sz w:val="20"/>
                <w:szCs w:val="20"/>
              </w:rPr>
            </w:pPr>
            <w:r w:rsidRPr="00063022">
              <w:rPr>
                <w:rFonts w:ascii="Garamond" w:hAnsi="Garamond" w:cs="Calibri"/>
                <w:color w:val="000000" w:themeColor="text1"/>
                <w:sz w:val="20"/>
                <w:szCs w:val="20"/>
              </w:rPr>
              <w:t>Yes</w:t>
            </w:r>
          </w:p>
        </w:tc>
      </w:tr>
      <w:tr w:rsidR="00583BD3" w:rsidRPr="00444885" w:rsidTr="000727E8">
        <w:trPr>
          <w:trHeight w:hRule="exact" w:val="255"/>
        </w:trPr>
        <w:tc>
          <w:tcPr>
            <w:tcW w:w="0" w:type="auto"/>
            <w:shd w:val="clear" w:color="auto" w:fill="auto"/>
            <w:noWrap/>
          </w:tcPr>
          <w:p w:rsidR="00583BD3" w:rsidRPr="00063022" w:rsidRDefault="00583BD3" w:rsidP="000727E8">
            <w:pPr>
              <w:jc w:val="center"/>
              <w:rPr>
                <w:rFonts w:ascii="Garamond" w:hAnsi="Garamond" w:cs="Calibri"/>
                <w:color w:val="000000" w:themeColor="text1"/>
                <w:sz w:val="20"/>
                <w:szCs w:val="20"/>
              </w:rPr>
            </w:pPr>
            <w:r>
              <w:rPr>
                <w:rFonts w:ascii="Garamond" w:hAnsi="Garamond" w:cs="Calibri"/>
                <w:color w:val="000000" w:themeColor="text1"/>
                <w:sz w:val="20"/>
                <w:szCs w:val="20"/>
              </w:rPr>
              <w:t>Control Variables</w:t>
            </w:r>
          </w:p>
        </w:tc>
        <w:tc>
          <w:tcPr>
            <w:tcW w:w="0" w:type="auto"/>
            <w:shd w:val="clear" w:color="auto" w:fill="auto"/>
            <w:noWrap/>
          </w:tcPr>
          <w:p w:rsidR="00583BD3" w:rsidRPr="00444885" w:rsidRDefault="00583BD3" w:rsidP="000727E8">
            <w:pPr>
              <w:jc w:val="center"/>
              <w:rPr>
                <w:rFonts w:ascii="Garamond" w:hAnsi="Garamond"/>
                <w:color w:val="000000"/>
                <w:sz w:val="20"/>
                <w:szCs w:val="20"/>
              </w:rPr>
            </w:pPr>
            <w:r w:rsidRPr="00063022">
              <w:rPr>
                <w:rFonts w:ascii="Garamond" w:hAnsi="Garamond" w:cs="Calibri"/>
                <w:color w:val="000000" w:themeColor="text1"/>
                <w:sz w:val="20"/>
                <w:szCs w:val="20"/>
              </w:rPr>
              <w:t>Yes</w:t>
            </w:r>
          </w:p>
        </w:tc>
        <w:tc>
          <w:tcPr>
            <w:tcW w:w="0" w:type="auto"/>
            <w:shd w:val="clear" w:color="auto" w:fill="auto"/>
            <w:noWrap/>
          </w:tcPr>
          <w:p w:rsidR="00583BD3" w:rsidRPr="00444885" w:rsidRDefault="00583BD3" w:rsidP="000727E8">
            <w:pPr>
              <w:jc w:val="center"/>
              <w:rPr>
                <w:rFonts w:ascii="Garamond" w:hAnsi="Garamond"/>
                <w:color w:val="000000"/>
                <w:sz w:val="20"/>
                <w:szCs w:val="20"/>
              </w:rPr>
            </w:pPr>
            <w:r w:rsidRPr="00063022">
              <w:rPr>
                <w:rFonts w:ascii="Garamond" w:hAnsi="Garamond" w:cs="Calibri"/>
                <w:color w:val="000000" w:themeColor="text1"/>
                <w:sz w:val="20"/>
                <w:szCs w:val="20"/>
              </w:rPr>
              <w:t>Yes</w:t>
            </w:r>
          </w:p>
        </w:tc>
        <w:tc>
          <w:tcPr>
            <w:tcW w:w="0" w:type="auto"/>
            <w:shd w:val="clear" w:color="auto" w:fill="auto"/>
            <w:noWrap/>
          </w:tcPr>
          <w:p w:rsidR="00583BD3" w:rsidRPr="00444885" w:rsidRDefault="00583BD3" w:rsidP="000727E8">
            <w:pPr>
              <w:jc w:val="center"/>
              <w:rPr>
                <w:rFonts w:ascii="Garamond" w:hAnsi="Garamond"/>
                <w:color w:val="000000"/>
                <w:sz w:val="20"/>
                <w:szCs w:val="20"/>
              </w:rPr>
            </w:pPr>
            <w:r w:rsidRPr="00063022">
              <w:rPr>
                <w:rFonts w:ascii="Garamond" w:hAnsi="Garamond" w:cs="Calibri"/>
                <w:color w:val="000000" w:themeColor="text1"/>
                <w:sz w:val="20"/>
                <w:szCs w:val="20"/>
              </w:rPr>
              <w:t>Yes</w:t>
            </w:r>
          </w:p>
        </w:tc>
        <w:tc>
          <w:tcPr>
            <w:tcW w:w="0" w:type="auto"/>
            <w:shd w:val="clear" w:color="auto" w:fill="auto"/>
            <w:noWrap/>
          </w:tcPr>
          <w:p w:rsidR="00583BD3" w:rsidRPr="00444885" w:rsidRDefault="00583BD3" w:rsidP="000727E8">
            <w:pPr>
              <w:jc w:val="center"/>
              <w:rPr>
                <w:rFonts w:ascii="Garamond" w:hAnsi="Garamond"/>
                <w:color w:val="000000"/>
                <w:sz w:val="20"/>
                <w:szCs w:val="20"/>
              </w:rPr>
            </w:pPr>
            <w:r w:rsidRPr="00063022">
              <w:rPr>
                <w:rFonts w:ascii="Garamond" w:hAnsi="Garamond" w:cs="Calibri"/>
                <w:color w:val="000000" w:themeColor="text1"/>
                <w:sz w:val="20"/>
                <w:szCs w:val="20"/>
              </w:rPr>
              <w:t>Yes</w:t>
            </w:r>
          </w:p>
        </w:tc>
        <w:tc>
          <w:tcPr>
            <w:tcW w:w="0" w:type="auto"/>
            <w:shd w:val="clear" w:color="auto" w:fill="auto"/>
            <w:noWrap/>
          </w:tcPr>
          <w:p w:rsidR="00583BD3" w:rsidRPr="00444885" w:rsidRDefault="00583BD3" w:rsidP="000727E8">
            <w:pPr>
              <w:jc w:val="center"/>
              <w:rPr>
                <w:rFonts w:ascii="Garamond" w:hAnsi="Garamond"/>
                <w:color w:val="000000"/>
                <w:sz w:val="20"/>
                <w:szCs w:val="20"/>
              </w:rPr>
            </w:pPr>
            <w:r w:rsidRPr="00063022">
              <w:rPr>
                <w:rFonts w:ascii="Garamond" w:hAnsi="Garamond" w:cs="Calibri"/>
                <w:color w:val="000000" w:themeColor="text1"/>
                <w:sz w:val="20"/>
                <w:szCs w:val="20"/>
              </w:rPr>
              <w:t>Yes</w:t>
            </w:r>
          </w:p>
        </w:tc>
        <w:tc>
          <w:tcPr>
            <w:tcW w:w="0" w:type="auto"/>
            <w:shd w:val="clear" w:color="auto" w:fill="auto"/>
            <w:noWrap/>
          </w:tcPr>
          <w:p w:rsidR="00583BD3" w:rsidRPr="00444885" w:rsidRDefault="00583BD3" w:rsidP="000727E8">
            <w:pPr>
              <w:jc w:val="center"/>
              <w:rPr>
                <w:rFonts w:ascii="Garamond" w:hAnsi="Garamond"/>
                <w:color w:val="000000"/>
                <w:sz w:val="20"/>
                <w:szCs w:val="20"/>
              </w:rPr>
            </w:pPr>
            <w:r w:rsidRPr="00063022">
              <w:rPr>
                <w:rFonts w:ascii="Garamond" w:hAnsi="Garamond" w:cs="Calibri"/>
                <w:color w:val="000000" w:themeColor="text1"/>
                <w:sz w:val="20"/>
                <w:szCs w:val="20"/>
              </w:rPr>
              <w:t>Yes</w:t>
            </w:r>
          </w:p>
        </w:tc>
      </w:tr>
      <w:tr w:rsidR="00583BD3" w:rsidRPr="00444885" w:rsidTr="000727E8">
        <w:trPr>
          <w:trHeight w:hRule="exact" w:val="255"/>
        </w:trPr>
        <w:tc>
          <w:tcPr>
            <w:tcW w:w="0" w:type="auto"/>
            <w:shd w:val="clear" w:color="auto" w:fill="auto"/>
            <w:noWrap/>
            <w:hideMark/>
          </w:tcPr>
          <w:p w:rsidR="00583BD3" w:rsidRPr="00063022" w:rsidRDefault="00583BD3" w:rsidP="000727E8">
            <w:pPr>
              <w:jc w:val="center"/>
              <w:rPr>
                <w:rFonts w:ascii="Garamond" w:hAnsi="Garamond" w:cs="Calibri"/>
                <w:color w:val="000000" w:themeColor="text1"/>
                <w:sz w:val="20"/>
                <w:szCs w:val="20"/>
              </w:rPr>
            </w:pPr>
            <w:proofErr w:type="spellStart"/>
            <w:r w:rsidRPr="00063022">
              <w:rPr>
                <w:rFonts w:ascii="Garamond" w:hAnsi="Garamond" w:cs="Calibri"/>
                <w:color w:val="000000" w:themeColor="text1"/>
                <w:sz w:val="20"/>
                <w:szCs w:val="20"/>
              </w:rPr>
              <w:t>Adj</w:t>
            </w:r>
            <w:proofErr w:type="spellEnd"/>
            <w:r w:rsidRPr="00063022">
              <w:rPr>
                <w:rFonts w:ascii="Garamond" w:hAnsi="Garamond" w:cs="Calibri"/>
                <w:color w:val="000000" w:themeColor="text1"/>
                <w:sz w:val="20"/>
                <w:szCs w:val="20"/>
              </w:rPr>
              <w:t xml:space="preserve"> R-square</w:t>
            </w:r>
          </w:p>
        </w:tc>
        <w:tc>
          <w:tcPr>
            <w:tcW w:w="0" w:type="auto"/>
            <w:shd w:val="clear" w:color="auto" w:fill="auto"/>
            <w:noWrap/>
            <w:vAlign w:val="bottom"/>
            <w:hideMark/>
          </w:tcPr>
          <w:p w:rsidR="00583BD3" w:rsidRPr="00444885" w:rsidRDefault="00583BD3" w:rsidP="000727E8">
            <w:pPr>
              <w:jc w:val="center"/>
              <w:rPr>
                <w:rFonts w:ascii="Garamond" w:hAnsi="Garamond"/>
                <w:color w:val="000000"/>
                <w:sz w:val="20"/>
                <w:szCs w:val="20"/>
              </w:rPr>
            </w:pPr>
            <w:r w:rsidRPr="00444885">
              <w:rPr>
                <w:rFonts w:ascii="Garamond" w:hAnsi="Garamond" w:hint="eastAsia"/>
                <w:color w:val="000000"/>
                <w:sz w:val="20"/>
                <w:szCs w:val="20"/>
              </w:rPr>
              <w:t>0.1635</w:t>
            </w:r>
          </w:p>
        </w:tc>
        <w:tc>
          <w:tcPr>
            <w:tcW w:w="0" w:type="auto"/>
            <w:shd w:val="clear" w:color="auto" w:fill="auto"/>
            <w:noWrap/>
            <w:vAlign w:val="bottom"/>
            <w:hideMark/>
          </w:tcPr>
          <w:p w:rsidR="00583BD3" w:rsidRPr="00444885" w:rsidRDefault="00583BD3" w:rsidP="000727E8">
            <w:pPr>
              <w:jc w:val="center"/>
              <w:rPr>
                <w:rFonts w:ascii="Garamond" w:hAnsi="Garamond"/>
                <w:color w:val="000000"/>
                <w:sz w:val="20"/>
                <w:szCs w:val="20"/>
              </w:rPr>
            </w:pPr>
            <w:r w:rsidRPr="00444885">
              <w:rPr>
                <w:rFonts w:ascii="Garamond" w:hAnsi="Garamond" w:hint="eastAsia"/>
                <w:color w:val="000000"/>
                <w:sz w:val="20"/>
                <w:szCs w:val="20"/>
              </w:rPr>
              <w:t>0.1685</w:t>
            </w:r>
          </w:p>
        </w:tc>
        <w:tc>
          <w:tcPr>
            <w:tcW w:w="0" w:type="auto"/>
            <w:shd w:val="clear" w:color="auto" w:fill="auto"/>
            <w:noWrap/>
            <w:vAlign w:val="bottom"/>
            <w:hideMark/>
          </w:tcPr>
          <w:p w:rsidR="00583BD3" w:rsidRPr="00444885" w:rsidRDefault="00583BD3" w:rsidP="000727E8">
            <w:pPr>
              <w:jc w:val="center"/>
              <w:rPr>
                <w:rFonts w:ascii="Garamond" w:hAnsi="Garamond"/>
                <w:color w:val="000000"/>
                <w:sz w:val="20"/>
                <w:szCs w:val="20"/>
              </w:rPr>
            </w:pPr>
            <w:r w:rsidRPr="00444885">
              <w:rPr>
                <w:rFonts w:ascii="Garamond" w:hAnsi="Garamond" w:hint="eastAsia"/>
                <w:color w:val="000000"/>
                <w:sz w:val="20"/>
                <w:szCs w:val="20"/>
              </w:rPr>
              <w:t>0.1654</w:t>
            </w:r>
          </w:p>
        </w:tc>
        <w:tc>
          <w:tcPr>
            <w:tcW w:w="0" w:type="auto"/>
            <w:shd w:val="clear" w:color="auto" w:fill="auto"/>
            <w:noWrap/>
            <w:vAlign w:val="bottom"/>
            <w:hideMark/>
          </w:tcPr>
          <w:p w:rsidR="00583BD3" w:rsidRPr="00444885" w:rsidRDefault="00583BD3" w:rsidP="000727E8">
            <w:pPr>
              <w:jc w:val="center"/>
              <w:rPr>
                <w:rFonts w:ascii="Garamond" w:hAnsi="Garamond"/>
                <w:color w:val="000000"/>
                <w:sz w:val="20"/>
                <w:szCs w:val="20"/>
              </w:rPr>
            </w:pPr>
            <w:r w:rsidRPr="00444885">
              <w:rPr>
                <w:rFonts w:ascii="Garamond" w:hAnsi="Garamond" w:hint="eastAsia"/>
                <w:color w:val="000000"/>
                <w:sz w:val="20"/>
                <w:szCs w:val="20"/>
              </w:rPr>
              <w:t>0.1645</w:t>
            </w: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r w:rsidRPr="00444885">
              <w:rPr>
                <w:rFonts w:ascii="Garamond" w:hAnsi="Garamond" w:hint="eastAsia"/>
                <w:color w:val="000000"/>
                <w:sz w:val="20"/>
                <w:szCs w:val="20"/>
              </w:rPr>
              <w:t>0.1727</w:t>
            </w:r>
          </w:p>
        </w:tc>
        <w:tc>
          <w:tcPr>
            <w:tcW w:w="0" w:type="auto"/>
            <w:shd w:val="clear" w:color="auto" w:fill="auto"/>
            <w:noWrap/>
            <w:vAlign w:val="center"/>
            <w:hideMark/>
          </w:tcPr>
          <w:p w:rsidR="00583BD3" w:rsidRPr="00444885" w:rsidRDefault="00583BD3" w:rsidP="000727E8">
            <w:pPr>
              <w:jc w:val="center"/>
              <w:rPr>
                <w:rFonts w:ascii="Garamond" w:hAnsi="Garamond"/>
                <w:color w:val="000000"/>
                <w:sz w:val="20"/>
                <w:szCs w:val="20"/>
              </w:rPr>
            </w:pPr>
            <w:r w:rsidRPr="00444885">
              <w:rPr>
                <w:rFonts w:ascii="Garamond" w:hAnsi="Garamond" w:hint="eastAsia"/>
                <w:color w:val="000000"/>
                <w:sz w:val="20"/>
                <w:szCs w:val="20"/>
              </w:rPr>
              <w:t>0.1625</w:t>
            </w:r>
          </w:p>
        </w:tc>
      </w:tr>
      <w:tr w:rsidR="00583BD3" w:rsidRPr="00812847" w:rsidTr="000727E8">
        <w:trPr>
          <w:trHeight w:hRule="exact" w:val="255"/>
        </w:trPr>
        <w:tc>
          <w:tcPr>
            <w:tcW w:w="0" w:type="auto"/>
            <w:shd w:val="clear" w:color="auto" w:fill="auto"/>
            <w:noWrap/>
            <w:hideMark/>
          </w:tcPr>
          <w:p w:rsidR="00583BD3" w:rsidRPr="00063022" w:rsidRDefault="00583BD3" w:rsidP="000727E8">
            <w:pPr>
              <w:jc w:val="center"/>
              <w:rPr>
                <w:rFonts w:ascii="Garamond" w:hAnsi="Garamond" w:cs="Calibri"/>
                <w:color w:val="000000" w:themeColor="text1"/>
                <w:sz w:val="20"/>
                <w:szCs w:val="20"/>
              </w:rPr>
            </w:pPr>
            <w:r w:rsidRPr="00063022">
              <w:rPr>
                <w:rFonts w:ascii="Garamond" w:hAnsi="Garamond" w:cs="Calibri"/>
                <w:color w:val="000000" w:themeColor="text1"/>
                <w:sz w:val="20"/>
                <w:szCs w:val="20"/>
              </w:rPr>
              <w:t>No. of Observation</w:t>
            </w:r>
          </w:p>
        </w:tc>
        <w:tc>
          <w:tcPr>
            <w:tcW w:w="0" w:type="auto"/>
            <w:shd w:val="clear" w:color="auto" w:fill="auto"/>
            <w:noWrap/>
            <w:vAlign w:val="bottom"/>
            <w:hideMark/>
          </w:tcPr>
          <w:p w:rsidR="00583BD3" w:rsidRPr="00063022" w:rsidRDefault="00583BD3" w:rsidP="000727E8">
            <w:pPr>
              <w:jc w:val="center"/>
              <w:rPr>
                <w:rFonts w:ascii="Garamond" w:hAnsi="Garamond" w:cs="Calibri"/>
                <w:color w:val="000000" w:themeColor="text1"/>
                <w:sz w:val="20"/>
                <w:szCs w:val="20"/>
              </w:rPr>
            </w:pPr>
            <w:r w:rsidRPr="00063022">
              <w:rPr>
                <w:rFonts w:ascii="Garamond" w:hAnsi="Garamond"/>
                <w:color w:val="000000"/>
                <w:sz w:val="20"/>
                <w:szCs w:val="20"/>
              </w:rPr>
              <w:t>882</w:t>
            </w:r>
          </w:p>
        </w:tc>
        <w:tc>
          <w:tcPr>
            <w:tcW w:w="0" w:type="auto"/>
            <w:shd w:val="clear" w:color="auto" w:fill="auto"/>
            <w:noWrap/>
            <w:vAlign w:val="bottom"/>
            <w:hideMark/>
          </w:tcPr>
          <w:p w:rsidR="00583BD3" w:rsidRPr="00063022" w:rsidRDefault="00583BD3" w:rsidP="000727E8">
            <w:pPr>
              <w:jc w:val="center"/>
              <w:rPr>
                <w:rFonts w:ascii="Garamond" w:hAnsi="Garamond" w:cs="Calibri"/>
                <w:color w:val="000000" w:themeColor="text1"/>
                <w:sz w:val="20"/>
                <w:szCs w:val="20"/>
              </w:rPr>
            </w:pPr>
            <w:r w:rsidRPr="00063022">
              <w:rPr>
                <w:rFonts w:ascii="Garamond" w:hAnsi="Garamond"/>
                <w:color w:val="000000"/>
                <w:sz w:val="20"/>
                <w:szCs w:val="20"/>
              </w:rPr>
              <w:t>882</w:t>
            </w:r>
          </w:p>
        </w:tc>
        <w:tc>
          <w:tcPr>
            <w:tcW w:w="0" w:type="auto"/>
            <w:shd w:val="clear" w:color="auto" w:fill="auto"/>
            <w:noWrap/>
            <w:vAlign w:val="bottom"/>
            <w:hideMark/>
          </w:tcPr>
          <w:p w:rsidR="00583BD3" w:rsidRPr="00063022" w:rsidRDefault="00583BD3" w:rsidP="000727E8">
            <w:pPr>
              <w:jc w:val="center"/>
              <w:rPr>
                <w:rFonts w:ascii="Garamond" w:hAnsi="Garamond" w:cs="Calibri"/>
                <w:color w:val="000000" w:themeColor="text1"/>
                <w:sz w:val="20"/>
                <w:szCs w:val="20"/>
              </w:rPr>
            </w:pPr>
            <w:r w:rsidRPr="00063022">
              <w:rPr>
                <w:rFonts w:ascii="Garamond" w:hAnsi="Garamond"/>
                <w:color w:val="000000"/>
                <w:sz w:val="20"/>
                <w:szCs w:val="20"/>
              </w:rPr>
              <w:t>882</w:t>
            </w:r>
          </w:p>
        </w:tc>
        <w:tc>
          <w:tcPr>
            <w:tcW w:w="0" w:type="auto"/>
            <w:shd w:val="clear" w:color="auto" w:fill="auto"/>
            <w:noWrap/>
            <w:vAlign w:val="bottom"/>
            <w:hideMark/>
          </w:tcPr>
          <w:p w:rsidR="00583BD3" w:rsidRPr="00063022" w:rsidRDefault="00583BD3" w:rsidP="000727E8">
            <w:pPr>
              <w:jc w:val="center"/>
              <w:rPr>
                <w:rFonts w:ascii="Garamond" w:hAnsi="Garamond" w:cs="Calibri"/>
                <w:color w:val="000000" w:themeColor="text1"/>
                <w:sz w:val="20"/>
                <w:szCs w:val="20"/>
              </w:rPr>
            </w:pPr>
            <w:r w:rsidRPr="00063022">
              <w:rPr>
                <w:rFonts w:ascii="Garamond" w:hAnsi="Garamond"/>
                <w:color w:val="000000"/>
                <w:sz w:val="20"/>
                <w:szCs w:val="20"/>
              </w:rPr>
              <w:t>882</w:t>
            </w:r>
          </w:p>
        </w:tc>
        <w:tc>
          <w:tcPr>
            <w:tcW w:w="0" w:type="auto"/>
            <w:shd w:val="clear" w:color="auto" w:fill="auto"/>
            <w:noWrap/>
            <w:vAlign w:val="bottom"/>
            <w:hideMark/>
          </w:tcPr>
          <w:p w:rsidR="00583BD3" w:rsidRPr="00063022" w:rsidRDefault="00583BD3" w:rsidP="000727E8">
            <w:pPr>
              <w:jc w:val="center"/>
              <w:rPr>
                <w:rFonts w:ascii="Garamond" w:hAnsi="Garamond" w:cs="Calibri"/>
                <w:color w:val="000000" w:themeColor="text1"/>
                <w:sz w:val="20"/>
                <w:szCs w:val="20"/>
              </w:rPr>
            </w:pPr>
            <w:r w:rsidRPr="00063022">
              <w:rPr>
                <w:rFonts w:ascii="Garamond" w:hAnsi="Garamond"/>
                <w:color w:val="000000"/>
                <w:sz w:val="20"/>
                <w:szCs w:val="20"/>
              </w:rPr>
              <w:t>882</w:t>
            </w:r>
          </w:p>
        </w:tc>
        <w:tc>
          <w:tcPr>
            <w:tcW w:w="0" w:type="auto"/>
            <w:shd w:val="clear" w:color="auto" w:fill="auto"/>
            <w:noWrap/>
            <w:vAlign w:val="bottom"/>
            <w:hideMark/>
          </w:tcPr>
          <w:p w:rsidR="00583BD3" w:rsidRPr="00063022" w:rsidRDefault="00583BD3" w:rsidP="000727E8">
            <w:pPr>
              <w:jc w:val="center"/>
              <w:rPr>
                <w:rFonts w:ascii="Garamond" w:hAnsi="Garamond" w:cs="Calibri"/>
                <w:color w:val="000000" w:themeColor="text1"/>
                <w:sz w:val="20"/>
                <w:szCs w:val="20"/>
              </w:rPr>
            </w:pPr>
            <w:r w:rsidRPr="00063022">
              <w:rPr>
                <w:rFonts w:ascii="Garamond" w:hAnsi="Garamond"/>
                <w:color w:val="000000"/>
                <w:sz w:val="20"/>
                <w:szCs w:val="20"/>
              </w:rPr>
              <w:t>882</w:t>
            </w:r>
          </w:p>
        </w:tc>
      </w:tr>
      <w:tr w:rsidR="00583BD3" w:rsidRPr="00812847" w:rsidTr="000727E8">
        <w:trPr>
          <w:trHeight w:hRule="exact" w:val="255"/>
        </w:trPr>
        <w:tc>
          <w:tcPr>
            <w:tcW w:w="0" w:type="auto"/>
            <w:shd w:val="clear" w:color="auto" w:fill="auto"/>
            <w:noWrap/>
            <w:hideMark/>
          </w:tcPr>
          <w:p w:rsidR="00583BD3" w:rsidRPr="00063022" w:rsidRDefault="00583BD3" w:rsidP="000727E8">
            <w:pPr>
              <w:jc w:val="center"/>
              <w:rPr>
                <w:rFonts w:ascii="Garamond" w:hAnsi="Garamond" w:cs="Calibri"/>
                <w:color w:val="000000" w:themeColor="text1"/>
                <w:sz w:val="20"/>
                <w:szCs w:val="20"/>
              </w:rPr>
            </w:pPr>
            <w:r w:rsidRPr="00063022">
              <w:rPr>
                <w:rFonts w:ascii="Garamond" w:hAnsi="Garamond" w:cs="Calibri"/>
                <w:color w:val="000000" w:themeColor="text1"/>
                <w:sz w:val="20"/>
                <w:szCs w:val="20"/>
              </w:rPr>
              <w:t>No. of Female CFOs</w:t>
            </w:r>
          </w:p>
        </w:tc>
        <w:tc>
          <w:tcPr>
            <w:tcW w:w="0" w:type="auto"/>
            <w:shd w:val="clear" w:color="auto" w:fill="auto"/>
            <w:noWrap/>
            <w:vAlign w:val="center"/>
            <w:hideMark/>
          </w:tcPr>
          <w:p w:rsidR="00583BD3" w:rsidRPr="00063022" w:rsidRDefault="00583BD3" w:rsidP="000727E8">
            <w:pPr>
              <w:jc w:val="center"/>
              <w:rPr>
                <w:rFonts w:ascii="Garamond" w:hAnsi="Garamond" w:cs="Calibri"/>
                <w:color w:val="000000" w:themeColor="text1"/>
                <w:sz w:val="20"/>
                <w:szCs w:val="20"/>
              </w:rPr>
            </w:pPr>
            <w:r w:rsidRPr="00063022">
              <w:rPr>
                <w:rFonts w:ascii="Garamond" w:hAnsi="Garamond"/>
                <w:color w:val="000000"/>
                <w:sz w:val="20"/>
                <w:szCs w:val="20"/>
              </w:rPr>
              <w:t>245</w:t>
            </w:r>
          </w:p>
        </w:tc>
        <w:tc>
          <w:tcPr>
            <w:tcW w:w="0" w:type="auto"/>
            <w:shd w:val="clear" w:color="auto" w:fill="auto"/>
            <w:noWrap/>
            <w:vAlign w:val="center"/>
            <w:hideMark/>
          </w:tcPr>
          <w:p w:rsidR="00583BD3" w:rsidRPr="00063022" w:rsidRDefault="00583BD3" w:rsidP="000727E8">
            <w:pPr>
              <w:jc w:val="center"/>
              <w:rPr>
                <w:rFonts w:ascii="Garamond" w:hAnsi="Garamond" w:cs="Calibri"/>
                <w:color w:val="000000" w:themeColor="text1"/>
                <w:sz w:val="20"/>
                <w:szCs w:val="20"/>
              </w:rPr>
            </w:pPr>
            <w:r w:rsidRPr="00063022">
              <w:rPr>
                <w:rFonts w:ascii="Garamond" w:hAnsi="Garamond"/>
                <w:color w:val="000000"/>
                <w:sz w:val="20"/>
                <w:szCs w:val="20"/>
              </w:rPr>
              <w:t>245</w:t>
            </w:r>
          </w:p>
        </w:tc>
        <w:tc>
          <w:tcPr>
            <w:tcW w:w="0" w:type="auto"/>
            <w:shd w:val="clear" w:color="auto" w:fill="auto"/>
            <w:noWrap/>
            <w:vAlign w:val="center"/>
            <w:hideMark/>
          </w:tcPr>
          <w:p w:rsidR="00583BD3" w:rsidRPr="00063022" w:rsidRDefault="00583BD3" w:rsidP="000727E8">
            <w:pPr>
              <w:jc w:val="center"/>
              <w:rPr>
                <w:rFonts w:ascii="Garamond" w:hAnsi="Garamond" w:cs="Calibri"/>
                <w:color w:val="000000" w:themeColor="text1"/>
                <w:sz w:val="20"/>
                <w:szCs w:val="20"/>
              </w:rPr>
            </w:pPr>
            <w:r w:rsidRPr="00063022">
              <w:rPr>
                <w:rFonts w:ascii="Garamond" w:hAnsi="Garamond"/>
                <w:color w:val="000000"/>
                <w:sz w:val="20"/>
                <w:szCs w:val="20"/>
              </w:rPr>
              <w:t>245</w:t>
            </w:r>
          </w:p>
        </w:tc>
        <w:tc>
          <w:tcPr>
            <w:tcW w:w="0" w:type="auto"/>
            <w:shd w:val="clear" w:color="auto" w:fill="auto"/>
            <w:noWrap/>
            <w:vAlign w:val="center"/>
            <w:hideMark/>
          </w:tcPr>
          <w:p w:rsidR="00583BD3" w:rsidRPr="00063022" w:rsidRDefault="00583BD3" w:rsidP="000727E8">
            <w:pPr>
              <w:jc w:val="center"/>
              <w:rPr>
                <w:rFonts w:ascii="Garamond" w:hAnsi="Garamond" w:cs="Calibri"/>
                <w:color w:val="000000" w:themeColor="text1"/>
                <w:sz w:val="20"/>
                <w:szCs w:val="20"/>
              </w:rPr>
            </w:pPr>
            <w:r w:rsidRPr="00063022">
              <w:rPr>
                <w:rFonts w:ascii="Garamond" w:hAnsi="Garamond"/>
                <w:color w:val="000000"/>
                <w:sz w:val="20"/>
                <w:szCs w:val="20"/>
              </w:rPr>
              <w:t>245</w:t>
            </w:r>
          </w:p>
        </w:tc>
        <w:tc>
          <w:tcPr>
            <w:tcW w:w="0" w:type="auto"/>
            <w:shd w:val="clear" w:color="auto" w:fill="auto"/>
            <w:noWrap/>
            <w:vAlign w:val="center"/>
            <w:hideMark/>
          </w:tcPr>
          <w:p w:rsidR="00583BD3" w:rsidRPr="00063022" w:rsidRDefault="00583BD3" w:rsidP="000727E8">
            <w:pPr>
              <w:jc w:val="center"/>
              <w:rPr>
                <w:rFonts w:ascii="Garamond" w:hAnsi="Garamond" w:cs="Calibri"/>
                <w:color w:val="000000" w:themeColor="text1"/>
                <w:sz w:val="20"/>
                <w:szCs w:val="20"/>
              </w:rPr>
            </w:pPr>
            <w:r w:rsidRPr="00063022">
              <w:rPr>
                <w:rFonts w:ascii="Garamond" w:hAnsi="Garamond"/>
                <w:color w:val="000000"/>
                <w:sz w:val="20"/>
                <w:szCs w:val="20"/>
              </w:rPr>
              <w:t>245</w:t>
            </w:r>
          </w:p>
        </w:tc>
        <w:tc>
          <w:tcPr>
            <w:tcW w:w="0" w:type="auto"/>
            <w:shd w:val="clear" w:color="auto" w:fill="auto"/>
            <w:noWrap/>
            <w:vAlign w:val="center"/>
            <w:hideMark/>
          </w:tcPr>
          <w:p w:rsidR="00583BD3" w:rsidRPr="00063022" w:rsidRDefault="00583BD3" w:rsidP="000727E8">
            <w:pPr>
              <w:jc w:val="center"/>
              <w:rPr>
                <w:rFonts w:ascii="Garamond" w:hAnsi="Garamond" w:cs="Calibri"/>
                <w:color w:val="000000" w:themeColor="text1"/>
                <w:sz w:val="20"/>
                <w:szCs w:val="20"/>
              </w:rPr>
            </w:pPr>
            <w:r w:rsidRPr="00063022">
              <w:rPr>
                <w:rFonts w:ascii="Garamond" w:hAnsi="Garamond"/>
                <w:color w:val="000000"/>
                <w:sz w:val="20"/>
                <w:szCs w:val="20"/>
              </w:rPr>
              <w:t>245</w:t>
            </w:r>
          </w:p>
        </w:tc>
      </w:tr>
      <w:tr w:rsidR="00583BD3" w:rsidRPr="00812847" w:rsidTr="000727E8">
        <w:trPr>
          <w:trHeight w:hRule="exact" w:val="255"/>
        </w:trPr>
        <w:tc>
          <w:tcPr>
            <w:tcW w:w="0" w:type="auto"/>
            <w:shd w:val="clear" w:color="auto" w:fill="auto"/>
            <w:noWrap/>
            <w:hideMark/>
          </w:tcPr>
          <w:p w:rsidR="00583BD3" w:rsidRPr="00063022" w:rsidRDefault="00583BD3" w:rsidP="000727E8">
            <w:pPr>
              <w:jc w:val="center"/>
              <w:rPr>
                <w:rFonts w:ascii="Garamond" w:hAnsi="Garamond" w:cs="Calibri"/>
                <w:color w:val="000000" w:themeColor="text1"/>
                <w:sz w:val="20"/>
                <w:szCs w:val="20"/>
              </w:rPr>
            </w:pPr>
            <w:r>
              <w:rPr>
                <w:rFonts w:ascii="Garamond" w:hAnsi="Garamond" w:cs="Calibri"/>
                <w:color w:val="000000" w:themeColor="text1"/>
                <w:sz w:val="20"/>
                <w:szCs w:val="20"/>
              </w:rPr>
              <w:t>Average leverage</w:t>
            </w:r>
          </w:p>
        </w:tc>
        <w:tc>
          <w:tcPr>
            <w:tcW w:w="0" w:type="auto"/>
            <w:shd w:val="clear" w:color="auto" w:fill="auto"/>
            <w:noWrap/>
            <w:vAlign w:val="center"/>
            <w:hideMark/>
          </w:tcPr>
          <w:p w:rsidR="00583BD3" w:rsidRPr="00063022" w:rsidRDefault="00583BD3" w:rsidP="000727E8">
            <w:pPr>
              <w:jc w:val="center"/>
              <w:rPr>
                <w:rFonts w:ascii="Garamond" w:hAnsi="Garamond"/>
                <w:color w:val="000000"/>
                <w:sz w:val="20"/>
                <w:szCs w:val="20"/>
              </w:rPr>
            </w:pPr>
            <w:r>
              <w:rPr>
                <w:rFonts w:ascii="Garamond" w:hAnsi="Garamond"/>
                <w:color w:val="000000"/>
                <w:sz w:val="20"/>
                <w:szCs w:val="20"/>
              </w:rPr>
              <w:t>0.2594</w:t>
            </w:r>
          </w:p>
        </w:tc>
        <w:tc>
          <w:tcPr>
            <w:tcW w:w="0" w:type="auto"/>
            <w:shd w:val="clear" w:color="auto" w:fill="auto"/>
            <w:noWrap/>
            <w:vAlign w:val="center"/>
            <w:hideMark/>
          </w:tcPr>
          <w:p w:rsidR="00583BD3" w:rsidRPr="00063022" w:rsidRDefault="00583BD3" w:rsidP="000727E8">
            <w:pPr>
              <w:jc w:val="center"/>
              <w:rPr>
                <w:rFonts w:ascii="Garamond" w:hAnsi="Garamond"/>
                <w:color w:val="000000"/>
                <w:sz w:val="20"/>
                <w:szCs w:val="20"/>
              </w:rPr>
            </w:pPr>
            <w:r>
              <w:rPr>
                <w:rFonts w:ascii="Garamond" w:hAnsi="Garamond"/>
                <w:color w:val="000000"/>
                <w:sz w:val="20"/>
                <w:szCs w:val="20"/>
              </w:rPr>
              <w:t>0.2594</w:t>
            </w:r>
          </w:p>
        </w:tc>
        <w:tc>
          <w:tcPr>
            <w:tcW w:w="0" w:type="auto"/>
            <w:shd w:val="clear" w:color="auto" w:fill="auto"/>
            <w:noWrap/>
            <w:vAlign w:val="center"/>
            <w:hideMark/>
          </w:tcPr>
          <w:p w:rsidR="00583BD3" w:rsidRPr="00063022" w:rsidRDefault="00583BD3" w:rsidP="000727E8">
            <w:pPr>
              <w:jc w:val="center"/>
              <w:rPr>
                <w:rFonts w:ascii="Garamond" w:hAnsi="Garamond"/>
                <w:color w:val="000000"/>
                <w:sz w:val="20"/>
                <w:szCs w:val="20"/>
              </w:rPr>
            </w:pPr>
            <w:r>
              <w:rPr>
                <w:rFonts w:ascii="Garamond" w:hAnsi="Garamond"/>
                <w:color w:val="000000"/>
                <w:sz w:val="20"/>
                <w:szCs w:val="20"/>
              </w:rPr>
              <w:t>0.2594</w:t>
            </w:r>
          </w:p>
        </w:tc>
        <w:tc>
          <w:tcPr>
            <w:tcW w:w="0" w:type="auto"/>
            <w:shd w:val="clear" w:color="auto" w:fill="auto"/>
            <w:noWrap/>
            <w:vAlign w:val="center"/>
            <w:hideMark/>
          </w:tcPr>
          <w:p w:rsidR="00583BD3" w:rsidRPr="00063022" w:rsidRDefault="00583BD3" w:rsidP="000727E8">
            <w:pPr>
              <w:jc w:val="center"/>
              <w:rPr>
                <w:rFonts w:ascii="Garamond" w:hAnsi="Garamond"/>
                <w:color w:val="000000"/>
                <w:sz w:val="20"/>
                <w:szCs w:val="20"/>
              </w:rPr>
            </w:pPr>
            <w:r>
              <w:rPr>
                <w:rFonts w:ascii="Garamond" w:hAnsi="Garamond"/>
                <w:color w:val="000000"/>
                <w:sz w:val="20"/>
                <w:szCs w:val="20"/>
              </w:rPr>
              <w:t>0.2594</w:t>
            </w:r>
          </w:p>
        </w:tc>
        <w:tc>
          <w:tcPr>
            <w:tcW w:w="0" w:type="auto"/>
            <w:shd w:val="clear" w:color="auto" w:fill="auto"/>
            <w:noWrap/>
            <w:vAlign w:val="center"/>
            <w:hideMark/>
          </w:tcPr>
          <w:p w:rsidR="00583BD3" w:rsidRPr="00063022" w:rsidRDefault="00583BD3" w:rsidP="000727E8">
            <w:pPr>
              <w:jc w:val="center"/>
              <w:rPr>
                <w:rFonts w:ascii="Garamond" w:hAnsi="Garamond"/>
                <w:color w:val="000000"/>
                <w:sz w:val="20"/>
                <w:szCs w:val="20"/>
              </w:rPr>
            </w:pPr>
            <w:r>
              <w:rPr>
                <w:rFonts w:ascii="Garamond" w:hAnsi="Garamond"/>
                <w:color w:val="000000"/>
                <w:sz w:val="20"/>
                <w:szCs w:val="20"/>
              </w:rPr>
              <w:t>0.2594</w:t>
            </w:r>
          </w:p>
        </w:tc>
        <w:tc>
          <w:tcPr>
            <w:tcW w:w="0" w:type="auto"/>
            <w:shd w:val="clear" w:color="auto" w:fill="auto"/>
            <w:noWrap/>
            <w:vAlign w:val="center"/>
            <w:hideMark/>
          </w:tcPr>
          <w:p w:rsidR="00583BD3" w:rsidRPr="00063022" w:rsidRDefault="00583BD3" w:rsidP="000727E8">
            <w:pPr>
              <w:jc w:val="center"/>
              <w:rPr>
                <w:rFonts w:ascii="Garamond" w:hAnsi="Garamond"/>
                <w:color w:val="000000"/>
                <w:sz w:val="20"/>
                <w:szCs w:val="20"/>
              </w:rPr>
            </w:pPr>
            <w:r>
              <w:rPr>
                <w:rFonts w:ascii="Garamond" w:hAnsi="Garamond"/>
                <w:color w:val="000000"/>
                <w:sz w:val="20"/>
                <w:szCs w:val="20"/>
              </w:rPr>
              <w:t>0.2594</w:t>
            </w:r>
          </w:p>
        </w:tc>
      </w:tr>
    </w:tbl>
    <w:p w:rsidR="00583BD3" w:rsidRDefault="00583BD3" w:rsidP="00583BD3">
      <w:pPr>
        <w:sectPr w:rsidR="00583BD3">
          <w:pgSz w:w="11906" w:h="16838"/>
          <w:pgMar w:top="1440" w:right="1440" w:bottom="1440" w:left="1440" w:header="708" w:footer="708" w:gutter="0"/>
          <w:cols w:space="708"/>
          <w:docGrid w:linePitch="360"/>
        </w:sectPr>
      </w:pPr>
    </w:p>
    <w:p w:rsidR="00583BD3" w:rsidRDefault="00583BD3" w:rsidP="00583BD3">
      <w:pPr>
        <w:jc w:val="both"/>
        <w:rPr>
          <w:rFonts w:ascii="Garamond" w:hAnsi="Garamond"/>
          <w:color w:val="000000" w:themeColor="text1"/>
          <w:sz w:val="20"/>
        </w:rPr>
      </w:pPr>
      <w:proofErr w:type="gramStart"/>
      <w:r w:rsidRPr="0027464C">
        <w:rPr>
          <w:rFonts w:ascii="Garamond" w:hAnsi="Garamond"/>
          <w:b/>
          <w:color w:val="000000" w:themeColor="text1"/>
          <w:sz w:val="20"/>
        </w:rPr>
        <w:lastRenderedPageBreak/>
        <w:t xml:space="preserve">Table </w:t>
      </w:r>
      <w:r>
        <w:rPr>
          <w:rFonts w:ascii="Garamond" w:hAnsi="Garamond"/>
          <w:b/>
          <w:color w:val="000000" w:themeColor="text1"/>
          <w:sz w:val="20"/>
        </w:rPr>
        <w:t>11</w:t>
      </w:r>
      <w:r w:rsidRPr="0027464C">
        <w:rPr>
          <w:rFonts w:ascii="Garamond" w:hAnsi="Garamond"/>
          <w:b/>
          <w:color w:val="000000" w:themeColor="text1"/>
          <w:sz w:val="20"/>
        </w:rPr>
        <w:t>:</w:t>
      </w:r>
      <w:r w:rsidRPr="0027464C">
        <w:rPr>
          <w:rFonts w:ascii="Garamond" w:hAnsi="Garamond"/>
          <w:color w:val="000000" w:themeColor="text1"/>
          <w:sz w:val="20"/>
        </w:rPr>
        <w:t xml:space="preserve"> </w:t>
      </w:r>
      <w:r>
        <w:rPr>
          <w:rFonts w:ascii="Garamond" w:hAnsi="Garamond"/>
          <w:b/>
          <w:color w:val="000000" w:themeColor="text1"/>
          <w:sz w:val="20"/>
        </w:rPr>
        <w:t>High-dimensional Fixed Effects</w:t>
      </w:r>
      <w:r w:rsidRPr="00D0508D">
        <w:rPr>
          <w:rFonts w:ascii="Garamond" w:hAnsi="Garamond"/>
          <w:b/>
          <w:color w:val="000000" w:themeColor="text1"/>
          <w:sz w:val="20"/>
        </w:rPr>
        <w:t>.</w:t>
      </w:r>
      <w:proofErr w:type="gramEnd"/>
      <w:r w:rsidRPr="0027464C">
        <w:rPr>
          <w:rFonts w:ascii="Garamond" w:hAnsi="Garamond"/>
          <w:color w:val="000000" w:themeColor="text1"/>
          <w:sz w:val="20"/>
        </w:rPr>
        <w:t xml:space="preserve">  </w:t>
      </w:r>
    </w:p>
    <w:p w:rsidR="00583BD3" w:rsidRDefault="00583BD3" w:rsidP="00583BD3">
      <w:pPr>
        <w:jc w:val="both"/>
        <w:rPr>
          <w:rFonts w:ascii="Garamond" w:hAnsi="Garamond"/>
          <w:color w:val="000000" w:themeColor="text1"/>
          <w:sz w:val="20"/>
        </w:rPr>
      </w:pPr>
      <w:r w:rsidRPr="0027464C">
        <w:rPr>
          <w:rFonts w:ascii="Garamond" w:hAnsi="Garamond"/>
          <w:color w:val="000000" w:themeColor="text1"/>
          <w:sz w:val="20"/>
        </w:rPr>
        <w:t xml:space="preserve">This table presents the regression results for female </w:t>
      </w:r>
      <w:proofErr w:type="spellStart"/>
      <w:r w:rsidRPr="0027464C">
        <w:rPr>
          <w:rFonts w:ascii="Garamond" w:hAnsi="Garamond"/>
          <w:color w:val="000000" w:themeColor="text1"/>
          <w:sz w:val="20"/>
        </w:rPr>
        <w:t>CFO</w:t>
      </w:r>
      <w:r>
        <w:rPr>
          <w:rFonts w:ascii="Garamond" w:hAnsi="Garamond"/>
          <w:color w:val="000000" w:themeColor="text1"/>
          <w:sz w:val="20"/>
        </w:rPr>
        <w:t>s’</w:t>
      </w:r>
      <w:proofErr w:type="spellEnd"/>
      <w:r w:rsidRPr="0027464C">
        <w:rPr>
          <w:rFonts w:ascii="Garamond" w:hAnsi="Garamond"/>
          <w:color w:val="000000" w:themeColor="text1"/>
          <w:sz w:val="20"/>
        </w:rPr>
        <w:t xml:space="preserve"> influence on leverage </w:t>
      </w:r>
      <w:r>
        <w:rPr>
          <w:rFonts w:ascii="Garamond" w:hAnsi="Garamond"/>
          <w:color w:val="000000" w:themeColor="text1"/>
          <w:sz w:val="20"/>
        </w:rPr>
        <w:t>including high-dimensional fixed effects at the firm and year-industry level</w:t>
      </w:r>
      <w:r w:rsidRPr="0027464C">
        <w:rPr>
          <w:rFonts w:ascii="Garamond" w:hAnsi="Garamond"/>
          <w:color w:val="000000" w:themeColor="text1"/>
          <w:sz w:val="20"/>
        </w:rPr>
        <w:t xml:space="preserve">. Variable definitions are provided in </w:t>
      </w:r>
      <w:r>
        <w:rPr>
          <w:rFonts w:ascii="Garamond" w:hAnsi="Garamond"/>
          <w:color w:val="000000" w:themeColor="text1"/>
          <w:sz w:val="20"/>
        </w:rPr>
        <w:t>the a</w:t>
      </w:r>
      <w:r w:rsidRPr="0027464C">
        <w:rPr>
          <w:rFonts w:ascii="Garamond" w:hAnsi="Garamond"/>
          <w:color w:val="000000" w:themeColor="text1"/>
          <w:sz w:val="20"/>
        </w:rPr>
        <w:t xml:space="preserve">ppendix. </w:t>
      </w:r>
      <w:proofErr w:type="gramStart"/>
      <w:r w:rsidRPr="00D0508D">
        <w:rPr>
          <w:rFonts w:ascii="Garamond" w:hAnsi="Garamond"/>
          <w:i/>
          <w:color w:val="000000" w:themeColor="text1"/>
          <w:sz w:val="20"/>
        </w:rPr>
        <w:t>t</w:t>
      </w:r>
      <w:r w:rsidRPr="0027464C">
        <w:rPr>
          <w:rFonts w:ascii="Garamond" w:hAnsi="Garamond"/>
          <w:color w:val="000000" w:themeColor="text1"/>
          <w:sz w:val="20"/>
        </w:rPr>
        <w:t>-statistics</w:t>
      </w:r>
      <w:proofErr w:type="gramEnd"/>
      <w:r w:rsidRPr="0027464C">
        <w:rPr>
          <w:rFonts w:ascii="Garamond" w:hAnsi="Garamond"/>
          <w:color w:val="000000" w:themeColor="text1"/>
          <w:sz w:val="20"/>
        </w:rPr>
        <w:t xml:space="preserve"> are reported in parentheses and ***, ** and * indicate significance at the 1%, 5% and 10% level respectively. Standard errors are clustered at firm level.</w:t>
      </w:r>
    </w:p>
    <w:tbl>
      <w:tblPr>
        <w:tblW w:w="0" w:type="auto"/>
        <w:jc w:val="center"/>
        <w:tblBorders>
          <w:top w:val="single" w:sz="4" w:space="0" w:color="auto"/>
          <w:bottom w:val="single" w:sz="4" w:space="0" w:color="auto"/>
        </w:tblBorders>
        <w:tblLook w:val="04A0"/>
      </w:tblPr>
      <w:tblGrid>
        <w:gridCol w:w="2704"/>
        <w:gridCol w:w="877"/>
        <w:gridCol w:w="877"/>
        <w:gridCol w:w="877"/>
        <w:gridCol w:w="916"/>
        <w:gridCol w:w="916"/>
        <w:gridCol w:w="962"/>
      </w:tblGrid>
      <w:tr w:rsidR="00583BD3" w:rsidRPr="00603E5D" w:rsidTr="000727E8">
        <w:trPr>
          <w:trHeight w:hRule="exact" w:val="255"/>
          <w:jc w:val="center"/>
        </w:trPr>
        <w:tc>
          <w:tcPr>
            <w:tcW w:w="2704" w:type="dxa"/>
            <w:tcBorders>
              <w:top w:val="single" w:sz="4" w:space="0" w:color="auto"/>
              <w:bottom w:val="single" w:sz="4" w:space="0" w:color="auto"/>
            </w:tcBorders>
            <w:shd w:val="clear" w:color="auto" w:fill="auto"/>
            <w:noWrap/>
            <w:hideMark/>
          </w:tcPr>
          <w:p w:rsidR="00583BD3" w:rsidRPr="00603E5D" w:rsidRDefault="00583BD3" w:rsidP="000727E8">
            <w:pPr>
              <w:rPr>
                <w:rFonts w:ascii="Garamond" w:hAnsi="Garamond"/>
                <w:color w:val="000000" w:themeColor="text1"/>
                <w:sz w:val="20"/>
                <w:szCs w:val="20"/>
              </w:rPr>
            </w:pPr>
          </w:p>
        </w:tc>
        <w:tc>
          <w:tcPr>
            <w:tcW w:w="0" w:type="auto"/>
            <w:tcBorders>
              <w:top w:val="single" w:sz="4" w:space="0" w:color="auto"/>
              <w:bottom w:val="single" w:sz="4" w:space="0" w:color="auto"/>
            </w:tcBorders>
            <w:shd w:val="clear" w:color="auto" w:fill="auto"/>
            <w:noWrap/>
            <w:hideMark/>
          </w:tcPr>
          <w:p w:rsidR="00583BD3" w:rsidRPr="00603E5D" w:rsidRDefault="00583BD3" w:rsidP="000727E8">
            <w:pPr>
              <w:jc w:val="center"/>
              <w:rPr>
                <w:rFonts w:ascii="Garamond" w:hAnsi="Garamond" w:cs="Calibri"/>
                <w:color w:val="000000" w:themeColor="text1"/>
                <w:sz w:val="20"/>
                <w:szCs w:val="20"/>
              </w:rPr>
            </w:pPr>
            <w:r w:rsidRPr="00B454FC">
              <w:rPr>
                <w:rFonts w:ascii="Garamond" w:hAnsi="Garamond" w:cs="Calibri"/>
                <w:color w:val="000000" w:themeColor="text1"/>
                <w:sz w:val="20"/>
                <w:szCs w:val="20"/>
              </w:rPr>
              <w:t>(1)</w:t>
            </w:r>
          </w:p>
        </w:tc>
        <w:tc>
          <w:tcPr>
            <w:tcW w:w="0" w:type="auto"/>
            <w:tcBorders>
              <w:top w:val="single" w:sz="4" w:space="0" w:color="auto"/>
              <w:bottom w:val="single" w:sz="4" w:space="0" w:color="auto"/>
            </w:tcBorders>
            <w:shd w:val="clear" w:color="auto" w:fill="auto"/>
            <w:noWrap/>
            <w:hideMark/>
          </w:tcPr>
          <w:p w:rsidR="00583BD3" w:rsidRPr="00603E5D" w:rsidRDefault="00583BD3" w:rsidP="000727E8">
            <w:pPr>
              <w:jc w:val="center"/>
              <w:rPr>
                <w:rFonts w:ascii="Garamond" w:hAnsi="Garamond" w:cs="Calibri"/>
                <w:color w:val="000000" w:themeColor="text1"/>
                <w:sz w:val="20"/>
                <w:szCs w:val="20"/>
              </w:rPr>
            </w:pPr>
            <w:r w:rsidRPr="00B454FC">
              <w:rPr>
                <w:rFonts w:ascii="Garamond" w:hAnsi="Garamond" w:cs="Calibri"/>
                <w:color w:val="000000" w:themeColor="text1"/>
                <w:sz w:val="20"/>
                <w:szCs w:val="20"/>
              </w:rPr>
              <w:t>(2)</w:t>
            </w:r>
          </w:p>
        </w:tc>
        <w:tc>
          <w:tcPr>
            <w:tcW w:w="0" w:type="auto"/>
            <w:tcBorders>
              <w:top w:val="single" w:sz="4" w:space="0" w:color="auto"/>
              <w:bottom w:val="single" w:sz="4" w:space="0" w:color="auto"/>
            </w:tcBorders>
            <w:shd w:val="clear" w:color="auto" w:fill="auto"/>
            <w:noWrap/>
            <w:hideMark/>
          </w:tcPr>
          <w:p w:rsidR="00583BD3" w:rsidRPr="00603E5D" w:rsidRDefault="00583BD3" w:rsidP="000727E8">
            <w:pPr>
              <w:jc w:val="center"/>
              <w:rPr>
                <w:rFonts w:ascii="Garamond" w:hAnsi="Garamond" w:cs="Calibri"/>
                <w:color w:val="000000" w:themeColor="text1"/>
                <w:sz w:val="20"/>
                <w:szCs w:val="20"/>
              </w:rPr>
            </w:pPr>
            <w:r w:rsidRPr="00B454FC">
              <w:rPr>
                <w:rFonts w:ascii="Garamond" w:hAnsi="Garamond" w:cs="Calibri"/>
                <w:color w:val="000000" w:themeColor="text1"/>
                <w:sz w:val="20"/>
                <w:szCs w:val="20"/>
              </w:rPr>
              <w:t>(3)</w:t>
            </w:r>
          </w:p>
        </w:tc>
        <w:tc>
          <w:tcPr>
            <w:tcW w:w="0" w:type="auto"/>
            <w:tcBorders>
              <w:top w:val="single" w:sz="4" w:space="0" w:color="auto"/>
              <w:bottom w:val="single" w:sz="4" w:space="0" w:color="auto"/>
            </w:tcBorders>
            <w:shd w:val="clear" w:color="auto" w:fill="auto"/>
            <w:noWrap/>
            <w:hideMark/>
          </w:tcPr>
          <w:p w:rsidR="00583BD3" w:rsidRPr="00603E5D" w:rsidRDefault="00583BD3" w:rsidP="000727E8">
            <w:pPr>
              <w:jc w:val="center"/>
              <w:rPr>
                <w:rFonts w:ascii="Garamond" w:hAnsi="Garamond" w:cs="Calibri"/>
                <w:color w:val="000000" w:themeColor="text1"/>
                <w:sz w:val="20"/>
                <w:szCs w:val="20"/>
              </w:rPr>
            </w:pPr>
            <w:r w:rsidRPr="00B454FC">
              <w:rPr>
                <w:rFonts w:ascii="Garamond" w:hAnsi="Garamond" w:cs="Calibri"/>
                <w:color w:val="000000" w:themeColor="text1"/>
                <w:sz w:val="20"/>
                <w:szCs w:val="20"/>
              </w:rPr>
              <w:t>(4)</w:t>
            </w:r>
          </w:p>
        </w:tc>
        <w:tc>
          <w:tcPr>
            <w:tcW w:w="0" w:type="auto"/>
            <w:tcBorders>
              <w:top w:val="single" w:sz="4" w:space="0" w:color="auto"/>
              <w:bottom w:val="single" w:sz="4" w:space="0" w:color="auto"/>
            </w:tcBorders>
            <w:shd w:val="clear" w:color="auto" w:fill="auto"/>
            <w:noWrap/>
            <w:hideMark/>
          </w:tcPr>
          <w:p w:rsidR="00583BD3" w:rsidRPr="00603E5D" w:rsidRDefault="00583BD3" w:rsidP="000727E8">
            <w:pPr>
              <w:rPr>
                <w:rFonts w:ascii="Garamond" w:hAnsi="Garamond" w:cs="Calibri"/>
                <w:color w:val="000000" w:themeColor="text1"/>
                <w:sz w:val="20"/>
                <w:szCs w:val="20"/>
              </w:rPr>
            </w:pPr>
            <w:r w:rsidRPr="00B454FC">
              <w:rPr>
                <w:rFonts w:ascii="Garamond" w:hAnsi="Garamond" w:cs="Calibri"/>
                <w:color w:val="000000" w:themeColor="text1"/>
                <w:sz w:val="20"/>
                <w:szCs w:val="20"/>
              </w:rPr>
              <w:t>(5)</w:t>
            </w:r>
          </w:p>
        </w:tc>
        <w:tc>
          <w:tcPr>
            <w:tcW w:w="0" w:type="auto"/>
            <w:tcBorders>
              <w:top w:val="single" w:sz="4" w:space="0" w:color="auto"/>
              <w:bottom w:val="single" w:sz="4" w:space="0" w:color="auto"/>
            </w:tcBorders>
            <w:shd w:val="clear" w:color="auto" w:fill="auto"/>
            <w:noWrap/>
            <w:hideMark/>
          </w:tcPr>
          <w:p w:rsidR="00583BD3" w:rsidRPr="00603E5D" w:rsidRDefault="00583BD3" w:rsidP="000727E8">
            <w:pPr>
              <w:rPr>
                <w:rFonts w:ascii="Garamond" w:hAnsi="Garamond" w:cs="Calibri"/>
                <w:color w:val="000000" w:themeColor="text1"/>
                <w:sz w:val="20"/>
                <w:szCs w:val="20"/>
              </w:rPr>
            </w:pPr>
            <w:r w:rsidRPr="00B454FC">
              <w:rPr>
                <w:rFonts w:ascii="Garamond" w:hAnsi="Garamond" w:cs="Calibri"/>
                <w:color w:val="000000" w:themeColor="text1"/>
                <w:sz w:val="20"/>
                <w:szCs w:val="20"/>
              </w:rPr>
              <w:t>(6)</w:t>
            </w:r>
          </w:p>
        </w:tc>
      </w:tr>
      <w:tr w:rsidR="00583BD3" w:rsidRPr="007B26ED" w:rsidTr="000727E8">
        <w:trPr>
          <w:trHeight w:hRule="exact" w:val="255"/>
          <w:jc w:val="center"/>
        </w:trPr>
        <w:tc>
          <w:tcPr>
            <w:tcW w:w="2704" w:type="dxa"/>
            <w:tcBorders>
              <w:top w:val="single" w:sz="4" w:space="0" w:color="auto"/>
            </w:tcBorders>
            <w:shd w:val="clear" w:color="auto" w:fill="auto"/>
            <w:noWrap/>
            <w:hideMark/>
          </w:tcPr>
          <w:p w:rsidR="00583BD3" w:rsidRPr="0062470B" w:rsidRDefault="00583BD3" w:rsidP="000727E8">
            <w:pPr>
              <w:jc w:val="center"/>
              <w:rPr>
                <w:rFonts w:ascii="Garamond" w:hAnsi="Garamond" w:cs="Calibri"/>
                <w:color w:val="FF0000"/>
                <w:sz w:val="18"/>
                <w:szCs w:val="18"/>
                <w:vertAlign w:val="subscript"/>
              </w:rPr>
            </w:pPr>
            <w:r w:rsidRPr="00BD4464">
              <w:rPr>
                <w:rFonts w:ascii="Garamond" w:hAnsi="Garamond" w:cs="Calibri"/>
                <w:color w:val="000000" w:themeColor="text1"/>
                <w:sz w:val="20"/>
                <w:szCs w:val="20"/>
              </w:rPr>
              <w:t>CFO Female Dummy</w:t>
            </w:r>
            <w:r w:rsidRPr="0062470B">
              <w:rPr>
                <w:rFonts w:ascii="Garamond" w:hAnsi="Garamond" w:cs="Calibri"/>
                <w:color w:val="000000"/>
                <w:sz w:val="18"/>
                <w:szCs w:val="18"/>
                <w:vertAlign w:val="subscript"/>
              </w:rPr>
              <w:t>t-1</w:t>
            </w:r>
          </w:p>
        </w:tc>
        <w:tc>
          <w:tcPr>
            <w:tcW w:w="0" w:type="auto"/>
            <w:tcBorders>
              <w:top w:val="single" w:sz="4" w:space="0" w:color="auto"/>
            </w:tcBorders>
            <w:shd w:val="clear" w:color="auto" w:fill="auto"/>
            <w:noWrap/>
            <w:vAlign w:val="center"/>
            <w:hideMark/>
          </w:tcPr>
          <w:p w:rsidR="00583BD3" w:rsidRPr="00BD4464" w:rsidRDefault="00583BD3" w:rsidP="000727E8">
            <w:pPr>
              <w:rPr>
                <w:rFonts w:ascii="Garamond" w:hAnsi="Garamond"/>
                <w:color w:val="000000"/>
                <w:sz w:val="20"/>
                <w:szCs w:val="20"/>
              </w:rPr>
            </w:pPr>
            <w:r w:rsidRPr="00BD4464">
              <w:rPr>
                <w:rFonts w:ascii="Garamond" w:hAnsi="Garamond" w:hint="eastAsia"/>
                <w:color w:val="000000"/>
                <w:sz w:val="20"/>
                <w:szCs w:val="20"/>
              </w:rPr>
              <w:t>-0.0338*</w:t>
            </w:r>
          </w:p>
        </w:tc>
        <w:tc>
          <w:tcPr>
            <w:tcW w:w="0" w:type="auto"/>
            <w:tcBorders>
              <w:top w:val="single" w:sz="4" w:space="0" w:color="auto"/>
            </w:tcBorders>
            <w:shd w:val="clear" w:color="auto" w:fill="auto"/>
            <w:noWrap/>
            <w:vAlign w:val="center"/>
            <w:hideMark/>
          </w:tcPr>
          <w:p w:rsidR="00583BD3" w:rsidRPr="00BD4464" w:rsidRDefault="00583BD3" w:rsidP="000727E8">
            <w:pPr>
              <w:rPr>
                <w:rFonts w:ascii="Garamond" w:hAnsi="Garamond"/>
                <w:color w:val="000000"/>
                <w:sz w:val="20"/>
                <w:szCs w:val="20"/>
              </w:rPr>
            </w:pPr>
            <w:r w:rsidRPr="00BD4464">
              <w:rPr>
                <w:rFonts w:ascii="Garamond" w:hAnsi="Garamond" w:hint="eastAsia"/>
                <w:color w:val="000000"/>
                <w:sz w:val="20"/>
                <w:szCs w:val="20"/>
              </w:rPr>
              <w:t>-0.0337*</w:t>
            </w:r>
          </w:p>
        </w:tc>
        <w:tc>
          <w:tcPr>
            <w:tcW w:w="0" w:type="auto"/>
            <w:tcBorders>
              <w:top w:val="single" w:sz="4" w:space="0" w:color="auto"/>
            </w:tcBorders>
            <w:shd w:val="clear" w:color="auto" w:fill="auto"/>
            <w:noWrap/>
            <w:vAlign w:val="center"/>
            <w:hideMark/>
          </w:tcPr>
          <w:p w:rsidR="00583BD3" w:rsidRPr="00BD4464" w:rsidRDefault="00583BD3" w:rsidP="000727E8">
            <w:pPr>
              <w:rPr>
                <w:rFonts w:ascii="Garamond" w:hAnsi="Garamond"/>
                <w:color w:val="000000"/>
                <w:sz w:val="20"/>
                <w:szCs w:val="20"/>
              </w:rPr>
            </w:pPr>
            <w:r w:rsidRPr="00BD4464">
              <w:rPr>
                <w:rFonts w:ascii="Garamond" w:hAnsi="Garamond" w:hint="eastAsia"/>
                <w:color w:val="000000"/>
                <w:sz w:val="20"/>
                <w:szCs w:val="20"/>
              </w:rPr>
              <w:t>-0.0340*</w:t>
            </w:r>
          </w:p>
        </w:tc>
        <w:tc>
          <w:tcPr>
            <w:tcW w:w="0" w:type="auto"/>
            <w:tcBorders>
              <w:top w:val="single" w:sz="4" w:space="0" w:color="auto"/>
            </w:tcBorders>
            <w:shd w:val="clear" w:color="auto" w:fill="auto"/>
            <w:noWrap/>
            <w:vAlign w:val="center"/>
            <w:hideMark/>
          </w:tcPr>
          <w:p w:rsidR="00583BD3" w:rsidRPr="00BD4464" w:rsidRDefault="00583BD3" w:rsidP="000727E8">
            <w:pPr>
              <w:rPr>
                <w:rFonts w:ascii="Garamond" w:hAnsi="Garamond"/>
                <w:color w:val="000000"/>
                <w:sz w:val="20"/>
                <w:szCs w:val="20"/>
              </w:rPr>
            </w:pPr>
            <w:r w:rsidRPr="00BD4464">
              <w:rPr>
                <w:rFonts w:ascii="Garamond" w:hAnsi="Garamond" w:hint="eastAsia"/>
                <w:color w:val="000000"/>
                <w:sz w:val="20"/>
                <w:szCs w:val="20"/>
              </w:rPr>
              <w:t>-0.0338*</w:t>
            </w:r>
          </w:p>
        </w:tc>
        <w:tc>
          <w:tcPr>
            <w:tcW w:w="0" w:type="auto"/>
            <w:tcBorders>
              <w:top w:val="single" w:sz="4" w:space="0" w:color="auto"/>
            </w:tcBorders>
            <w:shd w:val="clear" w:color="auto" w:fill="auto"/>
            <w:noWrap/>
            <w:vAlign w:val="center"/>
            <w:hideMark/>
          </w:tcPr>
          <w:p w:rsidR="00583BD3" w:rsidRPr="00BD4464" w:rsidRDefault="00583BD3" w:rsidP="000727E8">
            <w:pPr>
              <w:rPr>
                <w:rFonts w:ascii="Garamond" w:hAnsi="Garamond"/>
                <w:color w:val="000000"/>
                <w:sz w:val="20"/>
                <w:szCs w:val="20"/>
              </w:rPr>
            </w:pPr>
            <w:r w:rsidRPr="00BD4464">
              <w:rPr>
                <w:rFonts w:ascii="Garamond" w:hAnsi="Garamond" w:hint="eastAsia"/>
                <w:color w:val="000000"/>
                <w:sz w:val="20"/>
                <w:szCs w:val="20"/>
              </w:rPr>
              <w:t>-0.0338*</w:t>
            </w:r>
          </w:p>
        </w:tc>
        <w:tc>
          <w:tcPr>
            <w:tcW w:w="0" w:type="auto"/>
            <w:tcBorders>
              <w:top w:val="single" w:sz="4" w:space="0" w:color="auto"/>
            </w:tcBorders>
            <w:shd w:val="clear" w:color="auto" w:fill="auto"/>
            <w:noWrap/>
            <w:vAlign w:val="center"/>
            <w:hideMark/>
          </w:tcPr>
          <w:p w:rsidR="00583BD3" w:rsidRPr="00BD4464" w:rsidRDefault="00583BD3" w:rsidP="000727E8">
            <w:pPr>
              <w:rPr>
                <w:rFonts w:ascii="Garamond" w:hAnsi="Garamond"/>
                <w:color w:val="000000"/>
                <w:sz w:val="20"/>
                <w:szCs w:val="20"/>
              </w:rPr>
            </w:pPr>
            <w:r w:rsidRPr="00BD4464">
              <w:rPr>
                <w:rFonts w:ascii="Garamond" w:hAnsi="Garamond" w:hint="eastAsia"/>
                <w:color w:val="000000"/>
                <w:sz w:val="20"/>
                <w:szCs w:val="20"/>
              </w:rPr>
              <w:t>-0.0370**</w:t>
            </w:r>
          </w:p>
        </w:tc>
      </w:tr>
      <w:tr w:rsidR="00583BD3" w:rsidRPr="007B26ED" w:rsidTr="000727E8">
        <w:trPr>
          <w:trHeight w:hRule="exact" w:val="255"/>
          <w:jc w:val="center"/>
        </w:trPr>
        <w:tc>
          <w:tcPr>
            <w:tcW w:w="2704" w:type="dxa"/>
            <w:shd w:val="clear" w:color="auto" w:fill="auto"/>
            <w:noWrap/>
            <w:hideMark/>
          </w:tcPr>
          <w:p w:rsidR="00583BD3" w:rsidRPr="00D14B9E" w:rsidRDefault="00583BD3" w:rsidP="000727E8">
            <w:pPr>
              <w:jc w:val="center"/>
              <w:rPr>
                <w:rFonts w:ascii="Garamond" w:hAnsi="Garamond" w:cs="Calibri"/>
                <w:color w:val="000000"/>
                <w:sz w:val="18"/>
                <w:szCs w:val="18"/>
              </w:rPr>
            </w:pP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r w:rsidRPr="00BD4464">
              <w:rPr>
                <w:rFonts w:ascii="Garamond" w:hAnsi="Garamond" w:hint="eastAsia"/>
                <w:color w:val="000000"/>
                <w:sz w:val="20"/>
                <w:szCs w:val="20"/>
              </w:rPr>
              <w:t>(-1.97)</w:t>
            </w: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r w:rsidRPr="00BD4464">
              <w:rPr>
                <w:rFonts w:ascii="Garamond" w:hAnsi="Garamond" w:hint="eastAsia"/>
                <w:color w:val="000000"/>
                <w:sz w:val="20"/>
                <w:szCs w:val="20"/>
              </w:rPr>
              <w:t>(-2.00)</w:t>
            </w: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r w:rsidRPr="00BD4464">
              <w:rPr>
                <w:rFonts w:ascii="Garamond" w:hAnsi="Garamond" w:hint="eastAsia"/>
                <w:color w:val="000000"/>
                <w:sz w:val="20"/>
                <w:szCs w:val="20"/>
              </w:rPr>
              <w:t>(-1.98)</w:t>
            </w: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r w:rsidRPr="00BD4464">
              <w:rPr>
                <w:rFonts w:ascii="Garamond" w:hAnsi="Garamond" w:hint="eastAsia"/>
                <w:color w:val="000000"/>
                <w:sz w:val="20"/>
                <w:szCs w:val="20"/>
              </w:rPr>
              <w:t>(-1.97)</w:t>
            </w: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r w:rsidRPr="00BD4464">
              <w:rPr>
                <w:rFonts w:ascii="Garamond" w:hAnsi="Garamond" w:hint="eastAsia"/>
                <w:color w:val="000000"/>
                <w:sz w:val="20"/>
                <w:szCs w:val="20"/>
              </w:rPr>
              <w:t>(-2.00)</w:t>
            </w: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r w:rsidRPr="00BD4464">
              <w:rPr>
                <w:rFonts w:ascii="Garamond" w:hAnsi="Garamond" w:hint="eastAsia"/>
                <w:color w:val="000000"/>
                <w:sz w:val="20"/>
                <w:szCs w:val="20"/>
              </w:rPr>
              <w:t>(-2.16)</w:t>
            </w:r>
          </w:p>
        </w:tc>
      </w:tr>
      <w:tr w:rsidR="00583BD3" w:rsidRPr="007B26ED" w:rsidTr="000727E8">
        <w:trPr>
          <w:trHeight w:hRule="exact" w:val="255"/>
          <w:jc w:val="center"/>
        </w:trPr>
        <w:tc>
          <w:tcPr>
            <w:tcW w:w="2704" w:type="dxa"/>
            <w:shd w:val="clear" w:color="auto" w:fill="auto"/>
            <w:noWrap/>
            <w:hideMark/>
          </w:tcPr>
          <w:p w:rsidR="00583BD3" w:rsidRPr="00905DE4" w:rsidRDefault="00583BD3" w:rsidP="000727E8">
            <w:pPr>
              <w:jc w:val="center"/>
              <w:rPr>
                <w:rFonts w:ascii="Garamond" w:hAnsi="Garamond" w:cs="Calibri"/>
                <w:color w:val="000000" w:themeColor="text1"/>
                <w:sz w:val="20"/>
                <w:szCs w:val="20"/>
              </w:rPr>
            </w:pPr>
            <w:r>
              <w:rPr>
                <w:rFonts w:ascii="Garamond" w:hAnsi="Garamond" w:cs="Calibri"/>
                <w:color w:val="000000" w:themeColor="text1"/>
                <w:sz w:val="20"/>
                <w:szCs w:val="20"/>
              </w:rPr>
              <w:t>Board Gender Diversity</w:t>
            </w:r>
            <w:r>
              <w:rPr>
                <w:rFonts w:ascii="Garamond" w:hAnsi="Garamond" w:cs="Calibri"/>
                <w:color w:val="000000"/>
                <w:sz w:val="18"/>
                <w:szCs w:val="18"/>
                <w:vertAlign w:val="subscript"/>
              </w:rPr>
              <w:t>t-1</w:t>
            </w: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r w:rsidRPr="00BD4464">
              <w:rPr>
                <w:rFonts w:ascii="Garamond" w:hAnsi="Garamond" w:hint="eastAsia"/>
                <w:color w:val="000000"/>
                <w:sz w:val="20"/>
                <w:szCs w:val="20"/>
              </w:rPr>
              <w:t>0.0592</w:t>
            </w: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r w:rsidRPr="00BD4464">
              <w:rPr>
                <w:rFonts w:ascii="Garamond" w:hAnsi="Garamond" w:hint="eastAsia"/>
                <w:color w:val="000000"/>
                <w:sz w:val="20"/>
                <w:szCs w:val="20"/>
              </w:rPr>
              <w:t>0.0582</w:t>
            </w: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p>
        </w:tc>
      </w:tr>
      <w:tr w:rsidR="00583BD3" w:rsidRPr="007B26ED" w:rsidTr="000727E8">
        <w:trPr>
          <w:trHeight w:hRule="exact" w:val="255"/>
          <w:jc w:val="center"/>
        </w:trPr>
        <w:tc>
          <w:tcPr>
            <w:tcW w:w="2704" w:type="dxa"/>
            <w:shd w:val="clear" w:color="auto" w:fill="auto"/>
            <w:noWrap/>
            <w:hideMark/>
          </w:tcPr>
          <w:p w:rsidR="00583BD3" w:rsidRPr="00905DE4" w:rsidRDefault="00583BD3" w:rsidP="000727E8">
            <w:pPr>
              <w:jc w:val="center"/>
              <w:rPr>
                <w:rFonts w:ascii="Garamond" w:hAnsi="Garamond" w:cs="Calibri"/>
                <w:color w:val="000000" w:themeColor="text1"/>
                <w:sz w:val="20"/>
                <w:szCs w:val="20"/>
              </w:rPr>
            </w:pP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r w:rsidRPr="00BD4464">
              <w:rPr>
                <w:rFonts w:ascii="Garamond" w:hAnsi="Garamond" w:hint="eastAsia"/>
                <w:color w:val="000000"/>
                <w:sz w:val="20"/>
                <w:szCs w:val="20"/>
              </w:rPr>
              <w:t>(1.10)</w:t>
            </w: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r w:rsidRPr="00BD4464">
              <w:rPr>
                <w:rFonts w:ascii="Garamond" w:hAnsi="Garamond" w:hint="eastAsia"/>
                <w:color w:val="000000"/>
                <w:sz w:val="20"/>
                <w:szCs w:val="20"/>
              </w:rPr>
              <w:t>(1.09)</w:t>
            </w: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p>
        </w:tc>
      </w:tr>
      <w:tr w:rsidR="00583BD3" w:rsidRPr="007B26ED" w:rsidTr="000727E8">
        <w:trPr>
          <w:trHeight w:hRule="exact" w:val="255"/>
          <w:jc w:val="center"/>
        </w:trPr>
        <w:tc>
          <w:tcPr>
            <w:tcW w:w="2704" w:type="dxa"/>
            <w:shd w:val="clear" w:color="auto" w:fill="auto"/>
            <w:noWrap/>
            <w:hideMark/>
          </w:tcPr>
          <w:p w:rsidR="00583BD3" w:rsidRPr="00905DE4" w:rsidRDefault="00583BD3" w:rsidP="000727E8">
            <w:pPr>
              <w:jc w:val="center"/>
              <w:rPr>
                <w:rFonts w:ascii="Garamond" w:hAnsi="Garamond" w:cs="Calibri"/>
                <w:color w:val="000000" w:themeColor="text1"/>
                <w:sz w:val="20"/>
                <w:szCs w:val="20"/>
              </w:rPr>
            </w:pPr>
            <w:r>
              <w:rPr>
                <w:rFonts w:ascii="Garamond" w:hAnsi="Garamond" w:cs="Calibri"/>
                <w:color w:val="000000" w:themeColor="text1"/>
                <w:sz w:val="20"/>
                <w:szCs w:val="20"/>
              </w:rPr>
              <w:t>Board Nationality Diversity</w:t>
            </w:r>
            <w:r>
              <w:rPr>
                <w:rFonts w:ascii="Garamond" w:hAnsi="Garamond" w:cs="Calibri"/>
                <w:color w:val="000000"/>
                <w:sz w:val="18"/>
                <w:szCs w:val="18"/>
                <w:vertAlign w:val="subscript"/>
              </w:rPr>
              <w:t>t-1</w:t>
            </w: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r w:rsidRPr="00BD4464">
              <w:rPr>
                <w:rFonts w:ascii="Garamond" w:hAnsi="Garamond" w:hint="eastAsia"/>
                <w:color w:val="000000"/>
                <w:sz w:val="20"/>
                <w:szCs w:val="20"/>
              </w:rPr>
              <w:t>0.0123</w:t>
            </w: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r w:rsidRPr="00BD4464">
              <w:rPr>
                <w:rFonts w:ascii="Garamond" w:hAnsi="Garamond" w:hint="eastAsia"/>
                <w:color w:val="000000"/>
                <w:sz w:val="20"/>
                <w:szCs w:val="20"/>
              </w:rPr>
              <w:t>0.00913</w:t>
            </w: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p>
        </w:tc>
      </w:tr>
      <w:tr w:rsidR="00583BD3" w:rsidRPr="007B26ED" w:rsidTr="000727E8">
        <w:trPr>
          <w:trHeight w:hRule="exact" w:val="255"/>
          <w:jc w:val="center"/>
        </w:trPr>
        <w:tc>
          <w:tcPr>
            <w:tcW w:w="2704" w:type="dxa"/>
            <w:shd w:val="clear" w:color="auto" w:fill="auto"/>
            <w:noWrap/>
            <w:hideMark/>
          </w:tcPr>
          <w:p w:rsidR="00583BD3" w:rsidRPr="00905DE4" w:rsidRDefault="00583BD3" w:rsidP="000727E8">
            <w:pPr>
              <w:jc w:val="center"/>
              <w:rPr>
                <w:rFonts w:ascii="Garamond" w:hAnsi="Garamond" w:cs="Calibri"/>
                <w:color w:val="000000" w:themeColor="text1"/>
                <w:sz w:val="20"/>
                <w:szCs w:val="20"/>
              </w:rPr>
            </w:pP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r w:rsidRPr="00BD4464">
              <w:rPr>
                <w:rFonts w:ascii="Garamond" w:hAnsi="Garamond" w:hint="eastAsia"/>
                <w:color w:val="000000"/>
                <w:sz w:val="20"/>
                <w:szCs w:val="20"/>
              </w:rPr>
              <w:t>(0.31)</w:t>
            </w: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r w:rsidRPr="00BD4464">
              <w:rPr>
                <w:rFonts w:ascii="Garamond" w:hAnsi="Garamond" w:hint="eastAsia"/>
                <w:color w:val="000000"/>
                <w:sz w:val="20"/>
                <w:szCs w:val="20"/>
              </w:rPr>
              <w:t>(0.23)</w:t>
            </w: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p>
        </w:tc>
      </w:tr>
      <w:tr w:rsidR="00583BD3" w:rsidRPr="007B26ED" w:rsidTr="000727E8">
        <w:trPr>
          <w:trHeight w:hRule="exact" w:val="255"/>
          <w:jc w:val="center"/>
        </w:trPr>
        <w:tc>
          <w:tcPr>
            <w:tcW w:w="2704" w:type="dxa"/>
            <w:shd w:val="clear" w:color="auto" w:fill="auto"/>
            <w:noWrap/>
            <w:hideMark/>
          </w:tcPr>
          <w:p w:rsidR="00583BD3" w:rsidRPr="00905DE4" w:rsidRDefault="00583BD3" w:rsidP="000727E8">
            <w:pPr>
              <w:jc w:val="center"/>
              <w:rPr>
                <w:rFonts w:ascii="Garamond" w:hAnsi="Garamond" w:cs="Calibri"/>
                <w:color w:val="000000" w:themeColor="text1"/>
                <w:sz w:val="20"/>
                <w:szCs w:val="20"/>
              </w:rPr>
            </w:pPr>
            <w:r w:rsidRPr="00905DE4">
              <w:rPr>
                <w:rFonts w:ascii="Garamond" w:hAnsi="Garamond" w:cs="Calibri"/>
                <w:color w:val="000000" w:themeColor="text1"/>
                <w:sz w:val="20"/>
                <w:szCs w:val="20"/>
              </w:rPr>
              <w:t>Board Age Diversity</w:t>
            </w:r>
            <w:r>
              <w:rPr>
                <w:rFonts w:ascii="Garamond" w:hAnsi="Garamond" w:cs="Calibri"/>
                <w:color w:val="000000"/>
                <w:sz w:val="18"/>
                <w:szCs w:val="18"/>
                <w:vertAlign w:val="subscript"/>
              </w:rPr>
              <w:t>t-1</w:t>
            </w: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r w:rsidRPr="00BD4464">
              <w:rPr>
                <w:rFonts w:ascii="Garamond" w:hAnsi="Garamond" w:hint="eastAsia"/>
                <w:color w:val="000000"/>
                <w:sz w:val="20"/>
                <w:szCs w:val="20"/>
              </w:rPr>
              <w:t>0.000121</w:t>
            </w: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r w:rsidRPr="00BD4464">
              <w:rPr>
                <w:rFonts w:ascii="Garamond" w:hAnsi="Garamond" w:hint="eastAsia"/>
                <w:color w:val="000000"/>
                <w:sz w:val="20"/>
                <w:szCs w:val="20"/>
              </w:rPr>
              <w:t>0.000521</w:t>
            </w: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p>
        </w:tc>
      </w:tr>
      <w:tr w:rsidR="00583BD3" w:rsidRPr="007B26ED" w:rsidTr="000727E8">
        <w:trPr>
          <w:trHeight w:hRule="exact" w:val="255"/>
          <w:jc w:val="center"/>
        </w:trPr>
        <w:tc>
          <w:tcPr>
            <w:tcW w:w="2704" w:type="dxa"/>
            <w:shd w:val="clear" w:color="auto" w:fill="auto"/>
            <w:noWrap/>
            <w:hideMark/>
          </w:tcPr>
          <w:p w:rsidR="00583BD3" w:rsidRPr="00905DE4" w:rsidRDefault="00583BD3" w:rsidP="000727E8">
            <w:pPr>
              <w:jc w:val="center"/>
              <w:rPr>
                <w:rFonts w:ascii="Garamond" w:hAnsi="Garamond" w:cs="Calibri"/>
                <w:color w:val="000000" w:themeColor="text1"/>
                <w:sz w:val="20"/>
                <w:szCs w:val="20"/>
              </w:rPr>
            </w:pP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r w:rsidRPr="00BD4464">
              <w:rPr>
                <w:rFonts w:ascii="Garamond" w:hAnsi="Garamond" w:hint="eastAsia"/>
                <w:color w:val="000000"/>
                <w:sz w:val="20"/>
                <w:szCs w:val="20"/>
              </w:rPr>
              <w:t>(0.01)</w:t>
            </w: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r w:rsidRPr="00BD4464">
              <w:rPr>
                <w:rFonts w:ascii="Garamond" w:hAnsi="Garamond" w:hint="eastAsia"/>
                <w:color w:val="000000"/>
                <w:sz w:val="20"/>
                <w:szCs w:val="20"/>
              </w:rPr>
              <w:t>(0.04)</w:t>
            </w: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p>
        </w:tc>
      </w:tr>
      <w:tr w:rsidR="00583BD3" w:rsidRPr="007B26ED" w:rsidTr="000727E8">
        <w:trPr>
          <w:trHeight w:hRule="exact" w:val="255"/>
          <w:jc w:val="center"/>
        </w:trPr>
        <w:tc>
          <w:tcPr>
            <w:tcW w:w="2704" w:type="dxa"/>
            <w:shd w:val="clear" w:color="auto" w:fill="auto"/>
            <w:noWrap/>
            <w:hideMark/>
          </w:tcPr>
          <w:p w:rsidR="00583BD3" w:rsidRPr="00905DE4" w:rsidRDefault="00583BD3" w:rsidP="000727E8">
            <w:pPr>
              <w:jc w:val="center"/>
              <w:rPr>
                <w:rFonts w:ascii="Garamond" w:hAnsi="Garamond" w:cs="Calibri"/>
                <w:color w:val="000000" w:themeColor="text1"/>
                <w:sz w:val="20"/>
                <w:szCs w:val="20"/>
              </w:rPr>
            </w:pPr>
            <w:r w:rsidRPr="00905DE4">
              <w:rPr>
                <w:rFonts w:ascii="Garamond" w:hAnsi="Garamond" w:cs="Calibri"/>
                <w:color w:val="000000" w:themeColor="text1"/>
                <w:sz w:val="20"/>
                <w:szCs w:val="20"/>
              </w:rPr>
              <w:t>Board Aggregate Diversity</w:t>
            </w:r>
            <w:r>
              <w:rPr>
                <w:rFonts w:ascii="Garamond" w:hAnsi="Garamond" w:cs="Calibri"/>
                <w:color w:val="000000"/>
                <w:sz w:val="18"/>
                <w:szCs w:val="18"/>
                <w:vertAlign w:val="subscript"/>
              </w:rPr>
              <w:t>t-1</w:t>
            </w: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r w:rsidRPr="00BD4464">
              <w:rPr>
                <w:rFonts w:ascii="Garamond" w:hAnsi="Garamond" w:hint="eastAsia"/>
                <w:color w:val="000000"/>
                <w:sz w:val="20"/>
                <w:szCs w:val="20"/>
              </w:rPr>
              <w:t>0.00250</w:t>
            </w:r>
          </w:p>
        </w:tc>
      </w:tr>
      <w:tr w:rsidR="00583BD3" w:rsidRPr="007B26ED" w:rsidTr="000727E8">
        <w:trPr>
          <w:trHeight w:hRule="exact" w:val="255"/>
          <w:jc w:val="center"/>
        </w:trPr>
        <w:tc>
          <w:tcPr>
            <w:tcW w:w="2704" w:type="dxa"/>
            <w:shd w:val="clear" w:color="auto" w:fill="auto"/>
            <w:noWrap/>
            <w:hideMark/>
          </w:tcPr>
          <w:p w:rsidR="00583BD3" w:rsidRPr="00D14B9E" w:rsidRDefault="00583BD3" w:rsidP="000727E8">
            <w:pPr>
              <w:jc w:val="center"/>
              <w:rPr>
                <w:rFonts w:ascii="Garamond" w:hAnsi="Garamond" w:cs="Calibri"/>
                <w:color w:val="000000"/>
                <w:sz w:val="18"/>
                <w:szCs w:val="18"/>
              </w:rPr>
            </w:pP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r w:rsidRPr="00BD4464">
              <w:rPr>
                <w:rFonts w:ascii="Garamond" w:hAnsi="Garamond" w:hint="eastAsia"/>
                <w:color w:val="000000"/>
                <w:sz w:val="20"/>
                <w:szCs w:val="20"/>
              </w:rPr>
              <w:t>(0.80)</w:t>
            </w:r>
          </w:p>
        </w:tc>
      </w:tr>
      <w:tr w:rsidR="00583BD3" w:rsidRPr="00F461D1" w:rsidTr="000727E8">
        <w:trPr>
          <w:trHeight w:hRule="exact" w:val="255"/>
          <w:jc w:val="center"/>
        </w:trPr>
        <w:tc>
          <w:tcPr>
            <w:tcW w:w="2704" w:type="dxa"/>
            <w:shd w:val="clear" w:color="auto" w:fill="auto"/>
            <w:noWrap/>
            <w:hideMark/>
          </w:tcPr>
          <w:p w:rsidR="00583BD3" w:rsidRPr="00F461D1" w:rsidRDefault="00583BD3" w:rsidP="000727E8">
            <w:pPr>
              <w:jc w:val="center"/>
              <w:rPr>
                <w:rFonts w:ascii="Garamond" w:hAnsi="Garamond" w:cs="Calibri"/>
                <w:color w:val="000000" w:themeColor="text1"/>
                <w:sz w:val="20"/>
                <w:szCs w:val="20"/>
              </w:rPr>
            </w:pPr>
            <w:r w:rsidRPr="004F31F6">
              <w:rPr>
                <w:rFonts w:ascii="Garamond" w:hAnsi="Garamond" w:cs="Calibri"/>
                <w:color w:val="000000"/>
                <w:sz w:val="18"/>
                <w:szCs w:val="18"/>
              </w:rPr>
              <w:t>Cons</w:t>
            </w:r>
            <w:r>
              <w:rPr>
                <w:rFonts w:ascii="Garamond" w:hAnsi="Garamond" w:cs="Calibri"/>
                <w:color w:val="000000"/>
                <w:sz w:val="18"/>
                <w:szCs w:val="18"/>
              </w:rPr>
              <w:t>t</w:t>
            </w:r>
            <w:r w:rsidRPr="004F31F6">
              <w:rPr>
                <w:rFonts w:ascii="Garamond" w:hAnsi="Garamond" w:cs="Calibri"/>
                <w:color w:val="000000"/>
                <w:sz w:val="18"/>
                <w:szCs w:val="18"/>
              </w:rPr>
              <w:t>ant</w:t>
            </w: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r w:rsidRPr="00BD4464">
              <w:rPr>
                <w:rFonts w:ascii="Garamond" w:hAnsi="Garamond" w:hint="eastAsia"/>
                <w:color w:val="000000"/>
                <w:sz w:val="20"/>
                <w:szCs w:val="20"/>
              </w:rPr>
              <w:t>-0.188</w:t>
            </w: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r w:rsidRPr="00BD4464">
              <w:rPr>
                <w:rFonts w:ascii="Garamond" w:hAnsi="Garamond" w:hint="eastAsia"/>
                <w:color w:val="000000"/>
                <w:sz w:val="20"/>
                <w:szCs w:val="20"/>
              </w:rPr>
              <w:t>-0.186</w:t>
            </w: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r w:rsidRPr="00BD4464">
              <w:rPr>
                <w:rFonts w:ascii="Garamond" w:hAnsi="Garamond" w:hint="eastAsia"/>
                <w:color w:val="000000"/>
                <w:sz w:val="20"/>
                <w:szCs w:val="20"/>
              </w:rPr>
              <w:t>-0.186</w:t>
            </w: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r w:rsidRPr="00BD4464">
              <w:rPr>
                <w:rFonts w:ascii="Garamond" w:hAnsi="Garamond" w:hint="eastAsia"/>
                <w:color w:val="000000"/>
                <w:sz w:val="20"/>
                <w:szCs w:val="20"/>
              </w:rPr>
              <w:t>-0.188</w:t>
            </w: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r w:rsidRPr="00BD4464">
              <w:rPr>
                <w:rFonts w:ascii="Garamond" w:hAnsi="Garamond" w:hint="eastAsia"/>
                <w:color w:val="000000"/>
                <w:sz w:val="20"/>
                <w:szCs w:val="20"/>
              </w:rPr>
              <w:t>-0.185</w:t>
            </w:r>
          </w:p>
        </w:tc>
        <w:tc>
          <w:tcPr>
            <w:tcW w:w="0" w:type="auto"/>
            <w:shd w:val="clear" w:color="auto" w:fill="auto"/>
            <w:noWrap/>
            <w:vAlign w:val="center"/>
            <w:hideMark/>
          </w:tcPr>
          <w:p w:rsidR="00583BD3" w:rsidRPr="00BD4464" w:rsidRDefault="00583BD3" w:rsidP="000727E8">
            <w:pPr>
              <w:rPr>
                <w:rFonts w:ascii="Garamond" w:hAnsi="Garamond"/>
                <w:color w:val="000000"/>
                <w:sz w:val="20"/>
                <w:szCs w:val="20"/>
              </w:rPr>
            </w:pPr>
            <w:r w:rsidRPr="00BD4464">
              <w:rPr>
                <w:rFonts w:ascii="Garamond" w:hAnsi="Garamond" w:hint="eastAsia"/>
                <w:color w:val="000000"/>
                <w:sz w:val="20"/>
                <w:szCs w:val="20"/>
              </w:rPr>
              <w:t>-0.209</w:t>
            </w:r>
          </w:p>
        </w:tc>
      </w:tr>
      <w:tr w:rsidR="00583BD3" w:rsidRPr="00F461D1" w:rsidTr="000727E8">
        <w:trPr>
          <w:trHeight w:hRule="exact" w:val="255"/>
          <w:jc w:val="center"/>
        </w:trPr>
        <w:tc>
          <w:tcPr>
            <w:tcW w:w="2704" w:type="dxa"/>
            <w:tcBorders>
              <w:bottom w:val="single" w:sz="4" w:space="0" w:color="auto"/>
            </w:tcBorders>
            <w:shd w:val="clear" w:color="auto" w:fill="auto"/>
            <w:noWrap/>
            <w:hideMark/>
          </w:tcPr>
          <w:p w:rsidR="00583BD3" w:rsidRPr="00F461D1" w:rsidRDefault="00583BD3" w:rsidP="000727E8">
            <w:pPr>
              <w:rPr>
                <w:rFonts w:ascii="Garamond" w:hAnsi="Garamond" w:cs="Calibri"/>
                <w:color w:val="000000" w:themeColor="text1"/>
                <w:sz w:val="20"/>
                <w:szCs w:val="20"/>
              </w:rPr>
            </w:pPr>
          </w:p>
        </w:tc>
        <w:tc>
          <w:tcPr>
            <w:tcW w:w="0" w:type="auto"/>
            <w:tcBorders>
              <w:bottom w:val="single" w:sz="4" w:space="0" w:color="auto"/>
            </w:tcBorders>
            <w:shd w:val="clear" w:color="auto" w:fill="auto"/>
            <w:noWrap/>
            <w:vAlign w:val="center"/>
            <w:hideMark/>
          </w:tcPr>
          <w:p w:rsidR="00583BD3" w:rsidRPr="00BD4464" w:rsidRDefault="00583BD3" w:rsidP="000727E8">
            <w:pPr>
              <w:rPr>
                <w:rFonts w:ascii="Garamond" w:hAnsi="Garamond"/>
                <w:color w:val="000000"/>
                <w:sz w:val="20"/>
                <w:szCs w:val="20"/>
              </w:rPr>
            </w:pPr>
            <w:r w:rsidRPr="00BD4464">
              <w:rPr>
                <w:rFonts w:ascii="Garamond" w:hAnsi="Garamond" w:hint="eastAsia"/>
                <w:color w:val="000000"/>
                <w:sz w:val="20"/>
                <w:szCs w:val="20"/>
              </w:rPr>
              <w:t>(-1.23)</w:t>
            </w:r>
          </w:p>
        </w:tc>
        <w:tc>
          <w:tcPr>
            <w:tcW w:w="0" w:type="auto"/>
            <w:tcBorders>
              <w:bottom w:val="single" w:sz="4" w:space="0" w:color="auto"/>
            </w:tcBorders>
            <w:shd w:val="clear" w:color="auto" w:fill="auto"/>
            <w:noWrap/>
            <w:vAlign w:val="center"/>
            <w:hideMark/>
          </w:tcPr>
          <w:p w:rsidR="00583BD3" w:rsidRPr="00BD4464" w:rsidRDefault="00583BD3" w:rsidP="000727E8">
            <w:pPr>
              <w:rPr>
                <w:rFonts w:ascii="Garamond" w:hAnsi="Garamond"/>
                <w:color w:val="000000"/>
                <w:sz w:val="20"/>
                <w:szCs w:val="20"/>
              </w:rPr>
            </w:pPr>
            <w:r w:rsidRPr="00BD4464">
              <w:rPr>
                <w:rFonts w:ascii="Garamond" w:hAnsi="Garamond" w:hint="eastAsia"/>
                <w:color w:val="000000"/>
                <w:sz w:val="20"/>
                <w:szCs w:val="20"/>
              </w:rPr>
              <w:t>(-1.22)</w:t>
            </w:r>
          </w:p>
        </w:tc>
        <w:tc>
          <w:tcPr>
            <w:tcW w:w="0" w:type="auto"/>
            <w:tcBorders>
              <w:bottom w:val="single" w:sz="4" w:space="0" w:color="auto"/>
            </w:tcBorders>
            <w:shd w:val="clear" w:color="auto" w:fill="auto"/>
            <w:noWrap/>
            <w:vAlign w:val="center"/>
            <w:hideMark/>
          </w:tcPr>
          <w:p w:rsidR="00583BD3" w:rsidRPr="00BD4464" w:rsidRDefault="00583BD3" w:rsidP="000727E8">
            <w:pPr>
              <w:rPr>
                <w:rFonts w:ascii="Garamond" w:hAnsi="Garamond"/>
                <w:color w:val="000000"/>
                <w:sz w:val="20"/>
                <w:szCs w:val="20"/>
              </w:rPr>
            </w:pPr>
            <w:r w:rsidRPr="00BD4464">
              <w:rPr>
                <w:rFonts w:ascii="Garamond" w:hAnsi="Garamond" w:hint="eastAsia"/>
                <w:color w:val="000000"/>
                <w:sz w:val="20"/>
                <w:szCs w:val="20"/>
              </w:rPr>
              <w:t>(-1.21)</w:t>
            </w:r>
          </w:p>
        </w:tc>
        <w:tc>
          <w:tcPr>
            <w:tcW w:w="0" w:type="auto"/>
            <w:tcBorders>
              <w:bottom w:val="single" w:sz="4" w:space="0" w:color="auto"/>
            </w:tcBorders>
            <w:shd w:val="clear" w:color="auto" w:fill="auto"/>
            <w:noWrap/>
            <w:vAlign w:val="center"/>
            <w:hideMark/>
          </w:tcPr>
          <w:p w:rsidR="00583BD3" w:rsidRPr="00BD4464" w:rsidRDefault="00583BD3" w:rsidP="000727E8">
            <w:pPr>
              <w:rPr>
                <w:rFonts w:ascii="Garamond" w:hAnsi="Garamond"/>
                <w:color w:val="000000"/>
                <w:sz w:val="20"/>
                <w:szCs w:val="20"/>
              </w:rPr>
            </w:pPr>
            <w:r w:rsidRPr="00BD4464">
              <w:rPr>
                <w:rFonts w:ascii="Garamond" w:hAnsi="Garamond" w:hint="eastAsia"/>
                <w:color w:val="000000"/>
                <w:sz w:val="20"/>
                <w:szCs w:val="20"/>
              </w:rPr>
              <w:t>(-1.23)</w:t>
            </w:r>
          </w:p>
        </w:tc>
        <w:tc>
          <w:tcPr>
            <w:tcW w:w="0" w:type="auto"/>
            <w:tcBorders>
              <w:bottom w:val="single" w:sz="4" w:space="0" w:color="auto"/>
            </w:tcBorders>
            <w:shd w:val="clear" w:color="auto" w:fill="auto"/>
            <w:noWrap/>
            <w:vAlign w:val="center"/>
            <w:hideMark/>
          </w:tcPr>
          <w:p w:rsidR="00583BD3" w:rsidRPr="00BD4464" w:rsidRDefault="00583BD3" w:rsidP="000727E8">
            <w:pPr>
              <w:rPr>
                <w:rFonts w:ascii="Garamond" w:hAnsi="Garamond"/>
                <w:color w:val="000000"/>
                <w:sz w:val="20"/>
                <w:szCs w:val="20"/>
              </w:rPr>
            </w:pPr>
            <w:r w:rsidRPr="00BD4464">
              <w:rPr>
                <w:rFonts w:ascii="Garamond" w:hAnsi="Garamond" w:hint="eastAsia"/>
                <w:color w:val="000000"/>
                <w:sz w:val="20"/>
                <w:szCs w:val="20"/>
              </w:rPr>
              <w:t>(-1.21)</w:t>
            </w:r>
          </w:p>
        </w:tc>
        <w:tc>
          <w:tcPr>
            <w:tcW w:w="0" w:type="auto"/>
            <w:tcBorders>
              <w:bottom w:val="single" w:sz="4" w:space="0" w:color="auto"/>
            </w:tcBorders>
            <w:shd w:val="clear" w:color="auto" w:fill="auto"/>
            <w:noWrap/>
            <w:vAlign w:val="center"/>
            <w:hideMark/>
          </w:tcPr>
          <w:p w:rsidR="00583BD3" w:rsidRPr="00BD4464" w:rsidRDefault="00583BD3" w:rsidP="000727E8">
            <w:pPr>
              <w:rPr>
                <w:rFonts w:ascii="Garamond" w:hAnsi="Garamond"/>
                <w:color w:val="000000"/>
                <w:sz w:val="20"/>
                <w:szCs w:val="20"/>
              </w:rPr>
            </w:pPr>
            <w:r w:rsidRPr="00BD4464">
              <w:rPr>
                <w:rFonts w:ascii="Garamond" w:hAnsi="Garamond" w:hint="eastAsia"/>
                <w:color w:val="000000"/>
                <w:sz w:val="20"/>
                <w:szCs w:val="20"/>
              </w:rPr>
              <w:t>(-1.36)</w:t>
            </w:r>
          </w:p>
        </w:tc>
      </w:tr>
      <w:tr w:rsidR="00583BD3" w:rsidRPr="00F461D1" w:rsidTr="000727E8">
        <w:trPr>
          <w:trHeight w:hRule="exact" w:val="255"/>
          <w:jc w:val="center"/>
        </w:trPr>
        <w:tc>
          <w:tcPr>
            <w:tcW w:w="2704" w:type="dxa"/>
            <w:tcBorders>
              <w:top w:val="single" w:sz="4" w:space="0" w:color="auto"/>
              <w:bottom w:val="nil"/>
            </w:tcBorders>
            <w:shd w:val="clear" w:color="auto" w:fill="auto"/>
            <w:noWrap/>
            <w:hideMark/>
          </w:tcPr>
          <w:p w:rsidR="00583BD3" w:rsidRPr="00F461D1" w:rsidRDefault="00583BD3" w:rsidP="000727E8">
            <w:pPr>
              <w:jc w:val="center"/>
              <w:rPr>
                <w:rFonts w:ascii="Garamond" w:hAnsi="Garamond" w:cs="Calibri"/>
                <w:color w:val="000000" w:themeColor="text1"/>
                <w:sz w:val="20"/>
                <w:szCs w:val="20"/>
              </w:rPr>
            </w:pPr>
            <w:r w:rsidRPr="00F461D1">
              <w:rPr>
                <w:rFonts w:ascii="Garamond" w:hAnsi="Garamond" w:cs="Calibri"/>
                <w:color w:val="000000" w:themeColor="text1"/>
                <w:sz w:val="20"/>
                <w:szCs w:val="20"/>
              </w:rPr>
              <w:t>Firm Fixed Effects</w:t>
            </w:r>
          </w:p>
        </w:tc>
        <w:tc>
          <w:tcPr>
            <w:tcW w:w="0" w:type="auto"/>
            <w:tcBorders>
              <w:top w:val="single" w:sz="4" w:space="0" w:color="auto"/>
              <w:bottom w:val="nil"/>
            </w:tcBorders>
            <w:shd w:val="clear" w:color="auto" w:fill="auto"/>
            <w:noWrap/>
            <w:hideMark/>
          </w:tcPr>
          <w:p w:rsidR="00583BD3" w:rsidRPr="00F461D1" w:rsidRDefault="00583BD3" w:rsidP="000727E8">
            <w:pPr>
              <w:rPr>
                <w:rFonts w:ascii="Garamond" w:hAnsi="Garamond" w:cs="Calibri"/>
                <w:color w:val="000000" w:themeColor="text1"/>
                <w:sz w:val="20"/>
                <w:szCs w:val="20"/>
              </w:rPr>
            </w:pPr>
            <w:r w:rsidRPr="00F461D1">
              <w:rPr>
                <w:rFonts w:ascii="Garamond" w:hAnsi="Garamond" w:cs="Calibri"/>
                <w:color w:val="000000" w:themeColor="text1"/>
                <w:sz w:val="20"/>
                <w:szCs w:val="20"/>
              </w:rPr>
              <w:t>Yes</w:t>
            </w:r>
          </w:p>
        </w:tc>
        <w:tc>
          <w:tcPr>
            <w:tcW w:w="0" w:type="auto"/>
            <w:tcBorders>
              <w:top w:val="single" w:sz="4" w:space="0" w:color="auto"/>
              <w:bottom w:val="nil"/>
            </w:tcBorders>
            <w:shd w:val="clear" w:color="auto" w:fill="auto"/>
            <w:noWrap/>
            <w:hideMark/>
          </w:tcPr>
          <w:p w:rsidR="00583BD3" w:rsidRPr="00F461D1" w:rsidRDefault="00583BD3" w:rsidP="000727E8">
            <w:pPr>
              <w:rPr>
                <w:rFonts w:ascii="Garamond" w:hAnsi="Garamond" w:cs="Calibri"/>
                <w:color w:val="000000" w:themeColor="text1"/>
                <w:sz w:val="20"/>
                <w:szCs w:val="20"/>
              </w:rPr>
            </w:pPr>
            <w:r w:rsidRPr="00F461D1">
              <w:rPr>
                <w:rFonts w:ascii="Garamond" w:hAnsi="Garamond" w:cs="Calibri"/>
                <w:color w:val="000000" w:themeColor="text1"/>
                <w:sz w:val="20"/>
                <w:szCs w:val="20"/>
              </w:rPr>
              <w:t>Yes</w:t>
            </w:r>
          </w:p>
        </w:tc>
        <w:tc>
          <w:tcPr>
            <w:tcW w:w="0" w:type="auto"/>
            <w:tcBorders>
              <w:top w:val="single" w:sz="4" w:space="0" w:color="auto"/>
              <w:bottom w:val="nil"/>
            </w:tcBorders>
            <w:shd w:val="clear" w:color="auto" w:fill="auto"/>
            <w:noWrap/>
            <w:hideMark/>
          </w:tcPr>
          <w:p w:rsidR="00583BD3" w:rsidRPr="00F461D1" w:rsidRDefault="00583BD3" w:rsidP="000727E8">
            <w:pPr>
              <w:rPr>
                <w:rFonts w:ascii="Garamond" w:hAnsi="Garamond" w:cs="Calibri"/>
                <w:color w:val="000000" w:themeColor="text1"/>
                <w:sz w:val="20"/>
                <w:szCs w:val="20"/>
              </w:rPr>
            </w:pPr>
            <w:r w:rsidRPr="00F461D1">
              <w:rPr>
                <w:rFonts w:ascii="Garamond" w:hAnsi="Garamond" w:cs="Calibri"/>
                <w:color w:val="000000" w:themeColor="text1"/>
                <w:sz w:val="20"/>
                <w:szCs w:val="20"/>
              </w:rPr>
              <w:t>Yes</w:t>
            </w:r>
          </w:p>
        </w:tc>
        <w:tc>
          <w:tcPr>
            <w:tcW w:w="0" w:type="auto"/>
            <w:tcBorders>
              <w:top w:val="single" w:sz="4" w:space="0" w:color="auto"/>
              <w:bottom w:val="nil"/>
            </w:tcBorders>
            <w:shd w:val="clear" w:color="auto" w:fill="auto"/>
            <w:noWrap/>
            <w:hideMark/>
          </w:tcPr>
          <w:p w:rsidR="00583BD3" w:rsidRPr="00F461D1" w:rsidRDefault="00583BD3" w:rsidP="000727E8">
            <w:pPr>
              <w:rPr>
                <w:rFonts w:ascii="Garamond" w:hAnsi="Garamond" w:cs="Calibri"/>
                <w:color w:val="000000" w:themeColor="text1"/>
                <w:sz w:val="20"/>
                <w:szCs w:val="20"/>
              </w:rPr>
            </w:pPr>
            <w:r w:rsidRPr="00F461D1">
              <w:rPr>
                <w:rFonts w:ascii="Garamond" w:hAnsi="Garamond" w:cs="Calibri"/>
                <w:color w:val="000000" w:themeColor="text1"/>
                <w:sz w:val="20"/>
                <w:szCs w:val="20"/>
              </w:rPr>
              <w:t>Yes</w:t>
            </w:r>
          </w:p>
        </w:tc>
        <w:tc>
          <w:tcPr>
            <w:tcW w:w="0" w:type="auto"/>
            <w:tcBorders>
              <w:top w:val="single" w:sz="4" w:space="0" w:color="auto"/>
              <w:bottom w:val="nil"/>
            </w:tcBorders>
            <w:shd w:val="clear" w:color="auto" w:fill="auto"/>
            <w:noWrap/>
            <w:hideMark/>
          </w:tcPr>
          <w:p w:rsidR="00583BD3" w:rsidRPr="00F461D1" w:rsidRDefault="00583BD3" w:rsidP="000727E8">
            <w:pPr>
              <w:rPr>
                <w:rFonts w:ascii="Garamond" w:hAnsi="Garamond" w:cs="Calibri"/>
                <w:color w:val="000000" w:themeColor="text1"/>
                <w:sz w:val="20"/>
                <w:szCs w:val="20"/>
              </w:rPr>
            </w:pPr>
            <w:r w:rsidRPr="00F461D1">
              <w:rPr>
                <w:rFonts w:ascii="Garamond" w:hAnsi="Garamond" w:cs="Calibri"/>
                <w:color w:val="000000" w:themeColor="text1"/>
                <w:sz w:val="20"/>
                <w:szCs w:val="20"/>
              </w:rPr>
              <w:t>Yes</w:t>
            </w:r>
          </w:p>
        </w:tc>
        <w:tc>
          <w:tcPr>
            <w:tcW w:w="0" w:type="auto"/>
            <w:tcBorders>
              <w:top w:val="single" w:sz="4" w:space="0" w:color="auto"/>
              <w:bottom w:val="nil"/>
            </w:tcBorders>
            <w:shd w:val="clear" w:color="auto" w:fill="auto"/>
            <w:noWrap/>
            <w:hideMark/>
          </w:tcPr>
          <w:p w:rsidR="00583BD3" w:rsidRPr="00F461D1" w:rsidRDefault="00583BD3" w:rsidP="000727E8">
            <w:pPr>
              <w:rPr>
                <w:rFonts w:ascii="Garamond" w:hAnsi="Garamond" w:cs="Calibri"/>
                <w:color w:val="000000" w:themeColor="text1"/>
                <w:sz w:val="20"/>
                <w:szCs w:val="20"/>
              </w:rPr>
            </w:pPr>
            <w:r w:rsidRPr="00F461D1">
              <w:rPr>
                <w:rFonts w:ascii="Garamond" w:hAnsi="Garamond" w:cs="Calibri"/>
                <w:color w:val="000000" w:themeColor="text1"/>
                <w:sz w:val="20"/>
                <w:szCs w:val="20"/>
              </w:rPr>
              <w:t>Yes</w:t>
            </w:r>
          </w:p>
        </w:tc>
      </w:tr>
      <w:tr w:rsidR="00583BD3" w:rsidRPr="00F461D1" w:rsidTr="000727E8">
        <w:trPr>
          <w:trHeight w:hRule="exact" w:val="255"/>
          <w:jc w:val="center"/>
        </w:trPr>
        <w:tc>
          <w:tcPr>
            <w:tcW w:w="2704" w:type="dxa"/>
            <w:tcBorders>
              <w:top w:val="nil"/>
            </w:tcBorders>
            <w:shd w:val="clear" w:color="auto" w:fill="auto"/>
            <w:noWrap/>
            <w:hideMark/>
          </w:tcPr>
          <w:p w:rsidR="00583BD3" w:rsidRPr="00F461D1" w:rsidRDefault="00583BD3" w:rsidP="000727E8">
            <w:pPr>
              <w:jc w:val="center"/>
              <w:rPr>
                <w:rFonts w:ascii="Garamond" w:hAnsi="Garamond" w:cs="Calibri"/>
                <w:color w:val="000000" w:themeColor="text1"/>
                <w:sz w:val="20"/>
                <w:szCs w:val="20"/>
              </w:rPr>
            </w:pPr>
            <w:proofErr w:type="spellStart"/>
            <w:r w:rsidRPr="00F461D1">
              <w:rPr>
                <w:rFonts w:ascii="Garamond" w:hAnsi="Garamond" w:cs="Calibri"/>
                <w:color w:val="000000" w:themeColor="text1"/>
                <w:sz w:val="20"/>
                <w:szCs w:val="20"/>
              </w:rPr>
              <w:t>Year#Industry</w:t>
            </w:r>
            <w:proofErr w:type="spellEnd"/>
            <w:r w:rsidRPr="00F461D1">
              <w:rPr>
                <w:rFonts w:ascii="Garamond" w:hAnsi="Garamond" w:cs="Calibri"/>
                <w:color w:val="000000" w:themeColor="text1"/>
                <w:sz w:val="20"/>
                <w:szCs w:val="20"/>
              </w:rPr>
              <w:t xml:space="preserve"> Fixed Effects</w:t>
            </w:r>
          </w:p>
        </w:tc>
        <w:tc>
          <w:tcPr>
            <w:tcW w:w="0" w:type="auto"/>
            <w:tcBorders>
              <w:top w:val="nil"/>
            </w:tcBorders>
            <w:shd w:val="clear" w:color="auto" w:fill="auto"/>
            <w:noWrap/>
            <w:hideMark/>
          </w:tcPr>
          <w:p w:rsidR="00583BD3" w:rsidRPr="00F461D1" w:rsidRDefault="00583BD3" w:rsidP="000727E8">
            <w:pPr>
              <w:rPr>
                <w:rFonts w:ascii="Garamond" w:hAnsi="Garamond" w:cs="Calibri"/>
                <w:color w:val="000000" w:themeColor="text1"/>
                <w:sz w:val="20"/>
                <w:szCs w:val="20"/>
              </w:rPr>
            </w:pPr>
            <w:r w:rsidRPr="00F461D1">
              <w:rPr>
                <w:rFonts w:ascii="Garamond" w:hAnsi="Garamond" w:cs="Calibri"/>
                <w:color w:val="000000" w:themeColor="text1"/>
                <w:sz w:val="20"/>
                <w:szCs w:val="20"/>
              </w:rPr>
              <w:t>Yes</w:t>
            </w:r>
          </w:p>
        </w:tc>
        <w:tc>
          <w:tcPr>
            <w:tcW w:w="0" w:type="auto"/>
            <w:tcBorders>
              <w:top w:val="nil"/>
            </w:tcBorders>
            <w:shd w:val="clear" w:color="auto" w:fill="auto"/>
            <w:noWrap/>
            <w:hideMark/>
          </w:tcPr>
          <w:p w:rsidR="00583BD3" w:rsidRPr="00F461D1" w:rsidRDefault="00583BD3" w:rsidP="000727E8">
            <w:pPr>
              <w:rPr>
                <w:rFonts w:ascii="Garamond" w:hAnsi="Garamond" w:cs="Calibri"/>
                <w:color w:val="000000" w:themeColor="text1"/>
                <w:sz w:val="20"/>
                <w:szCs w:val="20"/>
              </w:rPr>
            </w:pPr>
            <w:r w:rsidRPr="00F461D1">
              <w:rPr>
                <w:rFonts w:ascii="Garamond" w:hAnsi="Garamond" w:cs="Calibri"/>
                <w:color w:val="000000" w:themeColor="text1"/>
                <w:sz w:val="20"/>
                <w:szCs w:val="20"/>
              </w:rPr>
              <w:t>Yes</w:t>
            </w:r>
          </w:p>
        </w:tc>
        <w:tc>
          <w:tcPr>
            <w:tcW w:w="0" w:type="auto"/>
            <w:tcBorders>
              <w:top w:val="nil"/>
            </w:tcBorders>
            <w:shd w:val="clear" w:color="auto" w:fill="auto"/>
            <w:noWrap/>
            <w:hideMark/>
          </w:tcPr>
          <w:p w:rsidR="00583BD3" w:rsidRPr="00F461D1" w:rsidRDefault="00583BD3" w:rsidP="000727E8">
            <w:pPr>
              <w:rPr>
                <w:rFonts w:ascii="Garamond" w:hAnsi="Garamond" w:cs="Calibri"/>
                <w:color w:val="000000" w:themeColor="text1"/>
                <w:sz w:val="20"/>
                <w:szCs w:val="20"/>
              </w:rPr>
            </w:pPr>
            <w:r w:rsidRPr="00F461D1">
              <w:rPr>
                <w:rFonts w:ascii="Garamond" w:hAnsi="Garamond" w:cs="Calibri"/>
                <w:color w:val="000000" w:themeColor="text1"/>
                <w:sz w:val="20"/>
                <w:szCs w:val="20"/>
              </w:rPr>
              <w:t>Yes</w:t>
            </w:r>
          </w:p>
        </w:tc>
        <w:tc>
          <w:tcPr>
            <w:tcW w:w="0" w:type="auto"/>
            <w:tcBorders>
              <w:top w:val="nil"/>
            </w:tcBorders>
            <w:shd w:val="clear" w:color="auto" w:fill="auto"/>
            <w:noWrap/>
            <w:hideMark/>
          </w:tcPr>
          <w:p w:rsidR="00583BD3" w:rsidRPr="00F461D1" w:rsidRDefault="00583BD3" w:rsidP="000727E8">
            <w:pPr>
              <w:rPr>
                <w:rFonts w:ascii="Garamond" w:hAnsi="Garamond" w:cs="Calibri"/>
                <w:color w:val="000000" w:themeColor="text1"/>
                <w:sz w:val="20"/>
                <w:szCs w:val="20"/>
              </w:rPr>
            </w:pPr>
            <w:r w:rsidRPr="00F461D1">
              <w:rPr>
                <w:rFonts w:ascii="Garamond" w:hAnsi="Garamond" w:cs="Calibri"/>
                <w:color w:val="000000" w:themeColor="text1"/>
                <w:sz w:val="20"/>
                <w:szCs w:val="20"/>
              </w:rPr>
              <w:t>Yes</w:t>
            </w:r>
          </w:p>
        </w:tc>
        <w:tc>
          <w:tcPr>
            <w:tcW w:w="0" w:type="auto"/>
            <w:tcBorders>
              <w:top w:val="nil"/>
            </w:tcBorders>
            <w:shd w:val="clear" w:color="auto" w:fill="auto"/>
            <w:noWrap/>
            <w:hideMark/>
          </w:tcPr>
          <w:p w:rsidR="00583BD3" w:rsidRPr="00F461D1" w:rsidRDefault="00583BD3" w:rsidP="000727E8">
            <w:pPr>
              <w:rPr>
                <w:rFonts w:ascii="Garamond" w:hAnsi="Garamond" w:cs="Calibri"/>
                <w:color w:val="000000" w:themeColor="text1"/>
                <w:sz w:val="20"/>
                <w:szCs w:val="20"/>
              </w:rPr>
            </w:pPr>
            <w:r w:rsidRPr="00F461D1">
              <w:rPr>
                <w:rFonts w:ascii="Garamond" w:hAnsi="Garamond" w:cs="Calibri"/>
                <w:color w:val="000000" w:themeColor="text1"/>
                <w:sz w:val="20"/>
                <w:szCs w:val="20"/>
              </w:rPr>
              <w:t>Yes</w:t>
            </w:r>
          </w:p>
        </w:tc>
        <w:tc>
          <w:tcPr>
            <w:tcW w:w="0" w:type="auto"/>
            <w:tcBorders>
              <w:top w:val="nil"/>
            </w:tcBorders>
            <w:shd w:val="clear" w:color="auto" w:fill="auto"/>
            <w:noWrap/>
            <w:hideMark/>
          </w:tcPr>
          <w:p w:rsidR="00583BD3" w:rsidRPr="00F461D1" w:rsidRDefault="00583BD3" w:rsidP="000727E8">
            <w:pPr>
              <w:rPr>
                <w:rFonts w:ascii="Garamond" w:hAnsi="Garamond" w:cs="Calibri"/>
                <w:color w:val="000000" w:themeColor="text1"/>
                <w:sz w:val="20"/>
                <w:szCs w:val="20"/>
              </w:rPr>
            </w:pPr>
            <w:r w:rsidRPr="00F461D1">
              <w:rPr>
                <w:rFonts w:ascii="Garamond" w:hAnsi="Garamond" w:cs="Calibri"/>
                <w:color w:val="000000" w:themeColor="text1"/>
                <w:sz w:val="20"/>
                <w:szCs w:val="20"/>
              </w:rPr>
              <w:t>Yes</w:t>
            </w:r>
          </w:p>
        </w:tc>
      </w:tr>
      <w:tr w:rsidR="00583BD3" w:rsidRPr="00BD4464" w:rsidTr="000727E8">
        <w:trPr>
          <w:trHeight w:hRule="exact" w:val="255"/>
          <w:jc w:val="center"/>
        </w:trPr>
        <w:tc>
          <w:tcPr>
            <w:tcW w:w="2704" w:type="dxa"/>
            <w:shd w:val="clear" w:color="auto" w:fill="auto"/>
            <w:noWrap/>
          </w:tcPr>
          <w:p w:rsidR="00583BD3" w:rsidRPr="00F461D1" w:rsidRDefault="00583BD3" w:rsidP="000727E8">
            <w:pPr>
              <w:jc w:val="center"/>
              <w:rPr>
                <w:rFonts w:ascii="Garamond" w:hAnsi="Garamond" w:cs="Calibri"/>
                <w:color w:val="000000" w:themeColor="text1"/>
                <w:sz w:val="20"/>
                <w:szCs w:val="20"/>
              </w:rPr>
            </w:pPr>
            <w:r>
              <w:rPr>
                <w:rFonts w:ascii="Garamond" w:hAnsi="Garamond" w:cs="Calibri"/>
                <w:color w:val="000000" w:themeColor="text1"/>
                <w:sz w:val="20"/>
                <w:szCs w:val="20"/>
              </w:rPr>
              <w:t>Control Variables</w:t>
            </w:r>
          </w:p>
        </w:tc>
        <w:tc>
          <w:tcPr>
            <w:tcW w:w="0" w:type="auto"/>
            <w:shd w:val="clear" w:color="auto" w:fill="auto"/>
            <w:noWrap/>
          </w:tcPr>
          <w:p w:rsidR="00583BD3" w:rsidRPr="00BD4464" w:rsidRDefault="00583BD3" w:rsidP="000727E8">
            <w:pPr>
              <w:rPr>
                <w:rFonts w:ascii="Garamond" w:hAnsi="Garamond" w:cs="Calibri"/>
                <w:color w:val="000000" w:themeColor="text1"/>
                <w:sz w:val="20"/>
                <w:szCs w:val="20"/>
              </w:rPr>
            </w:pPr>
            <w:r w:rsidRPr="00063022">
              <w:rPr>
                <w:rFonts w:ascii="Garamond" w:hAnsi="Garamond" w:cs="Calibri"/>
                <w:color w:val="000000" w:themeColor="text1"/>
                <w:sz w:val="20"/>
                <w:szCs w:val="20"/>
              </w:rPr>
              <w:t>Yes</w:t>
            </w:r>
          </w:p>
        </w:tc>
        <w:tc>
          <w:tcPr>
            <w:tcW w:w="0" w:type="auto"/>
            <w:shd w:val="clear" w:color="auto" w:fill="auto"/>
            <w:noWrap/>
          </w:tcPr>
          <w:p w:rsidR="00583BD3" w:rsidRPr="00BD4464" w:rsidRDefault="00583BD3" w:rsidP="000727E8">
            <w:pPr>
              <w:rPr>
                <w:rFonts w:ascii="Garamond" w:hAnsi="Garamond" w:cs="Calibri"/>
                <w:color w:val="000000" w:themeColor="text1"/>
                <w:sz w:val="20"/>
                <w:szCs w:val="20"/>
              </w:rPr>
            </w:pPr>
            <w:r w:rsidRPr="00063022">
              <w:rPr>
                <w:rFonts w:ascii="Garamond" w:hAnsi="Garamond" w:cs="Calibri"/>
                <w:color w:val="000000" w:themeColor="text1"/>
                <w:sz w:val="20"/>
                <w:szCs w:val="20"/>
              </w:rPr>
              <w:t>Yes</w:t>
            </w:r>
          </w:p>
        </w:tc>
        <w:tc>
          <w:tcPr>
            <w:tcW w:w="0" w:type="auto"/>
            <w:shd w:val="clear" w:color="auto" w:fill="auto"/>
            <w:noWrap/>
          </w:tcPr>
          <w:p w:rsidR="00583BD3" w:rsidRPr="00BD4464" w:rsidRDefault="00583BD3" w:rsidP="000727E8">
            <w:pPr>
              <w:rPr>
                <w:rFonts w:ascii="Garamond" w:hAnsi="Garamond" w:cs="Calibri"/>
                <w:color w:val="000000" w:themeColor="text1"/>
                <w:sz w:val="20"/>
                <w:szCs w:val="20"/>
              </w:rPr>
            </w:pPr>
            <w:r w:rsidRPr="00063022">
              <w:rPr>
                <w:rFonts w:ascii="Garamond" w:hAnsi="Garamond" w:cs="Calibri"/>
                <w:color w:val="000000" w:themeColor="text1"/>
                <w:sz w:val="20"/>
                <w:szCs w:val="20"/>
              </w:rPr>
              <w:t>Yes</w:t>
            </w:r>
          </w:p>
        </w:tc>
        <w:tc>
          <w:tcPr>
            <w:tcW w:w="0" w:type="auto"/>
            <w:shd w:val="clear" w:color="auto" w:fill="auto"/>
            <w:noWrap/>
          </w:tcPr>
          <w:p w:rsidR="00583BD3" w:rsidRPr="00BD4464" w:rsidRDefault="00583BD3" w:rsidP="000727E8">
            <w:pPr>
              <w:rPr>
                <w:rFonts w:ascii="Garamond" w:hAnsi="Garamond" w:cs="Calibri"/>
                <w:color w:val="000000" w:themeColor="text1"/>
                <w:sz w:val="20"/>
                <w:szCs w:val="20"/>
              </w:rPr>
            </w:pPr>
            <w:r w:rsidRPr="00063022">
              <w:rPr>
                <w:rFonts w:ascii="Garamond" w:hAnsi="Garamond" w:cs="Calibri"/>
                <w:color w:val="000000" w:themeColor="text1"/>
                <w:sz w:val="20"/>
                <w:szCs w:val="20"/>
              </w:rPr>
              <w:t>Yes</w:t>
            </w:r>
          </w:p>
        </w:tc>
        <w:tc>
          <w:tcPr>
            <w:tcW w:w="0" w:type="auto"/>
            <w:shd w:val="clear" w:color="auto" w:fill="auto"/>
            <w:noWrap/>
          </w:tcPr>
          <w:p w:rsidR="00583BD3" w:rsidRPr="00BD4464" w:rsidRDefault="00583BD3" w:rsidP="000727E8">
            <w:pPr>
              <w:rPr>
                <w:rFonts w:ascii="Garamond" w:hAnsi="Garamond" w:cs="Calibri"/>
                <w:color w:val="000000" w:themeColor="text1"/>
                <w:sz w:val="20"/>
                <w:szCs w:val="20"/>
              </w:rPr>
            </w:pPr>
            <w:r w:rsidRPr="00063022">
              <w:rPr>
                <w:rFonts w:ascii="Garamond" w:hAnsi="Garamond" w:cs="Calibri"/>
                <w:color w:val="000000" w:themeColor="text1"/>
                <w:sz w:val="20"/>
                <w:szCs w:val="20"/>
              </w:rPr>
              <w:t>Yes</w:t>
            </w:r>
          </w:p>
        </w:tc>
        <w:tc>
          <w:tcPr>
            <w:tcW w:w="0" w:type="auto"/>
            <w:shd w:val="clear" w:color="auto" w:fill="auto"/>
            <w:noWrap/>
          </w:tcPr>
          <w:p w:rsidR="00583BD3" w:rsidRPr="00BD4464" w:rsidRDefault="00583BD3" w:rsidP="000727E8">
            <w:pPr>
              <w:rPr>
                <w:rFonts w:ascii="Garamond" w:hAnsi="Garamond" w:cs="Calibri"/>
                <w:color w:val="000000" w:themeColor="text1"/>
                <w:sz w:val="20"/>
                <w:szCs w:val="20"/>
              </w:rPr>
            </w:pPr>
            <w:r w:rsidRPr="00063022">
              <w:rPr>
                <w:rFonts w:ascii="Garamond" w:hAnsi="Garamond" w:cs="Calibri"/>
                <w:color w:val="000000" w:themeColor="text1"/>
                <w:sz w:val="20"/>
                <w:szCs w:val="20"/>
              </w:rPr>
              <w:t>Yes</w:t>
            </w:r>
          </w:p>
        </w:tc>
      </w:tr>
      <w:tr w:rsidR="00583BD3" w:rsidRPr="00BD4464" w:rsidTr="000727E8">
        <w:trPr>
          <w:trHeight w:hRule="exact" w:val="255"/>
          <w:jc w:val="center"/>
        </w:trPr>
        <w:tc>
          <w:tcPr>
            <w:tcW w:w="2704" w:type="dxa"/>
            <w:shd w:val="clear" w:color="auto" w:fill="auto"/>
            <w:noWrap/>
            <w:hideMark/>
          </w:tcPr>
          <w:p w:rsidR="00583BD3" w:rsidRPr="00F461D1" w:rsidRDefault="00583BD3" w:rsidP="000727E8">
            <w:pPr>
              <w:jc w:val="center"/>
              <w:rPr>
                <w:rFonts w:ascii="Garamond" w:hAnsi="Garamond" w:cs="Calibri"/>
                <w:color w:val="000000" w:themeColor="text1"/>
                <w:sz w:val="20"/>
                <w:szCs w:val="20"/>
              </w:rPr>
            </w:pPr>
            <w:proofErr w:type="spellStart"/>
            <w:r w:rsidRPr="00F461D1">
              <w:rPr>
                <w:rFonts w:ascii="Garamond" w:hAnsi="Garamond" w:cs="Calibri"/>
                <w:color w:val="000000" w:themeColor="text1"/>
                <w:sz w:val="20"/>
                <w:szCs w:val="20"/>
              </w:rPr>
              <w:t>Adj</w:t>
            </w:r>
            <w:proofErr w:type="spellEnd"/>
            <w:r w:rsidRPr="00F461D1">
              <w:rPr>
                <w:rFonts w:ascii="Garamond" w:hAnsi="Garamond" w:cs="Calibri"/>
                <w:color w:val="000000" w:themeColor="text1"/>
                <w:sz w:val="20"/>
                <w:szCs w:val="20"/>
              </w:rPr>
              <w:t xml:space="preserve"> R-square</w:t>
            </w:r>
          </w:p>
        </w:tc>
        <w:tc>
          <w:tcPr>
            <w:tcW w:w="0" w:type="auto"/>
            <w:shd w:val="clear" w:color="auto" w:fill="auto"/>
            <w:noWrap/>
            <w:vAlign w:val="bottom"/>
            <w:hideMark/>
          </w:tcPr>
          <w:p w:rsidR="00583BD3" w:rsidRPr="00BD4464" w:rsidRDefault="00583BD3" w:rsidP="000727E8">
            <w:pPr>
              <w:rPr>
                <w:rFonts w:ascii="Garamond" w:hAnsi="Garamond" w:cs="Calibri"/>
                <w:color w:val="000000" w:themeColor="text1"/>
                <w:sz w:val="20"/>
                <w:szCs w:val="20"/>
              </w:rPr>
            </w:pPr>
            <w:r w:rsidRPr="00BD4464">
              <w:rPr>
                <w:rFonts w:ascii="Garamond" w:hAnsi="Garamond" w:cs="Calibri" w:hint="eastAsia"/>
                <w:color w:val="000000" w:themeColor="text1"/>
                <w:sz w:val="20"/>
                <w:szCs w:val="20"/>
              </w:rPr>
              <w:t>0.7411</w:t>
            </w:r>
          </w:p>
        </w:tc>
        <w:tc>
          <w:tcPr>
            <w:tcW w:w="0" w:type="auto"/>
            <w:shd w:val="clear" w:color="auto" w:fill="auto"/>
            <w:noWrap/>
            <w:vAlign w:val="bottom"/>
            <w:hideMark/>
          </w:tcPr>
          <w:p w:rsidR="00583BD3" w:rsidRPr="00BD4464" w:rsidRDefault="00583BD3" w:rsidP="000727E8">
            <w:pPr>
              <w:rPr>
                <w:rFonts w:ascii="Garamond" w:hAnsi="Garamond" w:cs="Calibri"/>
                <w:color w:val="000000" w:themeColor="text1"/>
                <w:sz w:val="20"/>
                <w:szCs w:val="20"/>
              </w:rPr>
            </w:pPr>
            <w:r w:rsidRPr="00BD4464">
              <w:rPr>
                <w:rFonts w:ascii="Garamond" w:hAnsi="Garamond" w:cs="Calibri" w:hint="eastAsia"/>
                <w:color w:val="000000" w:themeColor="text1"/>
                <w:sz w:val="20"/>
                <w:szCs w:val="20"/>
              </w:rPr>
              <w:t>0.7412</w:t>
            </w:r>
          </w:p>
        </w:tc>
        <w:tc>
          <w:tcPr>
            <w:tcW w:w="0" w:type="auto"/>
            <w:shd w:val="clear" w:color="auto" w:fill="auto"/>
            <w:noWrap/>
            <w:vAlign w:val="bottom"/>
            <w:hideMark/>
          </w:tcPr>
          <w:p w:rsidR="00583BD3" w:rsidRPr="00BD4464" w:rsidRDefault="00583BD3" w:rsidP="000727E8">
            <w:pPr>
              <w:rPr>
                <w:rFonts w:ascii="Garamond" w:hAnsi="Garamond" w:cs="Calibri"/>
                <w:color w:val="000000" w:themeColor="text1"/>
                <w:sz w:val="20"/>
                <w:szCs w:val="20"/>
              </w:rPr>
            </w:pPr>
            <w:r w:rsidRPr="00BD4464">
              <w:rPr>
                <w:rFonts w:ascii="Garamond" w:hAnsi="Garamond" w:cs="Calibri" w:hint="eastAsia"/>
                <w:color w:val="000000" w:themeColor="text1"/>
                <w:sz w:val="20"/>
                <w:szCs w:val="20"/>
              </w:rPr>
              <w:t>0.7410</w:t>
            </w:r>
          </w:p>
        </w:tc>
        <w:tc>
          <w:tcPr>
            <w:tcW w:w="0" w:type="auto"/>
            <w:shd w:val="clear" w:color="auto" w:fill="auto"/>
            <w:noWrap/>
            <w:vAlign w:val="bottom"/>
            <w:hideMark/>
          </w:tcPr>
          <w:p w:rsidR="00583BD3" w:rsidRPr="00BD4464" w:rsidRDefault="00583BD3" w:rsidP="000727E8">
            <w:pPr>
              <w:rPr>
                <w:rFonts w:ascii="Garamond" w:hAnsi="Garamond" w:cs="Calibri"/>
                <w:color w:val="000000" w:themeColor="text1"/>
                <w:sz w:val="20"/>
                <w:szCs w:val="20"/>
              </w:rPr>
            </w:pPr>
            <w:r w:rsidRPr="00BD4464">
              <w:rPr>
                <w:rFonts w:ascii="Garamond" w:hAnsi="Garamond" w:cs="Calibri" w:hint="eastAsia"/>
                <w:color w:val="000000" w:themeColor="text1"/>
                <w:sz w:val="20"/>
                <w:szCs w:val="20"/>
              </w:rPr>
              <w:t>0.7410</w:t>
            </w:r>
          </w:p>
        </w:tc>
        <w:tc>
          <w:tcPr>
            <w:tcW w:w="0" w:type="auto"/>
            <w:shd w:val="clear" w:color="auto" w:fill="auto"/>
            <w:noWrap/>
            <w:vAlign w:val="center"/>
            <w:hideMark/>
          </w:tcPr>
          <w:p w:rsidR="00583BD3" w:rsidRPr="00BD4464" w:rsidRDefault="00583BD3" w:rsidP="000727E8">
            <w:pPr>
              <w:rPr>
                <w:rFonts w:ascii="Garamond" w:hAnsi="Garamond" w:cs="Calibri"/>
                <w:color w:val="000000" w:themeColor="text1"/>
                <w:sz w:val="20"/>
                <w:szCs w:val="20"/>
              </w:rPr>
            </w:pPr>
            <w:r w:rsidRPr="00BD4464">
              <w:rPr>
                <w:rFonts w:ascii="Garamond" w:hAnsi="Garamond" w:cs="Calibri" w:hint="eastAsia"/>
                <w:color w:val="000000" w:themeColor="text1"/>
                <w:sz w:val="20"/>
                <w:szCs w:val="20"/>
              </w:rPr>
              <w:t>0.7411</w:t>
            </w:r>
          </w:p>
        </w:tc>
        <w:tc>
          <w:tcPr>
            <w:tcW w:w="0" w:type="auto"/>
            <w:shd w:val="clear" w:color="auto" w:fill="auto"/>
            <w:noWrap/>
            <w:vAlign w:val="center"/>
            <w:hideMark/>
          </w:tcPr>
          <w:p w:rsidR="00583BD3" w:rsidRPr="00BD4464" w:rsidRDefault="00583BD3" w:rsidP="000727E8">
            <w:pPr>
              <w:rPr>
                <w:rFonts w:ascii="Garamond" w:hAnsi="Garamond" w:cs="Calibri"/>
                <w:color w:val="000000" w:themeColor="text1"/>
                <w:sz w:val="20"/>
                <w:szCs w:val="20"/>
              </w:rPr>
            </w:pPr>
            <w:r w:rsidRPr="00BD4464">
              <w:rPr>
                <w:rFonts w:ascii="Garamond" w:hAnsi="Garamond" w:cs="Calibri" w:hint="eastAsia"/>
                <w:color w:val="000000" w:themeColor="text1"/>
                <w:sz w:val="20"/>
                <w:szCs w:val="20"/>
              </w:rPr>
              <w:t>0.7411</w:t>
            </w:r>
          </w:p>
        </w:tc>
      </w:tr>
      <w:tr w:rsidR="00583BD3" w:rsidRPr="00F461D1" w:rsidTr="000727E8">
        <w:trPr>
          <w:trHeight w:hRule="exact" w:val="255"/>
          <w:jc w:val="center"/>
        </w:trPr>
        <w:tc>
          <w:tcPr>
            <w:tcW w:w="2704" w:type="dxa"/>
            <w:shd w:val="clear" w:color="auto" w:fill="auto"/>
            <w:noWrap/>
            <w:hideMark/>
          </w:tcPr>
          <w:p w:rsidR="00583BD3" w:rsidRPr="00F461D1" w:rsidRDefault="00583BD3" w:rsidP="000727E8">
            <w:pPr>
              <w:jc w:val="center"/>
              <w:rPr>
                <w:rFonts w:ascii="Garamond" w:hAnsi="Garamond" w:cs="Calibri"/>
                <w:color w:val="000000" w:themeColor="text1"/>
                <w:sz w:val="20"/>
                <w:szCs w:val="20"/>
              </w:rPr>
            </w:pPr>
            <w:r w:rsidRPr="00F461D1">
              <w:rPr>
                <w:rFonts w:ascii="Garamond" w:hAnsi="Garamond" w:cs="Calibri"/>
                <w:color w:val="000000" w:themeColor="text1"/>
                <w:sz w:val="20"/>
                <w:szCs w:val="20"/>
              </w:rPr>
              <w:t>No. of Observation</w:t>
            </w:r>
          </w:p>
        </w:tc>
        <w:tc>
          <w:tcPr>
            <w:tcW w:w="0" w:type="auto"/>
            <w:shd w:val="clear" w:color="auto" w:fill="auto"/>
            <w:noWrap/>
            <w:vAlign w:val="bottom"/>
            <w:hideMark/>
          </w:tcPr>
          <w:p w:rsidR="00583BD3" w:rsidRPr="00F461D1" w:rsidRDefault="00583BD3" w:rsidP="000727E8">
            <w:pPr>
              <w:rPr>
                <w:rFonts w:ascii="Garamond" w:hAnsi="Garamond" w:cs="Calibri"/>
                <w:color w:val="000000" w:themeColor="text1"/>
                <w:sz w:val="20"/>
                <w:szCs w:val="20"/>
              </w:rPr>
            </w:pPr>
            <w:r w:rsidRPr="00F461D1">
              <w:rPr>
                <w:rFonts w:ascii="Garamond" w:hAnsi="Garamond"/>
                <w:color w:val="000000"/>
                <w:sz w:val="20"/>
                <w:szCs w:val="20"/>
              </w:rPr>
              <w:t>6,154</w:t>
            </w:r>
          </w:p>
        </w:tc>
        <w:tc>
          <w:tcPr>
            <w:tcW w:w="0" w:type="auto"/>
            <w:shd w:val="clear" w:color="auto" w:fill="auto"/>
            <w:noWrap/>
            <w:vAlign w:val="bottom"/>
            <w:hideMark/>
          </w:tcPr>
          <w:p w:rsidR="00583BD3" w:rsidRPr="00F461D1" w:rsidRDefault="00583BD3" w:rsidP="000727E8">
            <w:pPr>
              <w:rPr>
                <w:rFonts w:ascii="Garamond" w:hAnsi="Garamond" w:cs="Calibri"/>
                <w:color w:val="000000" w:themeColor="text1"/>
                <w:sz w:val="20"/>
                <w:szCs w:val="20"/>
              </w:rPr>
            </w:pPr>
            <w:r w:rsidRPr="00F461D1">
              <w:rPr>
                <w:rFonts w:ascii="Garamond" w:hAnsi="Garamond"/>
                <w:color w:val="000000"/>
                <w:sz w:val="20"/>
                <w:szCs w:val="20"/>
              </w:rPr>
              <w:t>6,154</w:t>
            </w:r>
          </w:p>
        </w:tc>
        <w:tc>
          <w:tcPr>
            <w:tcW w:w="0" w:type="auto"/>
            <w:shd w:val="clear" w:color="auto" w:fill="auto"/>
            <w:noWrap/>
            <w:vAlign w:val="bottom"/>
            <w:hideMark/>
          </w:tcPr>
          <w:p w:rsidR="00583BD3" w:rsidRPr="00F461D1" w:rsidRDefault="00583BD3" w:rsidP="000727E8">
            <w:pPr>
              <w:rPr>
                <w:rFonts w:ascii="Garamond" w:hAnsi="Garamond" w:cs="Calibri"/>
                <w:color w:val="000000" w:themeColor="text1"/>
                <w:sz w:val="20"/>
                <w:szCs w:val="20"/>
              </w:rPr>
            </w:pPr>
            <w:r w:rsidRPr="00F461D1">
              <w:rPr>
                <w:rFonts w:ascii="Garamond" w:hAnsi="Garamond"/>
                <w:color w:val="000000"/>
                <w:sz w:val="20"/>
                <w:szCs w:val="20"/>
              </w:rPr>
              <w:t>6,154</w:t>
            </w:r>
          </w:p>
        </w:tc>
        <w:tc>
          <w:tcPr>
            <w:tcW w:w="0" w:type="auto"/>
            <w:shd w:val="clear" w:color="auto" w:fill="auto"/>
            <w:noWrap/>
            <w:vAlign w:val="bottom"/>
            <w:hideMark/>
          </w:tcPr>
          <w:p w:rsidR="00583BD3" w:rsidRPr="00F461D1" w:rsidRDefault="00583BD3" w:rsidP="000727E8">
            <w:pPr>
              <w:rPr>
                <w:rFonts w:ascii="Garamond" w:hAnsi="Garamond" w:cs="Calibri"/>
                <w:color w:val="000000" w:themeColor="text1"/>
                <w:sz w:val="20"/>
                <w:szCs w:val="20"/>
              </w:rPr>
            </w:pPr>
            <w:r w:rsidRPr="00F461D1">
              <w:rPr>
                <w:rFonts w:ascii="Garamond" w:hAnsi="Garamond"/>
                <w:color w:val="000000"/>
                <w:sz w:val="20"/>
                <w:szCs w:val="20"/>
              </w:rPr>
              <w:t>6,154</w:t>
            </w:r>
          </w:p>
        </w:tc>
        <w:tc>
          <w:tcPr>
            <w:tcW w:w="0" w:type="auto"/>
            <w:shd w:val="clear" w:color="auto" w:fill="auto"/>
            <w:noWrap/>
            <w:vAlign w:val="bottom"/>
            <w:hideMark/>
          </w:tcPr>
          <w:p w:rsidR="00583BD3" w:rsidRPr="00F461D1" w:rsidRDefault="00583BD3" w:rsidP="000727E8">
            <w:pPr>
              <w:rPr>
                <w:rFonts w:ascii="Garamond" w:hAnsi="Garamond" w:cs="Calibri"/>
                <w:color w:val="000000" w:themeColor="text1"/>
                <w:sz w:val="20"/>
                <w:szCs w:val="20"/>
              </w:rPr>
            </w:pPr>
            <w:r w:rsidRPr="00F461D1">
              <w:rPr>
                <w:rFonts w:ascii="Garamond" w:hAnsi="Garamond"/>
                <w:color w:val="000000"/>
                <w:sz w:val="20"/>
                <w:szCs w:val="20"/>
              </w:rPr>
              <w:t>6,154</w:t>
            </w:r>
          </w:p>
        </w:tc>
        <w:tc>
          <w:tcPr>
            <w:tcW w:w="0" w:type="auto"/>
            <w:shd w:val="clear" w:color="auto" w:fill="auto"/>
            <w:noWrap/>
            <w:vAlign w:val="bottom"/>
            <w:hideMark/>
          </w:tcPr>
          <w:p w:rsidR="00583BD3" w:rsidRPr="00F461D1" w:rsidRDefault="00583BD3" w:rsidP="000727E8">
            <w:pPr>
              <w:rPr>
                <w:rFonts w:ascii="Garamond" w:hAnsi="Garamond" w:cs="Calibri"/>
                <w:color w:val="000000" w:themeColor="text1"/>
                <w:sz w:val="20"/>
                <w:szCs w:val="20"/>
              </w:rPr>
            </w:pPr>
            <w:r w:rsidRPr="00F461D1">
              <w:rPr>
                <w:rFonts w:ascii="Garamond" w:hAnsi="Garamond"/>
                <w:color w:val="000000"/>
                <w:sz w:val="20"/>
                <w:szCs w:val="20"/>
              </w:rPr>
              <w:t>6,154</w:t>
            </w:r>
          </w:p>
        </w:tc>
      </w:tr>
      <w:tr w:rsidR="00583BD3" w:rsidRPr="00F461D1" w:rsidTr="000727E8">
        <w:trPr>
          <w:trHeight w:hRule="exact" w:val="255"/>
          <w:jc w:val="center"/>
        </w:trPr>
        <w:tc>
          <w:tcPr>
            <w:tcW w:w="2704" w:type="dxa"/>
            <w:shd w:val="clear" w:color="auto" w:fill="auto"/>
            <w:noWrap/>
            <w:hideMark/>
          </w:tcPr>
          <w:p w:rsidR="00583BD3" w:rsidRPr="00F461D1" w:rsidRDefault="00583BD3" w:rsidP="000727E8">
            <w:pPr>
              <w:jc w:val="center"/>
              <w:rPr>
                <w:rFonts w:ascii="Garamond" w:hAnsi="Garamond" w:cs="Calibri"/>
                <w:color w:val="000000" w:themeColor="text1"/>
                <w:sz w:val="20"/>
                <w:szCs w:val="20"/>
              </w:rPr>
            </w:pPr>
            <w:r w:rsidRPr="00F461D1">
              <w:rPr>
                <w:rFonts w:ascii="Garamond" w:hAnsi="Garamond" w:cs="Calibri"/>
                <w:color w:val="000000" w:themeColor="text1"/>
                <w:sz w:val="20"/>
                <w:szCs w:val="20"/>
              </w:rPr>
              <w:t>No. of Female CFOs</w:t>
            </w:r>
          </w:p>
        </w:tc>
        <w:tc>
          <w:tcPr>
            <w:tcW w:w="0" w:type="auto"/>
            <w:shd w:val="clear" w:color="auto" w:fill="auto"/>
            <w:noWrap/>
            <w:vAlign w:val="center"/>
            <w:hideMark/>
          </w:tcPr>
          <w:p w:rsidR="00583BD3" w:rsidRPr="00F461D1" w:rsidRDefault="00583BD3" w:rsidP="000727E8">
            <w:pPr>
              <w:rPr>
                <w:rFonts w:ascii="Garamond" w:hAnsi="Garamond" w:cs="Calibri"/>
                <w:color w:val="000000" w:themeColor="text1"/>
                <w:sz w:val="20"/>
                <w:szCs w:val="20"/>
              </w:rPr>
            </w:pPr>
            <w:r w:rsidRPr="00F461D1">
              <w:rPr>
                <w:rFonts w:ascii="Garamond" w:hAnsi="Garamond"/>
                <w:color w:val="000000"/>
                <w:sz w:val="20"/>
                <w:szCs w:val="20"/>
              </w:rPr>
              <w:t>323</w:t>
            </w:r>
          </w:p>
        </w:tc>
        <w:tc>
          <w:tcPr>
            <w:tcW w:w="0" w:type="auto"/>
            <w:shd w:val="clear" w:color="auto" w:fill="auto"/>
            <w:noWrap/>
            <w:vAlign w:val="center"/>
            <w:hideMark/>
          </w:tcPr>
          <w:p w:rsidR="00583BD3" w:rsidRPr="00F461D1" w:rsidRDefault="00583BD3" w:rsidP="000727E8">
            <w:pPr>
              <w:rPr>
                <w:rFonts w:ascii="Garamond" w:hAnsi="Garamond" w:cs="Calibri"/>
                <w:color w:val="000000" w:themeColor="text1"/>
                <w:sz w:val="20"/>
                <w:szCs w:val="20"/>
              </w:rPr>
            </w:pPr>
            <w:r w:rsidRPr="00F461D1">
              <w:rPr>
                <w:rFonts w:ascii="Garamond" w:hAnsi="Garamond"/>
                <w:color w:val="000000"/>
                <w:sz w:val="20"/>
                <w:szCs w:val="20"/>
              </w:rPr>
              <w:t>323</w:t>
            </w:r>
          </w:p>
        </w:tc>
        <w:tc>
          <w:tcPr>
            <w:tcW w:w="0" w:type="auto"/>
            <w:shd w:val="clear" w:color="auto" w:fill="auto"/>
            <w:noWrap/>
            <w:vAlign w:val="center"/>
            <w:hideMark/>
          </w:tcPr>
          <w:p w:rsidR="00583BD3" w:rsidRPr="00F461D1" w:rsidRDefault="00583BD3" w:rsidP="000727E8">
            <w:pPr>
              <w:rPr>
                <w:rFonts w:ascii="Garamond" w:hAnsi="Garamond" w:cs="Calibri"/>
                <w:color w:val="000000" w:themeColor="text1"/>
                <w:sz w:val="20"/>
                <w:szCs w:val="20"/>
              </w:rPr>
            </w:pPr>
            <w:r w:rsidRPr="00F461D1">
              <w:rPr>
                <w:rFonts w:ascii="Garamond" w:hAnsi="Garamond"/>
                <w:color w:val="000000"/>
                <w:sz w:val="20"/>
                <w:szCs w:val="20"/>
              </w:rPr>
              <w:t>323</w:t>
            </w:r>
          </w:p>
        </w:tc>
        <w:tc>
          <w:tcPr>
            <w:tcW w:w="0" w:type="auto"/>
            <w:shd w:val="clear" w:color="auto" w:fill="auto"/>
            <w:noWrap/>
            <w:vAlign w:val="center"/>
            <w:hideMark/>
          </w:tcPr>
          <w:p w:rsidR="00583BD3" w:rsidRPr="00F461D1" w:rsidRDefault="00583BD3" w:rsidP="000727E8">
            <w:pPr>
              <w:rPr>
                <w:rFonts w:ascii="Garamond" w:hAnsi="Garamond" w:cs="Calibri"/>
                <w:color w:val="000000" w:themeColor="text1"/>
                <w:sz w:val="20"/>
                <w:szCs w:val="20"/>
              </w:rPr>
            </w:pPr>
            <w:r w:rsidRPr="00F461D1">
              <w:rPr>
                <w:rFonts w:ascii="Garamond" w:hAnsi="Garamond"/>
                <w:color w:val="000000"/>
                <w:sz w:val="20"/>
                <w:szCs w:val="20"/>
              </w:rPr>
              <w:t>323</w:t>
            </w:r>
          </w:p>
        </w:tc>
        <w:tc>
          <w:tcPr>
            <w:tcW w:w="0" w:type="auto"/>
            <w:shd w:val="clear" w:color="auto" w:fill="auto"/>
            <w:noWrap/>
            <w:vAlign w:val="center"/>
            <w:hideMark/>
          </w:tcPr>
          <w:p w:rsidR="00583BD3" w:rsidRPr="00F461D1" w:rsidRDefault="00583BD3" w:rsidP="000727E8">
            <w:pPr>
              <w:rPr>
                <w:rFonts w:ascii="Garamond" w:hAnsi="Garamond" w:cs="Calibri"/>
                <w:color w:val="000000" w:themeColor="text1"/>
                <w:sz w:val="20"/>
                <w:szCs w:val="20"/>
              </w:rPr>
            </w:pPr>
            <w:r w:rsidRPr="00F461D1">
              <w:rPr>
                <w:rFonts w:ascii="Garamond" w:hAnsi="Garamond"/>
                <w:color w:val="000000"/>
                <w:sz w:val="20"/>
                <w:szCs w:val="20"/>
              </w:rPr>
              <w:t>323</w:t>
            </w:r>
          </w:p>
        </w:tc>
        <w:tc>
          <w:tcPr>
            <w:tcW w:w="0" w:type="auto"/>
            <w:shd w:val="clear" w:color="auto" w:fill="auto"/>
            <w:noWrap/>
            <w:vAlign w:val="center"/>
            <w:hideMark/>
          </w:tcPr>
          <w:p w:rsidR="00583BD3" w:rsidRPr="00F461D1" w:rsidRDefault="00583BD3" w:rsidP="000727E8">
            <w:pPr>
              <w:rPr>
                <w:rFonts w:ascii="Garamond" w:hAnsi="Garamond" w:cs="Calibri"/>
                <w:color w:val="000000" w:themeColor="text1"/>
                <w:sz w:val="20"/>
                <w:szCs w:val="20"/>
              </w:rPr>
            </w:pPr>
            <w:r w:rsidRPr="00F461D1">
              <w:rPr>
                <w:rFonts w:ascii="Garamond" w:hAnsi="Garamond"/>
                <w:color w:val="000000"/>
                <w:sz w:val="20"/>
                <w:szCs w:val="20"/>
              </w:rPr>
              <w:t>323</w:t>
            </w:r>
          </w:p>
        </w:tc>
      </w:tr>
      <w:tr w:rsidR="00583BD3" w:rsidRPr="00F461D1" w:rsidTr="000727E8">
        <w:trPr>
          <w:trHeight w:hRule="exact" w:val="255"/>
          <w:jc w:val="center"/>
        </w:trPr>
        <w:tc>
          <w:tcPr>
            <w:tcW w:w="2704" w:type="dxa"/>
            <w:shd w:val="clear" w:color="auto" w:fill="auto"/>
            <w:noWrap/>
            <w:hideMark/>
          </w:tcPr>
          <w:p w:rsidR="00583BD3" w:rsidRPr="00F461D1" w:rsidRDefault="00583BD3" w:rsidP="000727E8">
            <w:pPr>
              <w:jc w:val="center"/>
              <w:rPr>
                <w:rFonts w:ascii="Garamond" w:hAnsi="Garamond" w:cs="Calibri"/>
                <w:color w:val="000000" w:themeColor="text1"/>
                <w:sz w:val="20"/>
                <w:szCs w:val="20"/>
              </w:rPr>
            </w:pPr>
            <w:r>
              <w:rPr>
                <w:rFonts w:ascii="Garamond" w:hAnsi="Garamond" w:cs="Calibri"/>
                <w:color w:val="000000" w:themeColor="text1"/>
                <w:sz w:val="20"/>
                <w:szCs w:val="20"/>
              </w:rPr>
              <w:t>Average Leverage</w:t>
            </w:r>
          </w:p>
        </w:tc>
        <w:tc>
          <w:tcPr>
            <w:tcW w:w="0" w:type="auto"/>
            <w:shd w:val="clear" w:color="auto" w:fill="auto"/>
            <w:noWrap/>
            <w:vAlign w:val="center"/>
            <w:hideMark/>
          </w:tcPr>
          <w:p w:rsidR="00583BD3" w:rsidRPr="007B26ED" w:rsidRDefault="00583BD3" w:rsidP="000727E8">
            <w:pPr>
              <w:rPr>
                <w:rFonts w:ascii="Garamond" w:hAnsi="Garamond"/>
                <w:color w:val="000000"/>
                <w:sz w:val="20"/>
                <w:szCs w:val="20"/>
              </w:rPr>
            </w:pPr>
            <w:r w:rsidRPr="007B26ED">
              <w:rPr>
                <w:rFonts w:ascii="Garamond" w:hAnsi="Garamond" w:hint="eastAsia"/>
                <w:color w:val="000000"/>
                <w:sz w:val="20"/>
                <w:szCs w:val="20"/>
              </w:rPr>
              <w:t>0.2677</w:t>
            </w:r>
          </w:p>
        </w:tc>
        <w:tc>
          <w:tcPr>
            <w:tcW w:w="0" w:type="auto"/>
            <w:shd w:val="clear" w:color="auto" w:fill="auto"/>
            <w:noWrap/>
            <w:vAlign w:val="center"/>
            <w:hideMark/>
          </w:tcPr>
          <w:p w:rsidR="00583BD3" w:rsidRPr="007B26ED" w:rsidRDefault="00583BD3" w:rsidP="000727E8">
            <w:pPr>
              <w:rPr>
                <w:rFonts w:ascii="Garamond" w:hAnsi="Garamond"/>
                <w:color w:val="000000"/>
                <w:sz w:val="20"/>
                <w:szCs w:val="20"/>
              </w:rPr>
            </w:pPr>
            <w:r w:rsidRPr="007B26ED">
              <w:rPr>
                <w:rFonts w:ascii="Garamond" w:hAnsi="Garamond" w:hint="eastAsia"/>
                <w:color w:val="000000"/>
                <w:sz w:val="20"/>
                <w:szCs w:val="20"/>
              </w:rPr>
              <w:t>0.2677</w:t>
            </w:r>
          </w:p>
        </w:tc>
        <w:tc>
          <w:tcPr>
            <w:tcW w:w="0" w:type="auto"/>
            <w:shd w:val="clear" w:color="auto" w:fill="auto"/>
            <w:noWrap/>
            <w:vAlign w:val="center"/>
            <w:hideMark/>
          </w:tcPr>
          <w:p w:rsidR="00583BD3" w:rsidRPr="007B26ED" w:rsidRDefault="00583BD3" w:rsidP="000727E8">
            <w:pPr>
              <w:rPr>
                <w:rFonts w:ascii="Garamond" w:hAnsi="Garamond"/>
                <w:color w:val="000000"/>
                <w:sz w:val="20"/>
                <w:szCs w:val="20"/>
              </w:rPr>
            </w:pPr>
            <w:r w:rsidRPr="007B26ED">
              <w:rPr>
                <w:rFonts w:ascii="Garamond" w:hAnsi="Garamond" w:hint="eastAsia"/>
                <w:color w:val="000000"/>
                <w:sz w:val="20"/>
                <w:szCs w:val="20"/>
              </w:rPr>
              <w:t>0.2677</w:t>
            </w:r>
          </w:p>
        </w:tc>
        <w:tc>
          <w:tcPr>
            <w:tcW w:w="0" w:type="auto"/>
            <w:shd w:val="clear" w:color="auto" w:fill="auto"/>
            <w:noWrap/>
            <w:vAlign w:val="center"/>
            <w:hideMark/>
          </w:tcPr>
          <w:p w:rsidR="00583BD3" w:rsidRPr="007B26ED" w:rsidRDefault="00583BD3" w:rsidP="000727E8">
            <w:pPr>
              <w:rPr>
                <w:rFonts w:ascii="Garamond" w:hAnsi="Garamond"/>
                <w:color w:val="000000"/>
                <w:sz w:val="20"/>
                <w:szCs w:val="20"/>
              </w:rPr>
            </w:pPr>
            <w:r w:rsidRPr="007B26ED">
              <w:rPr>
                <w:rFonts w:ascii="Garamond" w:hAnsi="Garamond" w:hint="eastAsia"/>
                <w:color w:val="000000"/>
                <w:sz w:val="20"/>
                <w:szCs w:val="20"/>
              </w:rPr>
              <w:t>0.2677</w:t>
            </w:r>
          </w:p>
        </w:tc>
        <w:tc>
          <w:tcPr>
            <w:tcW w:w="0" w:type="auto"/>
            <w:shd w:val="clear" w:color="auto" w:fill="auto"/>
            <w:noWrap/>
            <w:vAlign w:val="center"/>
            <w:hideMark/>
          </w:tcPr>
          <w:p w:rsidR="00583BD3" w:rsidRPr="007B26ED" w:rsidRDefault="00583BD3" w:rsidP="000727E8">
            <w:pPr>
              <w:rPr>
                <w:rFonts w:ascii="Garamond" w:hAnsi="Garamond"/>
                <w:color w:val="000000"/>
                <w:sz w:val="20"/>
                <w:szCs w:val="20"/>
              </w:rPr>
            </w:pPr>
            <w:r w:rsidRPr="007B26ED">
              <w:rPr>
                <w:rFonts w:ascii="Garamond" w:hAnsi="Garamond" w:hint="eastAsia"/>
                <w:color w:val="000000"/>
                <w:sz w:val="20"/>
                <w:szCs w:val="20"/>
              </w:rPr>
              <w:t>0.2677</w:t>
            </w:r>
          </w:p>
        </w:tc>
        <w:tc>
          <w:tcPr>
            <w:tcW w:w="0" w:type="auto"/>
            <w:shd w:val="clear" w:color="auto" w:fill="auto"/>
            <w:noWrap/>
            <w:vAlign w:val="center"/>
            <w:hideMark/>
          </w:tcPr>
          <w:p w:rsidR="00583BD3" w:rsidRPr="007B26ED" w:rsidRDefault="00583BD3" w:rsidP="000727E8">
            <w:pPr>
              <w:rPr>
                <w:rFonts w:ascii="Garamond" w:hAnsi="Garamond"/>
                <w:color w:val="000000"/>
                <w:sz w:val="20"/>
                <w:szCs w:val="20"/>
              </w:rPr>
            </w:pPr>
            <w:r w:rsidRPr="007B26ED">
              <w:rPr>
                <w:rFonts w:ascii="Garamond" w:hAnsi="Garamond" w:hint="eastAsia"/>
                <w:color w:val="000000"/>
                <w:sz w:val="20"/>
                <w:szCs w:val="20"/>
              </w:rPr>
              <w:t>0.2677</w:t>
            </w:r>
          </w:p>
        </w:tc>
      </w:tr>
    </w:tbl>
    <w:p w:rsidR="00583BD3" w:rsidRDefault="00583BD3" w:rsidP="00583BD3">
      <w:pPr>
        <w:jc w:val="both"/>
        <w:rPr>
          <w:rFonts w:ascii="Garamond" w:hAnsi="Garamond"/>
          <w:b/>
          <w:color w:val="000000" w:themeColor="text1"/>
          <w:sz w:val="20"/>
        </w:rPr>
      </w:pPr>
    </w:p>
    <w:p w:rsidR="00583BD3" w:rsidRDefault="00583BD3" w:rsidP="00583BD3">
      <w:pPr>
        <w:jc w:val="both"/>
        <w:rPr>
          <w:rFonts w:ascii="Garamond" w:hAnsi="Garamond"/>
          <w:b/>
          <w:color w:val="000000" w:themeColor="text1"/>
          <w:sz w:val="20"/>
        </w:rPr>
      </w:pPr>
    </w:p>
    <w:p w:rsidR="00583BD3" w:rsidRDefault="00583BD3" w:rsidP="00583BD3">
      <w:pPr>
        <w:jc w:val="both"/>
        <w:rPr>
          <w:rFonts w:ascii="Garamond" w:hAnsi="Garamond"/>
          <w:b/>
          <w:color w:val="000000" w:themeColor="text1"/>
          <w:sz w:val="20"/>
        </w:rPr>
      </w:pPr>
    </w:p>
    <w:p w:rsidR="00583BD3" w:rsidRDefault="00583BD3" w:rsidP="00583BD3">
      <w:pPr>
        <w:rPr>
          <w:rFonts w:ascii="Garamond" w:hAnsi="Garamond"/>
          <w:b/>
          <w:color w:val="000000" w:themeColor="text1"/>
          <w:sz w:val="20"/>
        </w:rPr>
      </w:pPr>
      <w:r>
        <w:rPr>
          <w:rFonts w:ascii="Garamond" w:hAnsi="Garamond"/>
          <w:b/>
          <w:color w:val="000000" w:themeColor="text1"/>
          <w:sz w:val="20"/>
        </w:rPr>
        <w:br w:type="page"/>
      </w:r>
    </w:p>
    <w:p w:rsidR="00583BD3" w:rsidRDefault="00583BD3" w:rsidP="00583BD3">
      <w:pPr>
        <w:jc w:val="both"/>
        <w:rPr>
          <w:rFonts w:ascii="Garamond" w:hAnsi="Garamond"/>
          <w:color w:val="000000" w:themeColor="text1"/>
          <w:sz w:val="20"/>
        </w:rPr>
      </w:pPr>
      <w:r w:rsidRPr="0027464C">
        <w:rPr>
          <w:rFonts w:ascii="Garamond" w:hAnsi="Garamond"/>
          <w:b/>
          <w:color w:val="000000" w:themeColor="text1"/>
          <w:sz w:val="20"/>
        </w:rPr>
        <w:lastRenderedPageBreak/>
        <w:t xml:space="preserve">Table </w:t>
      </w:r>
      <w:r>
        <w:rPr>
          <w:rFonts w:ascii="Garamond" w:hAnsi="Garamond"/>
          <w:b/>
          <w:color w:val="000000" w:themeColor="text1"/>
          <w:sz w:val="20"/>
        </w:rPr>
        <w:t>12</w:t>
      </w:r>
      <w:r w:rsidRPr="0027464C">
        <w:rPr>
          <w:rFonts w:ascii="Garamond" w:hAnsi="Garamond"/>
          <w:b/>
          <w:color w:val="000000" w:themeColor="text1"/>
          <w:sz w:val="20"/>
        </w:rPr>
        <w:t>:</w:t>
      </w:r>
      <w:r w:rsidRPr="0027464C">
        <w:rPr>
          <w:rFonts w:ascii="Garamond" w:hAnsi="Garamond"/>
          <w:color w:val="000000" w:themeColor="text1"/>
          <w:sz w:val="20"/>
        </w:rPr>
        <w:t xml:space="preserve"> </w:t>
      </w:r>
      <w:r>
        <w:rPr>
          <w:rFonts w:ascii="Garamond" w:hAnsi="Garamond"/>
          <w:b/>
          <w:color w:val="000000" w:themeColor="text1"/>
          <w:sz w:val="20"/>
        </w:rPr>
        <w:t>Sub-sample Analysis</w:t>
      </w:r>
      <w:r w:rsidRPr="00D0508D">
        <w:rPr>
          <w:rFonts w:ascii="Garamond" w:hAnsi="Garamond"/>
          <w:b/>
          <w:color w:val="000000" w:themeColor="text1"/>
          <w:sz w:val="20"/>
        </w:rPr>
        <w:t>.</w:t>
      </w:r>
      <w:r w:rsidRPr="0027464C">
        <w:rPr>
          <w:rFonts w:ascii="Garamond" w:hAnsi="Garamond"/>
          <w:color w:val="000000" w:themeColor="text1"/>
          <w:sz w:val="20"/>
        </w:rPr>
        <w:t xml:space="preserve">  </w:t>
      </w:r>
    </w:p>
    <w:p w:rsidR="00583BD3" w:rsidRDefault="00583BD3" w:rsidP="00583BD3">
      <w:pPr>
        <w:jc w:val="both"/>
        <w:rPr>
          <w:rFonts w:ascii="Garamond" w:hAnsi="Garamond"/>
          <w:color w:val="000000" w:themeColor="text1"/>
          <w:sz w:val="20"/>
        </w:rPr>
      </w:pPr>
      <w:r>
        <w:rPr>
          <w:rFonts w:ascii="Garamond" w:hAnsi="Garamond"/>
          <w:color w:val="000000" w:themeColor="text1"/>
          <w:sz w:val="20"/>
        </w:rPr>
        <w:t>Panel A</w:t>
      </w:r>
      <w:r w:rsidRPr="0027464C">
        <w:rPr>
          <w:rFonts w:ascii="Garamond" w:hAnsi="Garamond"/>
          <w:color w:val="000000" w:themeColor="text1"/>
          <w:sz w:val="20"/>
        </w:rPr>
        <w:t xml:space="preserve"> presents the regression results for female </w:t>
      </w:r>
      <w:proofErr w:type="spellStart"/>
      <w:r w:rsidRPr="0027464C">
        <w:rPr>
          <w:rFonts w:ascii="Garamond" w:hAnsi="Garamond"/>
          <w:color w:val="000000" w:themeColor="text1"/>
          <w:sz w:val="20"/>
        </w:rPr>
        <w:t>CFO</w:t>
      </w:r>
      <w:r>
        <w:rPr>
          <w:rFonts w:ascii="Garamond" w:hAnsi="Garamond"/>
          <w:color w:val="000000" w:themeColor="text1"/>
          <w:sz w:val="20"/>
        </w:rPr>
        <w:t>s’</w:t>
      </w:r>
      <w:proofErr w:type="spellEnd"/>
      <w:r w:rsidRPr="0027464C">
        <w:rPr>
          <w:rFonts w:ascii="Garamond" w:hAnsi="Garamond"/>
          <w:color w:val="000000" w:themeColor="text1"/>
          <w:sz w:val="20"/>
        </w:rPr>
        <w:t xml:space="preserve"> influence on leverage </w:t>
      </w:r>
      <w:r>
        <w:rPr>
          <w:rFonts w:ascii="Garamond" w:hAnsi="Garamond"/>
          <w:color w:val="000000" w:themeColor="text1"/>
          <w:sz w:val="20"/>
        </w:rPr>
        <w:t>over the period 1999-2011. Panel B</w:t>
      </w:r>
      <w:r w:rsidRPr="0027464C">
        <w:rPr>
          <w:rFonts w:ascii="Garamond" w:hAnsi="Garamond"/>
          <w:color w:val="000000" w:themeColor="text1"/>
          <w:sz w:val="20"/>
        </w:rPr>
        <w:t xml:space="preserve"> presents the regression results for female </w:t>
      </w:r>
      <w:proofErr w:type="spellStart"/>
      <w:r w:rsidRPr="0027464C">
        <w:rPr>
          <w:rFonts w:ascii="Garamond" w:hAnsi="Garamond"/>
          <w:color w:val="000000" w:themeColor="text1"/>
          <w:sz w:val="20"/>
        </w:rPr>
        <w:t>CFO</w:t>
      </w:r>
      <w:r>
        <w:rPr>
          <w:rFonts w:ascii="Garamond" w:hAnsi="Garamond"/>
          <w:color w:val="000000" w:themeColor="text1"/>
          <w:sz w:val="20"/>
        </w:rPr>
        <w:t>s’</w:t>
      </w:r>
      <w:proofErr w:type="spellEnd"/>
      <w:r w:rsidRPr="0027464C">
        <w:rPr>
          <w:rFonts w:ascii="Garamond" w:hAnsi="Garamond"/>
          <w:color w:val="000000" w:themeColor="text1"/>
          <w:sz w:val="20"/>
        </w:rPr>
        <w:t xml:space="preserve"> influence on leverage </w:t>
      </w:r>
      <w:r>
        <w:rPr>
          <w:rFonts w:ascii="Garamond" w:hAnsi="Garamond"/>
          <w:color w:val="000000" w:themeColor="text1"/>
          <w:sz w:val="20"/>
        </w:rPr>
        <w:t>over the period 2012-2017</w:t>
      </w:r>
      <w:r w:rsidRPr="0027464C">
        <w:rPr>
          <w:rFonts w:ascii="Garamond" w:hAnsi="Garamond"/>
          <w:color w:val="000000" w:themeColor="text1"/>
          <w:sz w:val="20"/>
        </w:rPr>
        <w:t xml:space="preserve">. Variable definitions are provided in </w:t>
      </w:r>
      <w:r>
        <w:rPr>
          <w:rFonts w:ascii="Garamond" w:hAnsi="Garamond"/>
          <w:color w:val="000000" w:themeColor="text1"/>
          <w:sz w:val="20"/>
        </w:rPr>
        <w:t>the a</w:t>
      </w:r>
      <w:r w:rsidRPr="0027464C">
        <w:rPr>
          <w:rFonts w:ascii="Garamond" w:hAnsi="Garamond"/>
          <w:color w:val="000000" w:themeColor="text1"/>
          <w:sz w:val="20"/>
        </w:rPr>
        <w:t xml:space="preserve">ppendix. </w:t>
      </w:r>
      <w:proofErr w:type="gramStart"/>
      <w:r w:rsidRPr="00D0508D">
        <w:rPr>
          <w:rFonts w:ascii="Garamond" w:hAnsi="Garamond"/>
          <w:i/>
          <w:color w:val="000000" w:themeColor="text1"/>
          <w:sz w:val="20"/>
        </w:rPr>
        <w:t>t</w:t>
      </w:r>
      <w:r w:rsidRPr="0027464C">
        <w:rPr>
          <w:rFonts w:ascii="Garamond" w:hAnsi="Garamond"/>
          <w:color w:val="000000" w:themeColor="text1"/>
          <w:sz w:val="20"/>
        </w:rPr>
        <w:t>-statistics</w:t>
      </w:r>
      <w:proofErr w:type="gramEnd"/>
      <w:r w:rsidRPr="0027464C">
        <w:rPr>
          <w:rFonts w:ascii="Garamond" w:hAnsi="Garamond"/>
          <w:color w:val="000000" w:themeColor="text1"/>
          <w:sz w:val="20"/>
        </w:rPr>
        <w:t xml:space="preserve"> are reported in parentheses and ***, ** and * indicate significance at the 1%, 5% and 10% level respectively. Standard errors are clustered at firm level.</w:t>
      </w:r>
    </w:p>
    <w:tbl>
      <w:tblPr>
        <w:tblW w:w="9584" w:type="dxa"/>
        <w:tblBorders>
          <w:top w:val="single" w:sz="4" w:space="0" w:color="auto"/>
          <w:bottom w:val="single" w:sz="4" w:space="0" w:color="auto"/>
        </w:tblBorders>
        <w:tblLook w:val="04A0"/>
      </w:tblPr>
      <w:tblGrid>
        <w:gridCol w:w="2438"/>
        <w:gridCol w:w="1191"/>
        <w:gridCol w:w="1191"/>
        <w:gridCol w:w="1191"/>
        <w:gridCol w:w="1191"/>
        <w:gridCol w:w="1191"/>
        <w:gridCol w:w="1191"/>
      </w:tblGrid>
      <w:tr w:rsidR="00583BD3" w:rsidRPr="00BA1FEC" w:rsidTr="000727E8">
        <w:trPr>
          <w:trHeight w:hRule="exact" w:val="255"/>
        </w:trPr>
        <w:tc>
          <w:tcPr>
            <w:tcW w:w="2438" w:type="dxa"/>
            <w:tcBorders>
              <w:top w:val="single" w:sz="4" w:space="0" w:color="auto"/>
              <w:bottom w:val="single" w:sz="4" w:space="0" w:color="auto"/>
            </w:tcBorders>
            <w:shd w:val="clear" w:color="auto" w:fill="auto"/>
            <w:noWrap/>
            <w:hideMark/>
          </w:tcPr>
          <w:p w:rsidR="00583BD3" w:rsidRPr="00EB22DD" w:rsidRDefault="00583BD3" w:rsidP="000727E8">
            <w:pPr>
              <w:rPr>
                <w:rFonts w:ascii="Garamond" w:hAnsi="Garamond"/>
                <w:b/>
                <w:bCs/>
                <w:color w:val="000000" w:themeColor="text1"/>
                <w:sz w:val="20"/>
                <w:szCs w:val="20"/>
              </w:rPr>
            </w:pPr>
            <w:r w:rsidRPr="00EB22DD">
              <w:rPr>
                <w:rFonts w:ascii="Garamond" w:hAnsi="Garamond"/>
                <w:b/>
                <w:bCs/>
                <w:color w:val="000000" w:themeColor="text1"/>
                <w:sz w:val="20"/>
                <w:szCs w:val="20"/>
              </w:rPr>
              <w:t>Panel A: 1999-2011</w:t>
            </w:r>
          </w:p>
        </w:tc>
        <w:tc>
          <w:tcPr>
            <w:tcW w:w="1191" w:type="dxa"/>
            <w:tcBorders>
              <w:top w:val="single" w:sz="4" w:space="0" w:color="auto"/>
              <w:bottom w:val="single" w:sz="4" w:space="0" w:color="auto"/>
            </w:tcBorders>
            <w:shd w:val="clear" w:color="auto" w:fill="auto"/>
            <w:noWrap/>
            <w:hideMark/>
          </w:tcPr>
          <w:p w:rsidR="00583BD3" w:rsidRPr="000A37B7" w:rsidRDefault="00583BD3" w:rsidP="000727E8">
            <w:pPr>
              <w:jc w:val="center"/>
              <w:rPr>
                <w:rFonts w:ascii="Garamond" w:hAnsi="Garamond" w:cs="Calibri"/>
                <w:bCs/>
                <w:color w:val="000000" w:themeColor="text1"/>
                <w:sz w:val="20"/>
                <w:szCs w:val="20"/>
              </w:rPr>
            </w:pPr>
            <w:r w:rsidRPr="000A37B7">
              <w:rPr>
                <w:rFonts w:ascii="Garamond" w:hAnsi="Garamond" w:cs="Calibri"/>
                <w:bCs/>
                <w:color w:val="000000" w:themeColor="text1"/>
                <w:sz w:val="20"/>
                <w:szCs w:val="20"/>
              </w:rPr>
              <w:t>(1)</w:t>
            </w:r>
          </w:p>
        </w:tc>
        <w:tc>
          <w:tcPr>
            <w:tcW w:w="1191" w:type="dxa"/>
            <w:tcBorders>
              <w:top w:val="single" w:sz="4" w:space="0" w:color="auto"/>
              <w:bottom w:val="single" w:sz="4" w:space="0" w:color="auto"/>
            </w:tcBorders>
            <w:shd w:val="clear" w:color="auto" w:fill="auto"/>
            <w:noWrap/>
            <w:hideMark/>
          </w:tcPr>
          <w:p w:rsidR="00583BD3" w:rsidRPr="000A37B7" w:rsidRDefault="00583BD3" w:rsidP="000727E8">
            <w:pPr>
              <w:jc w:val="center"/>
              <w:rPr>
                <w:rFonts w:ascii="Garamond" w:hAnsi="Garamond" w:cs="Calibri"/>
                <w:bCs/>
                <w:color w:val="000000" w:themeColor="text1"/>
                <w:sz w:val="20"/>
                <w:szCs w:val="20"/>
              </w:rPr>
            </w:pPr>
            <w:r w:rsidRPr="000A37B7">
              <w:rPr>
                <w:rFonts w:ascii="Garamond" w:hAnsi="Garamond" w:cs="Calibri"/>
                <w:bCs/>
                <w:color w:val="000000" w:themeColor="text1"/>
                <w:sz w:val="20"/>
                <w:szCs w:val="20"/>
              </w:rPr>
              <w:t>(2)</w:t>
            </w:r>
          </w:p>
        </w:tc>
        <w:tc>
          <w:tcPr>
            <w:tcW w:w="1191" w:type="dxa"/>
            <w:tcBorders>
              <w:top w:val="single" w:sz="4" w:space="0" w:color="auto"/>
              <w:bottom w:val="single" w:sz="4" w:space="0" w:color="auto"/>
            </w:tcBorders>
            <w:shd w:val="clear" w:color="auto" w:fill="auto"/>
            <w:noWrap/>
            <w:hideMark/>
          </w:tcPr>
          <w:p w:rsidR="00583BD3" w:rsidRPr="000A37B7" w:rsidRDefault="00583BD3" w:rsidP="000727E8">
            <w:pPr>
              <w:jc w:val="center"/>
              <w:rPr>
                <w:rFonts w:ascii="Garamond" w:hAnsi="Garamond" w:cs="Calibri"/>
                <w:bCs/>
                <w:color w:val="000000" w:themeColor="text1"/>
                <w:sz w:val="20"/>
                <w:szCs w:val="20"/>
              </w:rPr>
            </w:pPr>
            <w:r w:rsidRPr="000A37B7">
              <w:rPr>
                <w:rFonts w:ascii="Garamond" w:hAnsi="Garamond" w:cs="Calibri"/>
                <w:bCs/>
                <w:color w:val="000000" w:themeColor="text1"/>
                <w:sz w:val="20"/>
                <w:szCs w:val="20"/>
              </w:rPr>
              <w:t>(3)</w:t>
            </w:r>
          </w:p>
        </w:tc>
        <w:tc>
          <w:tcPr>
            <w:tcW w:w="1191" w:type="dxa"/>
            <w:tcBorders>
              <w:top w:val="single" w:sz="4" w:space="0" w:color="auto"/>
              <w:bottom w:val="single" w:sz="4" w:space="0" w:color="auto"/>
            </w:tcBorders>
            <w:shd w:val="clear" w:color="auto" w:fill="auto"/>
            <w:noWrap/>
            <w:hideMark/>
          </w:tcPr>
          <w:p w:rsidR="00583BD3" w:rsidRPr="000A37B7" w:rsidRDefault="00583BD3" w:rsidP="000727E8">
            <w:pPr>
              <w:jc w:val="center"/>
              <w:rPr>
                <w:rFonts w:ascii="Garamond" w:hAnsi="Garamond" w:cs="Calibri"/>
                <w:bCs/>
                <w:color w:val="000000" w:themeColor="text1"/>
                <w:sz w:val="20"/>
                <w:szCs w:val="20"/>
              </w:rPr>
            </w:pPr>
            <w:r w:rsidRPr="000A37B7">
              <w:rPr>
                <w:rFonts w:ascii="Garamond" w:hAnsi="Garamond" w:cs="Calibri"/>
                <w:bCs/>
                <w:color w:val="000000" w:themeColor="text1"/>
                <w:sz w:val="20"/>
                <w:szCs w:val="20"/>
              </w:rPr>
              <w:t>(4)</w:t>
            </w:r>
          </w:p>
        </w:tc>
        <w:tc>
          <w:tcPr>
            <w:tcW w:w="1191" w:type="dxa"/>
            <w:tcBorders>
              <w:top w:val="single" w:sz="4" w:space="0" w:color="auto"/>
              <w:bottom w:val="single" w:sz="4" w:space="0" w:color="auto"/>
            </w:tcBorders>
            <w:shd w:val="clear" w:color="auto" w:fill="auto"/>
            <w:noWrap/>
            <w:hideMark/>
          </w:tcPr>
          <w:p w:rsidR="00583BD3" w:rsidRPr="000A37B7" w:rsidRDefault="00583BD3" w:rsidP="000727E8">
            <w:pPr>
              <w:jc w:val="center"/>
              <w:rPr>
                <w:rFonts w:ascii="Garamond" w:hAnsi="Garamond" w:cs="Calibri"/>
                <w:bCs/>
                <w:color w:val="000000" w:themeColor="text1"/>
                <w:sz w:val="20"/>
                <w:szCs w:val="20"/>
              </w:rPr>
            </w:pPr>
            <w:r w:rsidRPr="000A37B7">
              <w:rPr>
                <w:rFonts w:ascii="Garamond" w:hAnsi="Garamond" w:cs="Calibri"/>
                <w:bCs/>
                <w:color w:val="000000" w:themeColor="text1"/>
                <w:sz w:val="20"/>
                <w:szCs w:val="20"/>
              </w:rPr>
              <w:t>(5)</w:t>
            </w:r>
          </w:p>
        </w:tc>
        <w:tc>
          <w:tcPr>
            <w:tcW w:w="1191" w:type="dxa"/>
            <w:tcBorders>
              <w:top w:val="single" w:sz="4" w:space="0" w:color="auto"/>
              <w:bottom w:val="single" w:sz="4" w:space="0" w:color="auto"/>
            </w:tcBorders>
            <w:shd w:val="clear" w:color="auto" w:fill="auto"/>
            <w:noWrap/>
            <w:hideMark/>
          </w:tcPr>
          <w:p w:rsidR="00583BD3" w:rsidRPr="000A37B7" w:rsidRDefault="00583BD3" w:rsidP="000727E8">
            <w:pPr>
              <w:jc w:val="center"/>
              <w:rPr>
                <w:rFonts w:ascii="Garamond" w:hAnsi="Garamond" w:cs="Calibri"/>
                <w:bCs/>
                <w:color w:val="000000" w:themeColor="text1"/>
                <w:sz w:val="20"/>
                <w:szCs w:val="20"/>
              </w:rPr>
            </w:pPr>
            <w:r w:rsidRPr="000A37B7">
              <w:rPr>
                <w:rFonts w:ascii="Garamond" w:hAnsi="Garamond" w:cs="Calibri"/>
                <w:bCs/>
                <w:color w:val="000000" w:themeColor="text1"/>
                <w:sz w:val="20"/>
                <w:szCs w:val="20"/>
              </w:rPr>
              <w:t>(6)</w:t>
            </w:r>
          </w:p>
        </w:tc>
      </w:tr>
      <w:tr w:rsidR="00583BD3" w:rsidRPr="00770F29" w:rsidTr="000727E8">
        <w:trPr>
          <w:trHeight w:hRule="exact" w:val="255"/>
        </w:trPr>
        <w:tc>
          <w:tcPr>
            <w:tcW w:w="2438" w:type="dxa"/>
            <w:tcBorders>
              <w:top w:val="single" w:sz="4" w:space="0" w:color="auto"/>
            </w:tcBorders>
            <w:shd w:val="clear" w:color="auto" w:fill="auto"/>
            <w:noWrap/>
            <w:hideMark/>
          </w:tcPr>
          <w:p w:rsidR="00583BD3" w:rsidRPr="0062470B" w:rsidRDefault="00583BD3" w:rsidP="000727E8">
            <w:pPr>
              <w:jc w:val="center"/>
              <w:rPr>
                <w:rFonts w:ascii="Garamond" w:hAnsi="Garamond" w:cs="Calibri"/>
                <w:color w:val="FF0000"/>
                <w:sz w:val="18"/>
                <w:szCs w:val="18"/>
                <w:vertAlign w:val="subscript"/>
              </w:rPr>
            </w:pPr>
            <w:r w:rsidRPr="00D14B9E">
              <w:rPr>
                <w:rFonts w:ascii="Garamond" w:hAnsi="Garamond" w:cs="Calibri"/>
                <w:color w:val="000000"/>
                <w:sz w:val="18"/>
                <w:szCs w:val="18"/>
              </w:rPr>
              <w:t>CFO Female Dummy</w:t>
            </w:r>
            <w:r w:rsidRPr="0062470B">
              <w:rPr>
                <w:rFonts w:ascii="Garamond" w:hAnsi="Garamond" w:cs="Calibri"/>
                <w:color w:val="000000"/>
                <w:sz w:val="18"/>
                <w:szCs w:val="18"/>
                <w:vertAlign w:val="subscript"/>
              </w:rPr>
              <w:t>t-1</w:t>
            </w:r>
          </w:p>
        </w:tc>
        <w:tc>
          <w:tcPr>
            <w:tcW w:w="1191" w:type="dxa"/>
            <w:tcBorders>
              <w:top w:val="single" w:sz="4" w:space="0" w:color="auto"/>
            </w:tcBorders>
            <w:shd w:val="clear" w:color="auto" w:fill="auto"/>
            <w:noWrap/>
            <w:vAlign w:val="center"/>
            <w:hideMark/>
          </w:tcPr>
          <w:p w:rsidR="00583BD3" w:rsidRPr="00770F29" w:rsidRDefault="00583BD3" w:rsidP="000727E8">
            <w:pPr>
              <w:rPr>
                <w:rFonts w:ascii="Garamond" w:hAnsi="Garamond"/>
                <w:color w:val="000000"/>
                <w:sz w:val="20"/>
                <w:szCs w:val="20"/>
              </w:rPr>
            </w:pPr>
            <w:r w:rsidRPr="00770F29">
              <w:rPr>
                <w:rFonts w:ascii="Garamond" w:hAnsi="Garamond" w:hint="eastAsia"/>
                <w:color w:val="000000"/>
                <w:sz w:val="20"/>
                <w:szCs w:val="20"/>
              </w:rPr>
              <w:t>-0.0286</w:t>
            </w:r>
          </w:p>
        </w:tc>
        <w:tc>
          <w:tcPr>
            <w:tcW w:w="1191" w:type="dxa"/>
            <w:tcBorders>
              <w:top w:val="single" w:sz="4" w:space="0" w:color="auto"/>
            </w:tcBorders>
            <w:shd w:val="clear" w:color="auto" w:fill="auto"/>
            <w:noWrap/>
            <w:vAlign w:val="center"/>
            <w:hideMark/>
          </w:tcPr>
          <w:p w:rsidR="00583BD3" w:rsidRPr="00770F29" w:rsidRDefault="00583BD3" w:rsidP="000727E8">
            <w:pPr>
              <w:rPr>
                <w:rFonts w:ascii="Garamond" w:hAnsi="Garamond"/>
                <w:color w:val="000000"/>
                <w:sz w:val="20"/>
                <w:szCs w:val="20"/>
              </w:rPr>
            </w:pPr>
            <w:r w:rsidRPr="00770F29">
              <w:rPr>
                <w:rFonts w:ascii="Garamond" w:hAnsi="Garamond" w:hint="eastAsia"/>
                <w:color w:val="000000"/>
                <w:sz w:val="20"/>
                <w:szCs w:val="20"/>
              </w:rPr>
              <w:t>-0.0282</w:t>
            </w:r>
          </w:p>
        </w:tc>
        <w:tc>
          <w:tcPr>
            <w:tcW w:w="1191" w:type="dxa"/>
            <w:tcBorders>
              <w:top w:val="single" w:sz="4" w:space="0" w:color="auto"/>
            </w:tcBorders>
            <w:shd w:val="clear" w:color="auto" w:fill="auto"/>
            <w:noWrap/>
            <w:vAlign w:val="center"/>
            <w:hideMark/>
          </w:tcPr>
          <w:p w:rsidR="00583BD3" w:rsidRPr="00770F29" w:rsidRDefault="00583BD3" w:rsidP="000727E8">
            <w:pPr>
              <w:rPr>
                <w:rFonts w:ascii="Garamond" w:hAnsi="Garamond"/>
                <w:color w:val="000000"/>
                <w:sz w:val="20"/>
                <w:szCs w:val="20"/>
              </w:rPr>
            </w:pPr>
            <w:r w:rsidRPr="00770F29">
              <w:rPr>
                <w:rFonts w:ascii="Garamond" w:hAnsi="Garamond" w:hint="eastAsia"/>
                <w:color w:val="000000"/>
                <w:sz w:val="20"/>
                <w:szCs w:val="20"/>
              </w:rPr>
              <w:t>-0.0287</w:t>
            </w:r>
          </w:p>
        </w:tc>
        <w:tc>
          <w:tcPr>
            <w:tcW w:w="1191" w:type="dxa"/>
            <w:tcBorders>
              <w:top w:val="single" w:sz="4" w:space="0" w:color="auto"/>
            </w:tcBorders>
            <w:shd w:val="clear" w:color="auto" w:fill="auto"/>
            <w:noWrap/>
            <w:vAlign w:val="center"/>
            <w:hideMark/>
          </w:tcPr>
          <w:p w:rsidR="00583BD3" w:rsidRPr="00770F29" w:rsidRDefault="00583BD3" w:rsidP="000727E8">
            <w:pPr>
              <w:rPr>
                <w:rFonts w:ascii="Garamond" w:hAnsi="Garamond"/>
                <w:color w:val="000000"/>
                <w:sz w:val="20"/>
                <w:szCs w:val="20"/>
              </w:rPr>
            </w:pPr>
            <w:r w:rsidRPr="00770F29">
              <w:rPr>
                <w:rFonts w:ascii="Garamond" w:hAnsi="Garamond" w:hint="eastAsia"/>
                <w:color w:val="000000"/>
                <w:sz w:val="20"/>
                <w:szCs w:val="20"/>
              </w:rPr>
              <w:t>-0.0287</w:t>
            </w:r>
          </w:p>
        </w:tc>
        <w:tc>
          <w:tcPr>
            <w:tcW w:w="1191" w:type="dxa"/>
            <w:tcBorders>
              <w:top w:val="single" w:sz="4" w:space="0" w:color="auto"/>
            </w:tcBorders>
            <w:shd w:val="clear" w:color="auto" w:fill="auto"/>
            <w:noWrap/>
            <w:vAlign w:val="center"/>
            <w:hideMark/>
          </w:tcPr>
          <w:p w:rsidR="00583BD3" w:rsidRPr="00770F29" w:rsidRDefault="00583BD3" w:rsidP="000727E8">
            <w:pPr>
              <w:rPr>
                <w:rFonts w:ascii="Garamond" w:hAnsi="Garamond"/>
                <w:color w:val="000000"/>
                <w:sz w:val="20"/>
                <w:szCs w:val="20"/>
              </w:rPr>
            </w:pPr>
            <w:r w:rsidRPr="00770F29">
              <w:rPr>
                <w:rFonts w:ascii="Garamond" w:hAnsi="Garamond" w:hint="eastAsia"/>
                <w:color w:val="000000"/>
                <w:sz w:val="20"/>
                <w:szCs w:val="20"/>
              </w:rPr>
              <w:t>-0.0284</w:t>
            </w:r>
          </w:p>
        </w:tc>
        <w:tc>
          <w:tcPr>
            <w:tcW w:w="1191" w:type="dxa"/>
            <w:tcBorders>
              <w:top w:val="single" w:sz="4" w:space="0" w:color="auto"/>
            </w:tcBorders>
            <w:shd w:val="clear" w:color="auto" w:fill="auto"/>
            <w:noWrap/>
            <w:vAlign w:val="center"/>
            <w:hideMark/>
          </w:tcPr>
          <w:p w:rsidR="00583BD3" w:rsidRPr="00770F29" w:rsidRDefault="00583BD3" w:rsidP="000727E8">
            <w:pPr>
              <w:rPr>
                <w:rFonts w:ascii="Garamond" w:hAnsi="Garamond"/>
                <w:color w:val="000000"/>
                <w:sz w:val="20"/>
                <w:szCs w:val="20"/>
              </w:rPr>
            </w:pPr>
            <w:r w:rsidRPr="00770F29">
              <w:rPr>
                <w:rFonts w:ascii="Garamond" w:hAnsi="Garamond" w:hint="eastAsia"/>
                <w:color w:val="000000"/>
                <w:sz w:val="20"/>
                <w:szCs w:val="20"/>
              </w:rPr>
              <w:t>-0.0284</w:t>
            </w:r>
          </w:p>
        </w:tc>
      </w:tr>
      <w:tr w:rsidR="00583BD3" w:rsidRPr="00770F29" w:rsidTr="000727E8">
        <w:trPr>
          <w:trHeight w:hRule="exact" w:val="255"/>
        </w:trPr>
        <w:tc>
          <w:tcPr>
            <w:tcW w:w="2438" w:type="dxa"/>
            <w:shd w:val="clear" w:color="auto" w:fill="auto"/>
            <w:noWrap/>
            <w:hideMark/>
          </w:tcPr>
          <w:p w:rsidR="00583BD3" w:rsidRPr="00D14B9E" w:rsidRDefault="00583BD3" w:rsidP="000727E8">
            <w:pPr>
              <w:jc w:val="center"/>
              <w:rPr>
                <w:rFonts w:ascii="Garamond" w:hAnsi="Garamond" w:cs="Calibri"/>
                <w:color w:val="000000"/>
                <w:sz w:val="18"/>
                <w:szCs w:val="18"/>
              </w:rPr>
            </w:pP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r w:rsidRPr="00770F29">
              <w:rPr>
                <w:rFonts w:ascii="Garamond" w:hAnsi="Garamond" w:hint="eastAsia"/>
                <w:color w:val="000000"/>
                <w:sz w:val="20"/>
                <w:szCs w:val="20"/>
              </w:rPr>
              <w:t>(-1.15)</w:t>
            </w: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r w:rsidRPr="00770F29">
              <w:rPr>
                <w:rFonts w:ascii="Garamond" w:hAnsi="Garamond" w:hint="eastAsia"/>
                <w:color w:val="000000"/>
                <w:sz w:val="20"/>
                <w:szCs w:val="20"/>
              </w:rPr>
              <w:t>(-1.15)</w:t>
            </w: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r w:rsidRPr="00770F29">
              <w:rPr>
                <w:rFonts w:ascii="Garamond" w:hAnsi="Garamond" w:hint="eastAsia"/>
                <w:color w:val="000000"/>
                <w:sz w:val="20"/>
                <w:szCs w:val="20"/>
              </w:rPr>
              <w:t>(-1.16)</w:t>
            </w: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r w:rsidRPr="00770F29">
              <w:rPr>
                <w:rFonts w:ascii="Garamond" w:hAnsi="Garamond" w:hint="eastAsia"/>
                <w:color w:val="000000"/>
                <w:sz w:val="20"/>
                <w:szCs w:val="20"/>
              </w:rPr>
              <w:t>(-1.16)</w:t>
            </w: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r w:rsidRPr="00770F29">
              <w:rPr>
                <w:rFonts w:ascii="Garamond" w:hAnsi="Garamond" w:hint="eastAsia"/>
                <w:color w:val="000000"/>
                <w:sz w:val="20"/>
                <w:szCs w:val="20"/>
              </w:rPr>
              <w:t>(-1.16)</w:t>
            </w: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r w:rsidRPr="00770F29">
              <w:rPr>
                <w:rFonts w:ascii="Garamond" w:hAnsi="Garamond" w:hint="eastAsia"/>
                <w:color w:val="000000"/>
                <w:sz w:val="20"/>
                <w:szCs w:val="20"/>
              </w:rPr>
              <w:t>(-1.15)</w:t>
            </w:r>
          </w:p>
        </w:tc>
      </w:tr>
      <w:tr w:rsidR="00583BD3" w:rsidRPr="00770F29" w:rsidTr="000727E8">
        <w:trPr>
          <w:trHeight w:hRule="exact" w:val="255"/>
        </w:trPr>
        <w:tc>
          <w:tcPr>
            <w:tcW w:w="2438" w:type="dxa"/>
            <w:shd w:val="clear" w:color="auto" w:fill="auto"/>
            <w:noWrap/>
            <w:hideMark/>
          </w:tcPr>
          <w:p w:rsidR="00583BD3" w:rsidRPr="00905DE4" w:rsidRDefault="00583BD3" w:rsidP="000727E8">
            <w:pPr>
              <w:jc w:val="center"/>
              <w:rPr>
                <w:rFonts w:ascii="Garamond" w:hAnsi="Garamond" w:cs="Calibri"/>
                <w:color w:val="000000" w:themeColor="text1"/>
                <w:sz w:val="20"/>
                <w:szCs w:val="20"/>
              </w:rPr>
            </w:pPr>
            <w:r>
              <w:rPr>
                <w:rFonts w:ascii="Garamond" w:hAnsi="Garamond" w:cs="Calibri"/>
                <w:color w:val="000000" w:themeColor="text1"/>
                <w:sz w:val="20"/>
                <w:szCs w:val="20"/>
              </w:rPr>
              <w:t>Board Gender Diversity</w:t>
            </w:r>
            <w:r>
              <w:rPr>
                <w:rFonts w:ascii="Garamond" w:hAnsi="Garamond" w:cs="Calibri"/>
                <w:color w:val="000000"/>
                <w:sz w:val="18"/>
                <w:szCs w:val="18"/>
                <w:vertAlign w:val="subscript"/>
              </w:rPr>
              <w:t>t-1</w:t>
            </w: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r w:rsidRPr="00770F29">
              <w:rPr>
                <w:rFonts w:ascii="Garamond" w:hAnsi="Garamond" w:hint="eastAsia"/>
                <w:color w:val="000000"/>
                <w:sz w:val="20"/>
                <w:szCs w:val="20"/>
              </w:rPr>
              <w:t>-0.0307</w:t>
            </w: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r w:rsidRPr="00770F29">
              <w:rPr>
                <w:rFonts w:ascii="Garamond" w:hAnsi="Garamond" w:hint="eastAsia"/>
                <w:color w:val="000000"/>
                <w:sz w:val="20"/>
                <w:szCs w:val="20"/>
              </w:rPr>
              <w:t>-0.0327</w:t>
            </w: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p>
        </w:tc>
      </w:tr>
      <w:tr w:rsidR="00583BD3" w:rsidRPr="00770F29" w:rsidTr="000727E8">
        <w:trPr>
          <w:trHeight w:hRule="exact" w:val="255"/>
        </w:trPr>
        <w:tc>
          <w:tcPr>
            <w:tcW w:w="2438" w:type="dxa"/>
            <w:shd w:val="clear" w:color="auto" w:fill="auto"/>
            <w:noWrap/>
            <w:hideMark/>
          </w:tcPr>
          <w:p w:rsidR="00583BD3" w:rsidRPr="00905DE4" w:rsidRDefault="00583BD3" w:rsidP="000727E8">
            <w:pPr>
              <w:jc w:val="center"/>
              <w:rPr>
                <w:rFonts w:ascii="Garamond" w:hAnsi="Garamond" w:cs="Calibri"/>
                <w:color w:val="000000" w:themeColor="text1"/>
                <w:sz w:val="20"/>
                <w:szCs w:val="20"/>
              </w:rPr>
            </w:pP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r w:rsidRPr="00770F29">
              <w:rPr>
                <w:rFonts w:ascii="Garamond" w:hAnsi="Garamond" w:hint="eastAsia"/>
                <w:color w:val="000000"/>
                <w:sz w:val="20"/>
                <w:szCs w:val="20"/>
              </w:rPr>
              <w:t>(-0.54)</w:t>
            </w: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r w:rsidRPr="00770F29">
              <w:rPr>
                <w:rFonts w:ascii="Garamond" w:hAnsi="Garamond" w:hint="eastAsia"/>
                <w:color w:val="000000"/>
                <w:sz w:val="20"/>
                <w:szCs w:val="20"/>
              </w:rPr>
              <w:t>(-0.57)</w:t>
            </w: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p>
        </w:tc>
      </w:tr>
      <w:tr w:rsidR="00583BD3" w:rsidRPr="00770F29" w:rsidTr="000727E8">
        <w:trPr>
          <w:trHeight w:hRule="exact" w:val="255"/>
        </w:trPr>
        <w:tc>
          <w:tcPr>
            <w:tcW w:w="2438" w:type="dxa"/>
            <w:shd w:val="clear" w:color="auto" w:fill="auto"/>
            <w:noWrap/>
            <w:hideMark/>
          </w:tcPr>
          <w:p w:rsidR="00583BD3" w:rsidRPr="00905DE4" w:rsidRDefault="00583BD3" w:rsidP="000727E8">
            <w:pPr>
              <w:jc w:val="center"/>
              <w:rPr>
                <w:rFonts w:ascii="Garamond" w:hAnsi="Garamond" w:cs="Calibri"/>
                <w:color w:val="000000" w:themeColor="text1"/>
                <w:sz w:val="20"/>
                <w:szCs w:val="20"/>
              </w:rPr>
            </w:pPr>
            <w:r>
              <w:rPr>
                <w:rFonts w:ascii="Garamond" w:hAnsi="Garamond" w:cs="Calibri"/>
                <w:color w:val="000000" w:themeColor="text1"/>
                <w:sz w:val="20"/>
                <w:szCs w:val="20"/>
              </w:rPr>
              <w:t>Board Nationality Diversity</w:t>
            </w:r>
            <w:r>
              <w:rPr>
                <w:rFonts w:ascii="Garamond" w:hAnsi="Garamond" w:cs="Calibri"/>
                <w:color w:val="000000"/>
                <w:sz w:val="18"/>
                <w:szCs w:val="18"/>
                <w:vertAlign w:val="subscript"/>
              </w:rPr>
              <w:t>t-1</w:t>
            </w: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r w:rsidRPr="00770F29">
              <w:rPr>
                <w:rFonts w:ascii="Garamond" w:hAnsi="Garamond" w:hint="eastAsia"/>
                <w:color w:val="000000"/>
                <w:sz w:val="20"/>
                <w:szCs w:val="20"/>
              </w:rPr>
              <w:t>0.0199</w:t>
            </w: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r w:rsidRPr="00770F29">
              <w:rPr>
                <w:rFonts w:ascii="Garamond" w:hAnsi="Garamond" w:hint="eastAsia"/>
                <w:color w:val="000000"/>
                <w:sz w:val="20"/>
                <w:szCs w:val="20"/>
              </w:rPr>
              <w:t>0.0214</w:t>
            </w: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p>
        </w:tc>
      </w:tr>
      <w:tr w:rsidR="00583BD3" w:rsidRPr="00770F29" w:rsidTr="000727E8">
        <w:trPr>
          <w:trHeight w:hRule="exact" w:val="255"/>
        </w:trPr>
        <w:tc>
          <w:tcPr>
            <w:tcW w:w="2438" w:type="dxa"/>
            <w:shd w:val="clear" w:color="auto" w:fill="auto"/>
            <w:noWrap/>
            <w:hideMark/>
          </w:tcPr>
          <w:p w:rsidR="00583BD3" w:rsidRPr="00905DE4" w:rsidRDefault="00583BD3" w:rsidP="000727E8">
            <w:pPr>
              <w:jc w:val="center"/>
              <w:rPr>
                <w:rFonts w:ascii="Garamond" w:hAnsi="Garamond" w:cs="Calibri"/>
                <w:color w:val="000000" w:themeColor="text1"/>
                <w:sz w:val="20"/>
                <w:szCs w:val="20"/>
              </w:rPr>
            </w:pP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r w:rsidRPr="00770F29">
              <w:rPr>
                <w:rFonts w:ascii="Garamond" w:hAnsi="Garamond" w:hint="eastAsia"/>
                <w:color w:val="000000"/>
                <w:sz w:val="20"/>
                <w:szCs w:val="20"/>
              </w:rPr>
              <w:t>(0.42)</w:t>
            </w: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r w:rsidRPr="00770F29">
              <w:rPr>
                <w:rFonts w:ascii="Garamond" w:hAnsi="Garamond" w:hint="eastAsia"/>
                <w:color w:val="000000"/>
                <w:sz w:val="20"/>
                <w:szCs w:val="20"/>
              </w:rPr>
              <w:t>(0.45)</w:t>
            </w: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p>
        </w:tc>
      </w:tr>
      <w:tr w:rsidR="00583BD3" w:rsidRPr="00770F29" w:rsidTr="000727E8">
        <w:trPr>
          <w:trHeight w:hRule="exact" w:val="255"/>
        </w:trPr>
        <w:tc>
          <w:tcPr>
            <w:tcW w:w="2438" w:type="dxa"/>
            <w:shd w:val="clear" w:color="auto" w:fill="auto"/>
            <w:noWrap/>
            <w:hideMark/>
          </w:tcPr>
          <w:p w:rsidR="00583BD3" w:rsidRPr="00905DE4" w:rsidRDefault="00583BD3" w:rsidP="000727E8">
            <w:pPr>
              <w:jc w:val="center"/>
              <w:rPr>
                <w:rFonts w:ascii="Garamond" w:hAnsi="Garamond" w:cs="Calibri"/>
                <w:color w:val="000000" w:themeColor="text1"/>
                <w:sz w:val="20"/>
                <w:szCs w:val="20"/>
              </w:rPr>
            </w:pPr>
            <w:r w:rsidRPr="00905DE4">
              <w:rPr>
                <w:rFonts w:ascii="Garamond" w:hAnsi="Garamond" w:cs="Calibri"/>
                <w:color w:val="000000" w:themeColor="text1"/>
                <w:sz w:val="20"/>
                <w:szCs w:val="20"/>
              </w:rPr>
              <w:t>Board Age Diversity</w:t>
            </w:r>
            <w:r>
              <w:rPr>
                <w:rFonts w:ascii="Garamond" w:hAnsi="Garamond" w:cs="Calibri"/>
                <w:color w:val="000000"/>
                <w:sz w:val="18"/>
                <w:szCs w:val="18"/>
                <w:vertAlign w:val="subscript"/>
              </w:rPr>
              <w:t>t-1</w:t>
            </w: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r w:rsidRPr="00770F29">
              <w:rPr>
                <w:rFonts w:ascii="Garamond" w:hAnsi="Garamond" w:hint="eastAsia"/>
                <w:color w:val="000000"/>
                <w:sz w:val="20"/>
                <w:szCs w:val="20"/>
              </w:rPr>
              <w:t>0.00257</w:t>
            </w: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r w:rsidRPr="00770F29">
              <w:rPr>
                <w:rFonts w:ascii="Garamond" w:hAnsi="Garamond" w:hint="eastAsia"/>
                <w:color w:val="000000"/>
                <w:sz w:val="20"/>
                <w:szCs w:val="20"/>
              </w:rPr>
              <w:t>0.00266</w:t>
            </w: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p>
        </w:tc>
      </w:tr>
      <w:tr w:rsidR="00583BD3" w:rsidRPr="00770F29" w:rsidTr="000727E8">
        <w:trPr>
          <w:trHeight w:hRule="exact" w:val="255"/>
        </w:trPr>
        <w:tc>
          <w:tcPr>
            <w:tcW w:w="2438" w:type="dxa"/>
            <w:shd w:val="clear" w:color="auto" w:fill="auto"/>
            <w:noWrap/>
            <w:hideMark/>
          </w:tcPr>
          <w:p w:rsidR="00583BD3" w:rsidRPr="00905DE4" w:rsidRDefault="00583BD3" w:rsidP="000727E8">
            <w:pPr>
              <w:jc w:val="center"/>
              <w:rPr>
                <w:rFonts w:ascii="Garamond" w:hAnsi="Garamond" w:cs="Calibri"/>
                <w:color w:val="000000" w:themeColor="text1"/>
                <w:sz w:val="20"/>
                <w:szCs w:val="20"/>
              </w:rPr>
            </w:pP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r w:rsidRPr="00770F29">
              <w:rPr>
                <w:rFonts w:ascii="Garamond" w:hAnsi="Garamond" w:hint="eastAsia"/>
                <w:color w:val="000000"/>
                <w:sz w:val="20"/>
                <w:szCs w:val="20"/>
              </w:rPr>
              <w:t>(0.15)</w:t>
            </w: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r w:rsidRPr="00770F29">
              <w:rPr>
                <w:rFonts w:ascii="Garamond" w:hAnsi="Garamond" w:hint="eastAsia"/>
                <w:color w:val="000000"/>
                <w:sz w:val="20"/>
                <w:szCs w:val="20"/>
              </w:rPr>
              <w:t>(0.16)</w:t>
            </w: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p>
        </w:tc>
      </w:tr>
      <w:tr w:rsidR="00583BD3" w:rsidRPr="00770F29" w:rsidTr="000727E8">
        <w:trPr>
          <w:trHeight w:hRule="exact" w:val="255"/>
        </w:trPr>
        <w:tc>
          <w:tcPr>
            <w:tcW w:w="2438" w:type="dxa"/>
            <w:shd w:val="clear" w:color="auto" w:fill="auto"/>
            <w:noWrap/>
            <w:hideMark/>
          </w:tcPr>
          <w:p w:rsidR="00583BD3" w:rsidRPr="00905DE4" w:rsidRDefault="00583BD3" w:rsidP="000727E8">
            <w:pPr>
              <w:jc w:val="center"/>
              <w:rPr>
                <w:rFonts w:ascii="Garamond" w:hAnsi="Garamond" w:cs="Calibri"/>
                <w:color w:val="000000" w:themeColor="text1"/>
                <w:sz w:val="20"/>
                <w:szCs w:val="20"/>
              </w:rPr>
            </w:pPr>
            <w:r w:rsidRPr="00905DE4">
              <w:rPr>
                <w:rFonts w:ascii="Garamond" w:hAnsi="Garamond" w:cs="Calibri"/>
                <w:color w:val="000000" w:themeColor="text1"/>
                <w:sz w:val="20"/>
                <w:szCs w:val="20"/>
              </w:rPr>
              <w:t>Board Aggregate Diversity</w:t>
            </w:r>
            <w:r>
              <w:rPr>
                <w:rFonts w:ascii="Garamond" w:hAnsi="Garamond" w:cs="Calibri"/>
                <w:color w:val="000000"/>
                <w:sz w:val="18"/>
                <w:szCs w:val="18"/>
                <w:vertAlign w:val="subscript"/>
              </w:rPr>
              <w:t>t-1</w:t>
            </w: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r w:rsidRPr="00770F29">
              <w:rPr>
                <w:rFonts w:ascii="Garamond" w:hAnsi="Garamond" w:hint="eastAsia"/>
                <w:color w:val="000000"/>
                <w:sz w:val="20"/>
                <w:szCs w:val="20"/>
              </w:rPr>
              <w:t>-0.000148</w:t>
            </w:r>
          </w:p>
        </w:tc>
      </w:tr>
      <w:tr w:rsidR="00583BD3" w:rsidRPr="00770F29" w:rsidTr="000727E8">
        <w:trPr>
          <w:trHeight w:hRule="exact" w:val="255"/>
        </w:trPr>
        <w:tc>
          <w:tcPr>
            <w:tcW w:w="2438" w:type="dxa"/>
            <w:shd w:val="clear" w:color="auto" w:fill="auto"/>
            <w:noWrap/>
            <w:hideMark/>
          </w:tcPr>
          <w:p w:rsidR="00583BD3" w:rsidRPr="00D14B9E" w:rsidRDefault="00583BD3" w:rsidP="000727E8">
            <w:pPr>
              <w:jc w:val="center"/>
              <w:rPr>
                <w:rFonts w:ascii="Garamond" w:hAnsi="Garamond" w:cs="Calibri"/>
                <w:color w:val="000000"/>
                <w:sz w:val="18"/>
                <w:szCs w:val="18"/>
              </w:rPr>
            </w:pP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r w:rsidRPr="00770F29">
              <w:rPr>
                <w:rFonts w:ascii="Garamond" w:hAnsi="Garamond" w:hint="eastAsia"/>
                <w:color w:val="000000"/>
                <w:sz w:val="20"/>
                <w:szCs w:val="20"/>
              </w:rPr>
              <w:t>(-0.04)</w:t>
            </w:r>
          </w:p>
        </w:tc>
      </w:tr>
      <w:tr w:rsidR="00583BD3" w:rsidRPr="00770F29" w:rsidTr="000727E8">
        <w:trPr>
          <w:trHeight w:hRule="exact" w:val="255"/>
        </w:trPr>
        <w:tc>
          <w:tcPr>
            <w:tcW w:w="2438" w:type="dxa"/>
            <w:shd w:val="clear" w:color="auto" w:fill="auto"/>
            <w:noWrap/>
            <w:hideMark/>
          </w:tcPr>
          <w:p w:rsidR="00583BD3" w:rsidRPr="003B3AEF" w:rsidRDefault="00583BD3" w:rsidP="000727E8">
            <w:pPr>
              <w:jc w:val="center"/>
              <w:rPr>
                <w:rFonts w:ascii="Garamond" w:hAnsi="Garamond" w:cs="Calibri"/>
                <w:color w:val="000000" w:themeColor="text1"/>
                <w:sz w:val="20"/>
                <w:szCs w:val="20"/>
              </w:rPr>
            </w:pPr>
            <w:r w:rsidRPr="003B3AEF">
              <w:rPr>
                <w:rFonts w:ascii="Garamond" w:hAnsi="Garamond" w:cs="Calibri"/>
                <w:color w:val="000000" w:themeColor="text1"/>
                <w:sz w:val="20"/>
                <w:szCs w:val="20"/>
              </w:rPr>
              <w:t>Constant</w:t>
            </w: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r w:rsidRPr="00770F29">
              <w:rPr>
                <w:rFonts w:ascii="Garamond" w:hAnsi="Garamond" w:hint="eastAsia"/>
                <w:color w:val="000000"/>
                <w:sz w:val="20"/>
                <w:szCs w:val="20"/>
              </w:rPr>
              <w:t>-0.223</w:t>
            </w: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r w:rsidRPr="00770F29">
              <w:rPr>
                <w:rFonts w:ascii="Garamond" w:hAnsi="Garamond" w:hint="eastAsia"/>
                <w:color w:val="000000"/>
                <w:sz w:val="20"/>
                <w:szCs w:val="20"/>
              </w:rPr>
              <w:t>-0.219</w:t>
            </w: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r w:rsidRPr="00770F29">
              <w:rPr>
                <w:rFonts w:ascii="Garamond" w:hAnsi="Garamond" w:hint="eastAsia"/>
                <w:color w:val="000000"/>
                <w:sz w:val="20"/>
                <w:szCs w:val="20"/>
              </w:rPr>
              <w:t>-0.220</w:t>
            </w: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r w:rsidRPr="00770F29">
              <w:rPr>
                <w:rFonts w:ascii="Garamond" w:hAnsi="Garamond" w:hint="eastAsia"/>
                <w:color w:val="000000"/>
                <w:sz w:val="20"/>
                <w:szCs w:val="20"/>
              </w:rPr>
              <w:t>-0.222</w:t>
            </w: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r w:rsidRPr="00770F29">
              <w:rPr>
                <w:rFonts w:ascii="Garamond" w:hAnsi="Garamond" w:hint="eastAsia"/>
                <w:color w:val="000000"/>
                <w:sz w:val="20"/>
                <w:szCs w:val="20"/>
              </w:rPr>
              <w:t>-0.216</w:t>
            </w:r>
          </w:p>
        </w:tc>
        <w:tc>
          <w:tcPr>
            <w:tcW w:w="1191" w:type="dxa"/>
            <w:shd w:val="clear" w:color="auto" w:fill="auto"/>
            <w:noWrap/>
            <w:vAlign w:val="center"/>
            <w:hideMark/>
          </w:tcPr>
          <w:p w:rsidR="00583BD3" w:rsidRPr="00770F29" w:rsidRDefault="00583BD3" w:rsidP="000727E8">
            <w:pPr>
              <w:rPr>
                <w:rFonts w:ascii="Garamond" w:hAnsi="Garamond"/>
                <w:color w:val="000000"/>
                <w:sz w:val="20"/>
                <w:szCs w:val="20"/>
              </w:rPr>
            </w:pPr>
            <w:r w:rsidRPr="00770F29">
              <w:rPr>
                <w:rFonts w:ascii="Garamond" w:hAnsi="Garamond" w:hint="eastAsia"/>
                <w:color w:val="000000"/>
                <w:sz w:val="20"/>
                <w:szCs w:val="20"/>
              </w:rPr>
              <w:t>-0.221</w:t>
            </w:r>
          </w:p>
        </w:tc>
      </w:tr>
      <w:tr w:rsidR="00583BD3" w:rsidRPr="00770F29" w:rsidTr="000727E8">
        <w:trPr>
          <w:trHeight w:hRule="exact" w:val="255"/>
        </w:trPr>
        <w:tc>
          <w:tcPr>
            <w:tcW w:w="2438" w:type="dxa"/>
            <w:tcBorders>
              <w:bottom w:val="single" w:sz="4" w:space="0" w:color="auto"/>
            </w:tcBorders>
            <w:shd w:val="clear" w:color="auto" w:fill="auto"/>
            <w:noWrap/>
            <w:hideMark/>
          </w:tcPr>
          <w:p w:rsidR="00583BD3" w:rsidRPr="003B3AEF" w:rsidRDefault="00583BD3" w:rsidP="000727E8">
            <w:pPr>
              <w:rPr>
                <w:rFonts w:ascii="Garamond" w:hAnsi="Garamond" w:cs="Calibri"/>
                <w:color w:val="000000" w:themeColor="text1"/>
                <w:sz w:val="20"/>
                <w:szCs w:val="20"/>
              </w:rPr>
            </w:pPr>
          </w:p>
        </w:tc>
        <w:tc>
          <w:tcPr>
            <w:tcW w:w="1191" w:type="dxa"/>
            <w:tcBorders>
              <w:bottom w:val="single" w:sz="4" w:space="0" w:color="auto"/>
            </w:tcBorders>
            <w:shd w:val="clear" w:color="auto" w:fill="auto"/>
            <w:noWrap/>
            <w:vAlign w:val="center"/>
            <w:hideMark/>
          </w:tcPr>
          <w:p w:rsidR="00583BD3" w:rsidRPr="00770F29" w:rsidRDefault="00583BD3" w:rsidP="000727E8">
            <w:pPr>
              <w:rPr>
                <w:rFonts w:ascii="Garamond" w:hAnsi="Garamond"/>
                <w:color w:val="000000"/>
                <w:sz w:val="20"/>
                <w:szCs w:val="20"/>
              </w:rPr>
            </w:pPr>
            <w:r w:rsidRPr="00770F29">
              <w:rPr>
                <w:rFonts w:ascii="Garamond" w:hAnsi="Garamond" w:hint="eastAsia"/>
                <w:color w:val="000000"/>
                <w:sz w:val="20"/>
                <w:szCs w:val="20"/>
              </w:rPr>
              <w:t>(-1.32)</w:t>
            </w:r>
          </w:p>
        </w:tc>
        <w:tc>
          <w:tcPr>
            <w:tcW w:w="1191" w:type="dxa"/>
            <w:tcBorders>
              <w:bottom w:val="single" w:sz="4" w:space="0" w:color="auto"/>
            </w:tcBorders>
            <w:shd w:val="clear" w:color="auto" w:fill="auto"/>
            <w:noWrap/>
            <w:vAlign w:val="center"/>
            <w:hideMark/>
          </w:tcPr>
          <w:p w:rsidR="00583BD3" w:rsidRPr="00770F29" w:rsidRDefault="00583BD3" w:rsidP="000727E8">
            <w:pPr>
              <w:rPr>
                <w:rFonts w:ascii="Garamond" w:hAnsi="Garamond"/>
                <w:color w:val="000000"/>
                <w:sz w:val="20"/>
                <w:szCs w:val="20"/>
              </w:rPr>
            </w:pPr>
            <w:r w:rsidRPr="00770F29">
              <w:rPr>
                <w:rFonts w:ascii="Garamond" w:hAnsi="Garamond" w:hint="eastAsia"/>
                <w:color w:val="000000"/>
                <w:sz w:val="20"/>
                <w:szCs w:val="20"/>
              </w:rPr>
              <w:t>(-1.31)</w:t>
            </w:r>
          </w:p>
        </w:tc>
        <w:tc>
          <w:tcPr>
            <w:tcW w:w="1191" w:type="dxa"/>
            <w:tcBorders>
              <w:bottom w:val="single" w:sz="4" w:space="0" w:color="auto"/>
            </w:tcBorders>
            <w:shd w:val="clear" w:color="auto" w:fill="auto"/>
            <w:noWrap/>
            <w:vAlign w:val="center"/>
            <w:hideMark/>
          </w:tcPr>
          <w:p w:rsidR="00583BD3" w:rsidRPr="00770F29" w:rsidRDefault="00583BD3" w:rsidP="000727E8">
            <w:pPr>
              <w:rPr>
                <w:rFonts w:ascii="Garamond" w:hAnsi="Garamond"/>
                <w:color w:val="000000"/>
                <w:sz w:val="20"/>
                <w:szCs w:val="20"/>
              </w:rPr>
            </w:pPr>
            <w:r w:rsidRPr="00770F29">
              <w:rPr>
                <w:rFonts w:ascii="Garamond" w:hAnsi="Garamond" w:hint="eastAsia"/>
                <w:color w:val="000000"/>
                <w:sz w:val="20"/>
                <w:szCs w:val="20"/>
              </w:rPr>
              <w:t>(-1.30)</w:t>
            </w:r>
          </w:p>
        </w:tc>
        <w:tc>
          <w:tcPr>
            <w:tcW w:w="1191" w:type="dxa"/>
            <w:tcBorders>
              <w:bottom w:val="single" w:sz="4" w:space="0" w:color="auto"/>
            </w:tcBorders>
            <w:shd w:val="clear" w:color="auto" w:fill="auto"/>
            <w:noWrap/>
            <w:vAlign w:val="center"/>
            <w:hideMark/>
          </w:tcPr>
          <w:p w:rsidR="00583BD3" w:rsidRPr="00770F29" w:rsidRDefault="00583BD3" w:rsidP="000727E8">
            <w:pPr>
              <w:rPr>
                <w:rFonts w:ascii="Garamond" w:hAnsi="Garamond"/>
                <w:color w:val="000000"/>
                <w:sz w:val="20"/>
                <w:szCs w:val="20"/>
              </w:rPr>
            </w:pPr>
            <w:r w:rsidRPr="00770F29">
              <w:rPr>
                <w:rFonts w:ascii="Garamond" w:hAnsi="Garamond" w:hint="eastAsia"/>
                <w:color w:val="000000"/>
                <w:sz w:val="20"/>
                <w:szCs w:val="20"/>
              </w:rPr>
              <w:t>(-1.32)</w:t>
            </w:r>
          </w:p>
        </w:tc>
        <w:tc>
          <w:tcPr>
            <w:tcW w:w="1191" w:type="dxa"/>
            <w:tcBorders>
              <w:bottom w:val="single" w:sz="4" w:space="0" w:color="auto"/>
            </w:tcBorders>
            <w:shd w:val="clear" w:color="auto" w:fill="auto"/>
            <w:noWrap/>
            <w:vAlign w:val="center"/>
            <w:hideMark/>
          </w:tcPr>
          <w:p w:rsidR="00583BD3" w:rsidRPr="00770F29" w:rsidRDefault="00583BD3" w:rsidP="000727E8">
            <w:pPr>
              <w:rPr>
                <w:rFonts w:ascii="Garamond" w:hAnsi="Garamond"/>
                <w:color w:val="000000"/>
                <w:sz w:val="20"/>
                <w:szCs w:val="20"/>
              </w:rPr>
            </w:pPr>
            <w:r w:rsidRPr="00770F29">
              <w:rPr>
                <w:rFonts w:ascii="Garamond" w:hAnsi="Garamond" w:hint="eastAsia"/>
                <w:color w:val="000000"/>
                <w:sz w:val="20"/>
                <w:szCs w:val="20"/>
              </w:rPr>
              <w:t>(-1.28)</w:t>
            </w:r>
          </w:p>
        </w:tc>
        <w:tc>
          <w:tcPr>
            <w:tcW w:w="1191" w:type="dxa"/>
            <w:tcBorders>
              <w:bottom w:val="single" w:sz="4" w:space="0" w:color="auto"/>
            </w:tcBorders>
            <w:shd w:val="clear" w:color="auto" w:fill="auto"/>
            <w:noWrap/>
            <w:vAlign w:val="center"/>
            <w:hideMark/>
          </w:tcPr>
          <w:p w:rsidR="00583BD3" w:rsidRPr="00770F29" w:rsidRDefault="00583BD3" w:rsidP="000727E8">
            <w:pPr>
              <w:rPr>
                <w:rFonts w:ascii="Garamond" w:hAnsi="Garamond"/>
                <w:color w:val="000000"/>
                <w:sz w:val="20"/>
                <w:szCs w:val="20"/>
              </w:rPr>
            </w:pPr>
            <w:r w:rsidRPr="00770F29">
              <w:rPr>
                <w:rFonts w:ascii="Garamond" w:hAnsi="Garamond" w:hint="eastAsia"/>
                <w:color w:val="000000"/>
                <w:sz w:val="20"/>
                <w:szCs w:val="20"/>
              </w:rPr>
              <w:t>(-1.32)</w:t>
            </w:r>
          </w:p>
        </w:tc>
      </w:tr>
      <w:tr w:rsidR="00583BD3" w:rsidRPr="00BA1FEC" w:rsidTr="000727E8">
        <w:trPr>
          <w:trHeight w:hRule="exact" w:val="255"/>
        </w:trPr>
        <w:tc>
          <w:tcPr>
            <w:tcW w:w="2438" w:type="dxa"/>
            <w:tcBorders>
              <w:top w:val="single" w:sz="4" w:space="0" w:color="auto"/>
              <w:bottom w:val="nil"/>
            </w:tcBorders>
            <w:shd w:val="clear" w:color="auto" w:fill="auto"/>
            <w:noWrap/>
            <w:hideMark/>
          </w:tcPr>
          <w:p w:rsidR="00583BD3" w:rsidRPr="003B3AEF" w:rsidRDefault="00583BD3" w:rsidP="000727E8">
            <w:pPr>
              <w:jc w:val="center"/>
              <w:rPr>
                <w:rFonts w:ascii="Garamond" w:hAnsi="Garamond" w:cs="Calibri"/>
                <w:color w:val="000000" w:themeColor="text1"/>
                <w:sz w:val="20"/>
                <w:szCs w:val="20"/>
              </w:rPr>
            </w:pPr>
            <w:r w:rsidRPr="003B3AEF">
              <w:rPr>
                <w:rFonts w:ascii="Garamond" w:hAnsi="Garamond" w:cs="Calibri"/>
                <w:color w:val="000000" w:themeColor="text1"/>
                <w:sz w:val="20"/>
                <w:szCs w:val="20"/>
              </w:rPr>
              <w:t>Year Fixed Effects</w:t>
            </w:r>
          </w:p>
        </w:tc>
        <w:tc>
          <w:tcPr>
            <w:tcW w:w="1191" w:type="dxa"/>
            <w:tcBorders>
              <w:top w:val="single" w:sz="4" w:space="0" w:color="auto"/>
              <w:bottom w:val="nil"/>
            </w:tcBorders>
            <w:shd w:val="clear" w:color="auto" w:fill="auto"/>
            <w:noWrap/>
            <w:hideMark/>
          </w:tcPr>
          <w:p w:rsidR="00583BD3" w:rsidRPr="003B3AEF" w:rsidRDefault="00583BD3" w:rsidP="000727E8">
            <w:pPr>
              <w:rPr>
                <w:rFonts w:ascii="Garamond" w:hAnsi="Garamond" w:cs="Calibri"/>
                <w:color w:val="000000" w:themeColor="text1"/>
                <w:sz w:val="20"/>
                <w:szCs w:val="20"/>
              </w:rPr>
            </w:pPr>
            <w:r w:rsidRPr="003B3AEF">
              <w:rPr>
                <w:rFonts w:ascii="Garamond" w:hAnsi="Garamond" w:cs="Calibri"/>
                <w:color w:val="000000" w:themeColor="text1"/>
                <w:sz w:val="20"/>
                <w:szCs w:val="20"/>
              </w:rPr>
              <w:t>Yes</w:t>
            </w:r>
          </w:p>
        </w:tc>
        <w:tc>
          <w:tcPr>
            <w:tcW w:w="1191" w:type="dxa"/>
            <w:tcBorders>
              <w:top w:val="single" w:sz="4" w:space="0" w:color="auto"/>
              <w:bottom w:val="nil"/>
            </w:tcBorders>
            <w:shd w:val="clear" w:color="auto" w:fill="auto"/>
            <w:noWrap/>
            <w:hideMark/>
          </w:tcPr>
          <w:p w:rsidR="00583BD3" w:rsidRPr="003B3AEF" w:rsidRDefault="00583BD3" w:rsidP="000727E8">
            <w:pPr>
              <w:rPr>
                <w:rFonts w:ascii="Garamond" w:hAnsi="Garamond" w:cs="Calibri"/>
                <w:color w:val="000000" w:themeColor="text1"/>
                <w:sz w:val="20"/>
                <w:szCs w:val="20"/>
              </w:rPr>
            </w:pPr>
            <w:r w:rsidRPr="003B3AEF">
              <w:rPr>
                <w:rFonts w:ascii="Garamond" w:hAnsi="Garamond" w:cs="Calibri"/>
                <w:color w:val="000000" w:themeColor="text1"/>
                <w:sz w:val="20"/>
                <w:szCs w:val="20"/>
              </w:rPr>
              <w:t>Yes</w:t>
            </w:r>
          </w:p>
        </w:tc>
        <w:tc>
          <w:tcPr>
            <w:tcW w:w="1191" w:type="dxa"/>
            <w:tcBorders>
              <w:top w:val="single" w:sz="4" w:space="0" w:color="auto"/>
              <w:bottom w:val="nil"/>
            </w:tcBorders>
            <w:shd w:val="clear" w:color="auto" w:fill="auto"/>
            <w:noWrap/>
            <w:hideMark/>
          </w:tcPr>
          <w:p w:rsidR="00583BD3" w:rsidRPr="003B3AEF" w:rsidRDefault="00583BD3" w:rsidP="000727E8">
            <w:pPr>
              <w:rPr>
                <w:rFonts w:ascii="Garamond" w:hAnsi="Garamond" w:cs="Calibri"/>
                <w:color w:val="000000" w:themeColor="text1"/>
                <w:sz w:val="20"/>
                <w:szCs w:val="20"/>
              </w:rPr>
            </w:pPr>
            <w:r w:rsidRPr="003B3AEF">
              <w:rPr>
                <w:rFonts w:ascii="Garamond" w:hAnsi="Garamond" w:cs="Calibri"/>
                <w:color w:val="000000" w:themeColor="text1"/>
                <w:sz w:val="20"/>
                <w:szCs w:val="20"/>
              </w:rPr>
              <w:t>Yes</w:t>
            </w:r>
          </w:p>
        </w:tc>
        <w:tc>
          <w:tcPr>
            <w:tcW w:w="1191" w:type="dxa"/>
            <w:tcBorders>
              <w:top w:val="single" w:sz="4" w:space="0" w:color="auto"/>
              <w:bottom w:val="nil"/>
            </w:tcBorders>
            <w:shd w:val="clear" w:color="auto" w:fill="auto"/>
            <w:noWrap/>
            <w:hideMark/>
          </w:tcPr>
          <w:p w:rsidR="00583BD3" w:rsidRPr="003B3AEF" w:rsidRDefault="00583BD3" w:rsidP="000727E8">
            <w:pPr>
              <w:rPr>
                <w:rFonts w:ascii="Garamond" w:hAnsi="Garamond" w:cs="Calibri"/>
                <w:color w:val="000000" w:themeColor="text1"/>
                <w:sz w:val="20"/>
                <w:szCs w:val="20"/>
              </w:rPr>
            </w:pPr>
            <w:r w:rsidRPr="003B3AEF">
              <w:rPr>
                <w:rFonts w:ascii="Garamond" w:hAnsi="Garamond" w:cs="Calibri"/>
                <w:color w:val="000000" w:themeColor="text1"/>
                <w:sz w:val="20"/>
                <w:szCs w:val="20"/>
              </w:rPr>
              <w:t>Yes</w:t>
            </w:r>
          </w:p>
        </w:tc>
        <w:tc>
          <w:tcPr>
            <w:tcW w:w="1191" w:type="dxa"/>
            <w:tcBorders>
              <w:top w:val="single" w:sz="4" w:space="0" w:color="auto"/>
              <w:bottom w:val="nil"/>
            </w:tcBorders>
            <w:shd w:val="clear" w:color="auto" w:fill="auto"/>
            <w:noWrap/>
            <w:hideMark/>
          </w:tcPr>
          <w:p w:rsidR="00583BD3" w:rsidRPr="003B3AEF" w:rsidRDefault="00583BD3" w:rsidP="000727E8">
            <w:pPr>
              <w:rPr>
                <w:rFonts w:ascii="Garamond" w:hAnsi="Garamond" w:cs="Calibri"/>
                <w:color w:val="000000" w:themeColor="text1"/>
                <w:sz w:val="20"/>
                <w:szCs w:val="20"/>
              </w:rPr>
            </w:pPr>
            <w:r w:rsidRPr="003B3AEF">
              <w:rPr>
                <w:rFonts w:ascii="Garamond" w:hAnsi="Garamond" w:cs="Calibri"/>
                <w:color w:val="000000" w:themeColor="text1"/>
                <w:sz w:val="20"/>
                <w:szCs w:val="20"/>
              </w:rPr>
              <w:t>Yes</w:t>
            </w:r>
          </w:p>
        </w:tc>
        <w:tc>
          <w:tcPr>
            <w:tcW w:w="1191" w:type="dxa"/>
            <w:tcBorders>
              <w:top w:val="single" w:sz="4" w:space="0" w:color="auto"/>
              <w:bottom w:val="nil"/>
            </w:tcBorders>
            <w:shd w:val="clear" w:color="auto" w:fill="auto"/>
            <w:noWrap/>
            <w:hideMark/>
          </w:tcPr>
          <w:p w:rsidR="00583BD3" w:rsidRPr="003B3AEF" w:rsidRDefault="00583BD3" w:rsidP="000727E8">
            <w:pPr>
              <w:rPr>
                <w:rFonts w:ascii="Garamond" w:hAnsi="Garamond" w:cs="Calibri"/>
                <w:color w:val="000000" w:themeColor="text1"/>
                <w:sz w:val="20"/>
                <w:szCs w:val="20"/>
              </w:rPr>
            </w:pPr>
            <w:r w:rsidRPr="003B3AEF">
              <w:rPr>
                <w:rFonts w:ascii="Garamond" w:hAnsi="Garamond" w:cs="Calibri"/>
                <w:color w:val="000000" w:themeColor="text1"/>
                <w:sz w:val="20"/>
                <w:szCs w:val="20"/>
              </w:rPr>
              <w:t>Yes</w:t>
            </w:r>
          </w:p>
        </w:tc>
      </w:tr>
      <w:tr w:rsidR="00583BD3" w:rsidRPr="00BA1FEC" w:rsidTr="000727E8">
        <w:trPr>
          <w:trHeight w:hRule="exact" w:val="255"/>
        </w:trPr>
        <w:tc>
          <w:tcPr>
            <w:tcW w:w="2438" w:type="dxa"/>
            <w:tcBorders>
              <w:top w:val="nil"/>
            </w:tcBorders>
            <w:shd w:val="clear" w:color="auto" w:fill="auto"/>
            <w:noWrap/>
            <w:hideMark/>
          </w:tcPr>
          <w:p w:rsidR="00583BD3" w:rsidRPr="003B3AEF" w:rsidRDefault="00583BD3" w:rsidP="000727E8">
            <w:pPr>
              <w:jc w:val="center"/>
              <w:rPr>
                <w:rFonts w:ascii="Garamond" w:hAnsi="Garamond" w:cs="Calibri"/>
                <w:color w:val="000000" w:themeColor="text1"/>
                <w:sz w:val="20"/>
                <w:szCs w:val="20"/>
              </w:rPr>
            </w:pPr>
            <w:r>
              <w:rPr>
                <w:rFonts w:ascii="Garamond" w:hAnsi="Garamond" w:cs="Calibri"/>
                <w:color w:val="000000" w:themeColor="text1"/>
                <w:sz w:val="20"/>
                <w:szCs w:val="20"/>
              </w:rPr>
              <w:t>Firm</w:t>
            </w:r>
            <w:r w:rsidRPr="003B3AEF">
              <w:rPr>
                <w:rFonts w:ascii="Garamond" w:hAnsi="Garamond" w:cs="Calibri"/>
                <w:color w:val="000000" w:themeColor="text1"/>
                <w:sz w:val="20"/>
                <w:szCs w:val="20"/>
              </w:rPr>
              <w:t xml:space="preserve"> Fixed Effects</w:t>
            </w:r>
          </w:p>
        </w:tc>
        <w:tc>
          <w:tcPr>
            <w:tcW w:w="1191" w:type="dxa"/>
            <w:tcBorders>
              <w:top w:val="nil"/>
            </w:tcBorders>
            <w:shd w:val="clear" w:color="auto" w:fill="auto"/>
            <w:noWrap/>
            <w:hideMark/>
          </w:tcPr>
          <w:p w:rsidR="00583BD3" w:rsidRPr="003B3AEF" w:rsidRDefault="00583BD3" w:rsidP="000727E8">
            <w:pPr>
              <w:rPr>
                <w:rFonts w:ascii="Garamond" w:hAnsi="Garamond" w:cs="Calibri"/>
                <w:color w:val="000000" w:themeColor="text1"/>
                <w:sz w:val="20"/>
                <w:szCs w:val="20"/>
              </w:rPr>
            </w:pPr>
            <w:r w:rsidRPr="003B3AEF">
              <w:rPr>
                <w:rFonts w:ascii="Garamond" w:hAnsi="Garamond" w:cs="Calibri"/>
                <w:color w:val="000000" w:themeColor="text1"/>
                <w:sz w:val="20"/>
                <w:szCs w:val="20"/>
              </w:rPr>
              <w:t>Yes</w:t>
            </w:r>
          </w:p>
        </w:tc>
        <w:tc>
          <w:tcPr>
            <w:tcW w:w="1191" w:type="dxa"/>
            <w:tcBorders>
              <w:top w:val="nil"/>
            </w:tcBorders>
            <w:shd w:val="clear" w:color="auto" w:fill="auto"/>
            <w:noWrap/>
            <w:hideMark/>
          </w:tcPr>
          <w:p w:rsidR="00583BD3" w:rsidRPr="003B3AEF" w:rsidRDefault="00583BD3" w:rsidP="000727E8">
            <w:pPr>
              <w:rPr>
                <w:rFonts w:ascii="Garamond" w:hAnsi="Garamond" w:cs="Calibri"/>
                <w:color w:val="000000" w:themeColor="text1"/>
                <w:sz w:val="20"/>
                <w:szCs w:val="20"/>
              </w:rPr>
            </w:pPr>
            <w:r w:rsidRPr="003B3AEF">
              <w:rPr>
                <w:rFonts w:ascii="Garamond" w:hAnsi="Garamond" w:cs="Calibri"/>
                <w:color w:val="000000" w:themeColor="text1"/>
                <w:sz w:val="20"/>
                <w:szCs w:val="20"/>
              </w:rPr>
              <w:t>Yes</w:t>
            </w:r>
          </w:p>
        </w:tc>
        <w:tc>
          <w:tcPr>
            <w:tcW w:w="1191" w:type="dxa"/>
            <w:tcBorders>
              <w:top w:val="nil"/>
            </w:tcBorders>
            <w:shd w:val="clear" w:color="auto" w:fill="auto"/>
            <w:noWrap/>
            <w:hideMark/>
          </w:tcPr>
          <w:p w:rsidR="00583BD3" w:rsidRPr="003B3AEF" w:rsidRDefault="00583BD3" w:rsidP="000727E8">
            <w:pPr>
              <w:rPr>
                <w:rFonts w:ascii="Garamond" w:hAnsi="Garamond" w:cs="Calibri"/>
                <w:color w:val="000000" w:themeColor="text1"/>
                <w:sz w:val="20"/>
                <w:szCs w:val="20"/>
              </w:rPr>
            </w:pPr>
            <w:r w:rsidRPr="003B3AEF">
              <w:rPr>
                <w:rFonts w:ascii="Garamond" w:hAnsi="Garamond" w:cs="Calibri"/>
                <w:color w:val="000000" w:themeColor="text1"/>
                <w:sz w:val="20"/>
                <w:szCs w:val="20"/>
              </w:rPr>
              <w:t>Yes</w:t>
            </w:r>
          </w:p>
        </w:tc>
        <w:tc>
          <w:tcPr>
            <w:tcW w:w="1191" w:type="dxa"/>
            <w:tcBorders>
              <w:top w:val="nil"/>
            </w:tcBorders>
            <w:shd w:val="clear" w:color="auto" w:fill="auto"/>
            <w:noWrap/>
            <w:hideMark/>
          </w:tcPr>
          <w:p w:rsidR="00583BD3" w:rsidRPr="003B3AEF" w:rsidRDefault="00583BD3" w:rsidP="000727E8">
            <w:pPr>
              <w:rPr>
                <w:rFonts w:ascii="Garamond" w:hAnsi="Garamond" w:cs="Calibri"/>
                <w:color w:val="000000" w:themeColor="text1"/>
                <w:sz w:val="20"/>
                <w:szCs w:val="20"/>
              </w:rPr>
            </w:pPr>
            <w:r w:rsidRPr="003B3AEF">
              <w:rPr>
                <w:rFonts w:ascii="Garamond" w:hAnsi="Garamond" w:cs="Calibri"/>
                <w:color w:val="000000" w:themeColor="text1"/>
                <w:sz w:val="20"/>
                <w:szCs w:val="20"/>
              </w:rPr>
              <w:t>Yes</w:t>
            </w:r>
          </w:p>
        </w:tc>
        <w:tc>
          <w:tcPr>
            <w:tcW w:w="1191" w:type="dxa"/>
            <w:tcBorders>
              <w:top w:val="nil"/>
            </w:tcBorders>
            <w:shd w:val="clear" w:color="auto" w:fill="auto"/>
            <w:noWrap/>
            <w:hideMark/>
          </w:tcPr>
          <w:p w:rsidR="00583BD3" w:rsidRPr="003B3AEF" w:rsidRDefault="00583BD3" w:rsidP="000727E8">
            <w:pPr>
              <w:rPr>
                <w:rFonts w:ascii="Garamond" w:hAnsi="Garamond" w:cs="Calibri"/>
                <w:color w:val="000000" w:themeColor="text1"/>
                <w:sz w:val="20"/>
                <w:szCs w:val="20"/>
              </w:rPr>
            </w:pPr>
            <w:r w:rsidRPr="003B3AEF">
              <w:rPr>
                <w:rFonts w:ascii="Garamond" w:hAnsi="Garamond" w:cs="Calibri"/>
                <w:color w:val="000000" w:themeColor="text1"/>
                <w:sz w:val="20"/>
                <w:szCs w:val="20"/>
              </w:rPr>
              <w:t>Yes</w:t>
            </w:r>
          </w:p>
        </w:tc>
        <w:tc>
          <w:tcPr>
            <w:tcW w:w="1191" w:type="dxa"/>
            <w:tcBorders>
              <w:top w:val="nil"/>
            </w:tcBorders>
            <w:shd w:val="clear" w:color="auto" w:fill="auto"/>
            <w:noWrap/>
            <w:hideMark/>
          </w:tcPr>
          <w:p w:rsidR="00583BD3" w:rsidRPr="003B3AEF" w:rsidRDefault="00583BD3" w:rsidP="000727E8">
            <w:pPr>
              <w:rPr>
                <w:rFonts w:ascii="Garamond" w:hAnsi="Garamond" w:cs="Calibri"/>
                <w:color w:val="000000" w:themeColor="text1"/>
                <w:sz w:val="20"/>
                <w:szCs w:val="20"/>
              </w:rPr>
            </w:pPr>
            <w:r w:rsidRPr="003B3AEF">
              <w:rPr>
                <w:rFonts w:ascii="Garamond" w:hAnsi="Garamond" w:cs="Calibri"/>
                <w:color w:val="000000" w:themeColor="text1"/>
                <w:sz w:val="20"/>
                <w:szCs w:val="20"/>
              </w:rPr>
              <w:t>Yes</w:t>
            </w:r>
          </w:p>
        </w:tc>
      </w:tr>
      <w:tr w:rsidR="00583BD3" w:rsidRPr="00770F29" w:rsidTr="000727E8">
        <w:trPr>
          <w:trHeight w:hRule="exact" w:val="255"/>
        </w:trPr>
        <w:tc>
          <w:tcPr>
            <w:tcW w:w="2438" w:type="dxa"/>
            <w:shd w:val="clear" w:color="auto" w:fill="auto"/>
            <w:noWrap/>
          </w:tcPr>
          <w:p w:rsidR="00583BD3" w:rsidRPr="003B3AEF" w:rsidRDefault="00583BD3" w:rsidP="000727E8">
            <w:pPr>
              <w:jc w:val="center"/>
              <w:rPr>
                <w:rFonts w:ascii="Garamond" w:hAnsi="Garamond" w:cs="Calibri"/>
                <w:color w:val="000000" w:themeColor="text1"/>
                <w:sz w:val="20"/>
                <w:szCs w:val="20"/>
              </w:rPr>
            </w:pPr>
            <w:r>
              <w:rPr>
                <w:rFonts w:ascii="Garamond" w:hAnsi="Garamond" w:cs="Calibri"/>
                <w:color w:val="000000" w:themeColor="text1"/>
                <w:sz w:val="20"/>
                <w:szCs w:val="20"/>
              </w:rPr>
              <w:t>Control Variables</w:t>
            </w:r>
          </w:p>
        </w:tc>
        <w:tc>
          <w:tcPr>
            <w:tcW w:w="1191" w:type="dxa"/>
            <w:shd w:val="clear" w:color="auto" w:fill="auto"/>
            <w:noWrap/>
          </w:tcPr>
          <w:p w:rsidR="00583BD3" w:rsidRPr="00770F29" w:rsidRDefault="00583BD3" w:rsidP="000727E8">
            <w:pPr>
              <w:rPr>
                <w:rFonts w:ascii="Garamond" w:hAnsi="Garamond" w:cs="Calibri"/>
                <w:color w:val="000000" w:themeColor="text1"/>
                <w:sz w:val="20"/>
                <w:szCs w:val="20"/>
              </w:rPr>
            </w:pPr>
            <w:r w:rsidRPr="00063022">
              <w:rPr>
                <w:rFonts w:ascii="Garamond" w:hAnsi="Garamond" w:cs="Calibri"/>
                <w:color w:val="000000" w:themeColor="text1"/>
                <w:sz w:val="20"/>
                <w:szCs w:val="20"/>
              </w:rPr>
              <w:t>Yes</w:t>
            </w:r>
          </w:p>
        </w:tc>
        <w:tc>
          <w:tcPr>
            <w:tcW w:w="1191" w:type="dxa"/>
            <w:shd w:val="clear" w:color="auto" w:fill="auto"/>
            <w:noWrap/>
          </w:tcPr>
          <w:p w:rsidR="00583BD3" w:rsidRPr="00770F29" w:rsidRDefault="00583BD3" w:rsidP="000727E8">
            <w:pPr>
              <w:rPr>
                <w:rFonts w:ascii="Garamond" w:hAnsi="Garamond" w:cs="Calibri"/>
                <w:color w:val="000000" w:themeColor="text1"/>
                <w:sz w:val="20"/>
                <w:szCs w:val="20"/>
              </w:rPr>
            </w:pPr>
            <w:r w:rsidRPr="00063022">
              <w:rPr>
                <w:rFonts w:ascii="Garamond" w:hAnsi="Garamond" w:cs="Calibri"/>
                <w:color w:val="000000" w:themeColor="text1"/>
                <w:sz w:val="20"/>
                <w:szCs w:val="20"/>
              </w:rPr>
              <w:t>Yes</w:t>
            </w:r>
          </w:p>
        </w:tc>
        <w:tc>
          <w:tcPr>
            <w:tcW w:w="1191" w:type="dxa"/>
            <w:shd w:val="clear" w:color="auto" w:fill="auto"/>
            <w:noWrap/>
          </w:tcPr>
          <w:p w:rsidR="00583BD3" w:rsidRPr="00770F29" w:rsidRDefault="00583BD3" w:rsidP="000727E8">
            <w:pPr>
              <w:rPr>
                <w:rFonts w:ascii="Garamond" w:hAnsi="Garamond" w:cs="Calibri"/>
                <w:color w:val="000000" w:themeColor="text1"/>
                <w:sz w:val="20"/>
                <w:szCs w:val="20"/>
              </w:rPr>
            </w:pPr>
            <w:r w:rsidRPr="00063022">
              <w:rPr>
                <w:rFonts w:ascii="Garamond" w:hAnsi="Garamond" w:cs="Calibri"/>
                <w:color w:val="000000" w:themeColor="text1"/>
                <w:sz w:val="20"/>
                <w:szCs w:val="20"/>
              </w:rPr>
              <w:t>Yes</w:t>
            </w:r>
          </w:p>
        </w:tc>
        <w:tc>
          <w:tcPr>
            <w:tcW w:w="1191" w:type="dxa"/>
            <w:shd w:val="clear" w:color="auto" w:fill="auto"/>
            <w:noWrap/>
          </w:tcPr>
          <w:p w:rsidR="00583BD3" w:rsidRPr="00770F29" w:rsidRDefault="00583BD3" w:rsidP="000727E8">
            <w:pPr>
              <w:rPr>
                <w:rFonts w:ascii="Garamond" w:hAnsi="Garamond" w:cs="Calibri"/>
                <w:color w:val="000000" w:themeColor="text1"/>
                <w:sz w:val="20"/>
                <w:szCs w:val="20"/>
              </w:rPr>
            </w:pPr>
            <w:r w:rsidRPr="00063022">
              <w:rPr>
                <w:rFonts w:ascii="Garamond" w:hAnsi="Garamond" w:cs="Calibri"/>
                <w:color w:val="000000" w:themeColor="text1"/>
                <w:sz w:val="20"/>
                <w:szCs w:val="20"/>
              </w:rPr>
              <w:t>Yes</w:t>
            </w:r>
          </w:p>
        </w:tc>
        <w:tc>
          <w:tcPr>
            <w:tcW w:w="1191" w:type="dxa"/>
            <w:shd w:val="clear" w:color="auto" w:fill="auto"/>
            <w:noWrap/>
          </w:tcPr>
          <w:p w:rsidR="00583BD3" w:rsidRPr="00770F29" w:rsidRDefault="00583BD3" w:rsidP="000727E8">
            <w:pPr>
              <w:rPr>
                <w:rFonts w:ascii="Garamond" w:hAnsi="Garamond" w:cs="Calibri"/>
                <w:color w:val="000000" w:themeColor="text1"/>
                <w:sz w:val="20"/>
                <w:szCs w:val="20"/>
              </w:rPr>
            </w:pPr>
            <w:r w:rsidRPr="00063022">
              <w:rPr>
                <w:rFonts w:ascii="Garamond" w:hAnsi="Garamond" w:cs="Calibri"/>
                <w:color w:val="000000" w:themeColor="text1"/>
                <w:sz w:val="20"/>
                <w:szCs w:val="20"/>
              </w:rPr>
              <w:t>Yes</w:t>
            </w:r>
          </w:p>
        </w:tc>
        <w:tc>
          <w:tcPr>
            <w:tcW w:w="1191" w:type="dxa"/>
            <w:shd w:val="clear" w:color="auto" w:fill="auto"/>
            <w:noWrap/>
          </w:tcPr>
          <w:p w:rsidR="00583BD3" w:rsidRPr="00770F29" w:rsidRDefault="00583BD3" w:rsidP="000727E8">
            <w:pPr>
              <w:rPr>
                <w:rFonts w:ascii="Garamond" w:hAnsi="Garamond" w:cs="Calibri"/>
                <w:color w:val="000000" w:themeColor="text1"/>
                <w:sz w:val="20"/>
                <w:szCs w:val="20"/>
              </w:rPr>
            </w:pPr>
            <w:r w:rsidRPr="00063022">
              <w:rPr>
                <w:rFonts w:ascii="Garamond" w:hAnsi="Garamond" w:cs="Calibri"/>
                <w:color w:val="000000" w:themeColor="text1"/>
                <w:sz w:val="20"/>
                <w:szCs w:val="20"/>
              </w:rPr>
              <w:t>Yes</w:t>
            </w:r>
          </w:p>
        </w:tc>
      </w:tr>
      <w:tr w:rsidR="00583BD3" w:rsidRPr="00770F29" w:rsidTr="000727E8">
        <w:trPr>
          <w:trHeight w:hRule="exact" w:val="255"/>
        </w:trPr>
        <w:tc>
          <w:tcPr>
            <w:tcW w:w="2438" w:type="dxa"/>
            <w:shd w:val="clear" w:color="auto" w:fill="auto"/>
            <w:noWrap/>
            <w:hideMark/>
          </w:tcPr>
          <w:p w:rsidR="00583BD3" w:rsidRPr="003B3AEF" w:rsidRDefault="00583BD3" w:rsidP="000727E8">
            <w:pPr>
              <w:jc w:val="center"/>
              <w:rPr>
                <w:rFonts w:ascii="Garamond" w:hAnsi="Garamond" w:cs="Calibri"/>
                <w:color w:val="000000" w:themeColor="text1"/>
                <w:sz w:val="20"/>
                <w:szCs w:val="20"/>
              </w:rPr>
            </w:pPr>
            <w:proofErr w:type="spellStart"/>
            <w:r w:rsidRPr="003B3AEF">
              <w:rPr>
                <w:rFonts w:ascii="Garamond" w:hAnsi="Garamond" w:cs="Calibri"/>
                <w:color w:val="000000" w:themeColor="text1"/>
                <w:sz w:val="20"/>
                <w:szCs w:val="20"/>
              </w:rPr>
              <w:t>Adj</w:t>
            </w:r>
            <w:proofErr w:type="spellEnd"/>
            <w:r w:rsidRPr="003B3AEF">
              <w:rPr>
                <w:rFonts w:ascii="Garamond" w:hAnsi="Garamond" w:cs="Calibri"/>
                <w:color w:val="000000" w:themeColor="text1"/>
                <w:sz w:val="20"/>
                <w:szCs w:val="20"/>
              </w:rPr>
              <w:t xml:space="preserve"> R-square</w:t>
            </w:r>
          </w:p>
        </w:tc>
        <w:tc>
          <w:tcPr>
            <w:tcW w:w="1191" w:type="dxa"/>
            <w:shd w:val="clear" w:color="auto" w:fill="auto"/>
            <w:noWrap/>
            <w:vAlign w:val="bottom"/>
            <w:hideMark/>
          </w:tcPr>
          <w:p w:rsidR="00583BD3" w:rsidRPr="00770F29" w:rsidRDefault="00583BD3" w:rsidP="000727E8">
            <w:pPr>
              <w:rPr>
                <w:rFonts w:ascii="Garamond" w:hAnsi="Garamond" w:cs="Calibri"/>
                <w:color w:val="000000" w:themeColor="text1"/>
                <w:sz w:val="20"/>
                <w:szCs w:val="20"/>
              </w:rPr>
            </w:pPr>
            <w:r w:rsidRPr="00770F29">
              <w:rPr>
                <w:rFonts w:ascii="Garamond" w:hAnsi="Garamond" w:cs="Calibri" w:hint="eastAsia"/>
                <w:color w:val="000000" w:themeColor="text1"/>
                <w:sz w:val="20"/>
                <w:szCs w:val="20"/>
              </w:rPr>
              <w:t>0.0945</w:t>
            </w:r>
          </w:p>
        </w:tc>
        <w:tc>
          <w:tcPr>
            <w:tcW w:w="1191" w:type="dxa"/>
            <w:shd w:val="clear" w:color="auto" w:fill="auto"/>
            <w:noWrap/>
            <w:vAlign w:val="bottom"/>
            <w:hideMark/>
          </w:tcPr>
          <w:p w:rsidR="00583BD3" w:rsidRPr="00770F29" w:rsidRDefault="00583BD3" w:rsidP="000727E8">
            <w:pPr>
              <w:rPr>
                <w:rFonts w:ascii="Garamond" w:hAnsi="Garamond" w:cs="Calibri"/>
                <w:color w:val="000000" w:themeColor="text1"/>
                <w:sz w:val="20"/>
                <w:szCs w:val="20"/>
              </w:rPr>
            </w:pPr>
            <w:r w:rsidRPr="00770F29">
              <w:rPr>
                <w:rFonts w:ascii="Garamond" w:hAnsi="Garamond" w:cs="Calibri" w:hint="eastAsia"/>
                <w:color w:val="000000" w:themeColor="text1"/>
                <w:sz w:val="20"/>
                <w:szCs w:val="20"/>
              </w:rPr>
              <w:t>0.0944</w:t>
            </w:r>
          </w:p>
        </w:tc>
        <w:tc>
          <w:tcPr>
            <w:tcW w:w="1191" w:type="dxa"/>
            <w:shd w:val="clear" w:color="auto" w:fill="auto"/>
            <w:noWrap/>
            <w:vAlign w:val="bottom"/>
            <w:hideMark/>
          </w:tcPr>
          <w:p w:rsidR="00583BD3" w:rsidRPr="00770F29" w:rsidRDefault="00583BD3" w:rsidP="000727E8">
            <w:pPr>
              <w:rPr>
                <w:rFonts w:ascii="Garamond" w:hAnsi="Garamond" w:cs="Calibri"/>
                <w:color w:val="000000" w:themeColor="text1"/>
                <w:sz w:val="20"/>
                <w:szCs w:val="20"/>
              </w:rPr>
            </w:pPr>
            <w:r w:rsidRPr="00770F29">
              <w:rPr>
                <w:rFonts w:ascii="Garamond" w:hAnsi="Garamond" w:cs="Calibri" w:hint="eastAsia"/>
                <w:color w:val="000000" w:themeColor="text1"/>
                <w:sz w:val="20"/>
                <w:szCs w:val="20"/>
              </w:rPr>
              <w:t>0.0944</w:t>
            </w:r>
          </w:p>
        </w:tc>
        <w:tc>
          <w:tcPr>
            <w:tcW w:w="1191" w:type="dxa"/>
            <w:shd w:val="clear" w:color="auto" w:fill="auto"/>
            <w:noWrap/>
            <w:vAlign w:val="bottom"/>
            <w:hideMark/>
          </w:tcPr>
          <w:p w:rsidR="00583BD3" w:rsidRPr="00770F29" w:rsidRDefault="00583BD3" w:rsidP="000727E8">
            <w:pPr>
              <w:rPr>
                <w:rFonts w:ascii="Garamond" w:hAnsi="Garamond" w:cs="Calibri"/>
                <w:color w:val="000000" w:themeColor="text1"/>
                <w:sz w:val="20"/>
                <w:szCs w:val="20"/>
              </w:rPr>
            </w:pPr>
            <w:r w:rsidRPr="00770F29">
              <w:rPr>
                <w:rFonts w:ascii="Garamond" w:hAnsi="Garamond" w:cs="Calibri" w:hint="eastAsia"/>
                <w:color w:val="000000" w:themeColor="text1"/>
                <w:sz w:val="20"/>
                <w:szCs w:val="20"/>
              </w:rPr>
              <w:t>0.0943</w:t>
            </w:r>
          </w:p>
        </w:tc>
        <w:tc>
          <w:tcPr>
            <w:tcW w:w="1191" w:type="dxa"/>
            <w:shd w:val="clear" w:color="auto" w:fill="auto"/>
            <w:noWrap/>
            <w:vAlign w:val="center"/>
            <w:hideMark/>
          </w:tcPr>
          <w:p w:rsidR="00583BD3" w:rsidRPr="00770F29" w:rsidRDefault="00583BD3" w:rsidP="000727E8">
            <w:pPr>
              <w:rPr>
                <w:rFonts w:ascii="Garamond" w:hAnsi="Garamond" w:cs="Calibri"/>
                <w:color w:val="000000" w:themeColor="text1"/>
                <w:sz w:val="20"/>
                <w:szCs w:val="20"/>
              </w:rPr>
            </w:pPr>
            <w:r w:rsidRPr="00770F29">
              <w:rPr>
                <w:rFonts w:ascii="Garamond" w:hAnsi="Garamond" w:cs="Calibri" w:hint="eastAsia"/>
                <w:color w:val="000000" w:themeColor="text1"/>
                <w:sz w:val="20"/>
                <w:szCs w:val="20"/>
              </w:rPr>
              <w:t>0.0941</w:t>
            </w:r>
          </w:p>
        </w:tc>
        <w:tc>
          <w:tcPr>
            <w:tcW w:w="1191" w:type="dxa"/>
            <w:shd w:val="clear" w:color="auto" w:fill="auto"/>
            <w:noWrap/>
            <w:vAlign w:val="center"/>
            <w:hideMark/>
          </w:tcPr>
          <w:p w:rsidR="00583BD3" w:rsidRPr="00770F29" w:rsidRDefault="00583BD3" w:rsidP="000727E8">
            <w:pPr>
              <w:rPr>
                <w:rFonts w:ascii="Garamond" w:hAnsi="Garamond" w:cs="Calibri"/>
                <w:color w:val="000000" w:themeColor="text1"/>
                <w:sz w:val="20"/>
                <w:szCs w:val="20"/>
              </w:rPr>
            </w:pPr>
            <w:r w:rsidRPr="00770F29">
              <w:rPr>
                <w:rFonts w:ascii="Garamond" w:hAnsi="Garamond" w:cs="Calibri" w:hint="eastAsia"/>
                <w:color w:val="000000" w:themeColor="text1"/>
                <w:sz w:val="20"/>
                <w:szCs w:val="20"/>
              </w:rPr>
              <w:t>0.0943</w:t>
            </w:r>
          </w:p>
        </w:tc>
      </w:tr>
      <w:tr w:rsidR="00583BD3" w:rsidRPr="00BA1FEC" w:rsidTr="000727E8">
        <w:trPr>
          <w:trHeight w:hRule="exact" w:val="255"/>
        </w:trPr>
        <w:tc>
          <w:tcPr>
            <w:tcW w:w="2438" w:type="dxa"/>
            <w:shd w:val="clear" w:color="auto" w:fill="auto"/>
            <w:noWrap/>
            <w:hideMark/>
          </w:tcPr>
          <w:p w:rsidR="00583BD3" w:rsidRPr="003B3AEF" w:rsidRDefault="00583BD3" w:rsidP="000727E8">
            <w:pPr>
              <w:jc w:val="center"/>
              <w:rPr>
                <w:rFonts w:ascii="Garamond" w:hAnsi="Garamond" w:cs="Calibri"/>
                <w:color w:val="000000" w:themeColor="text1"/>
                <w:sz w:val="20"/>
                <w:szCs w:val="20"/>
              </w:rPr>
            </w:pPr>
            <w:r w:rsidRPr="003B3AEF">
              <w:rPr>
                <w:rFonts w:ascii="Garamond" w:hAnsi="Garamond" w:cs="Calibri"/>
                <w:color w:val="000000" w:themeColor="text1"/>
                <w:sz w:val="20"/>
                <w:szCs w:val="20"/>
              </w:rPr>
              <w:t>No. of Observation</w:t>
            </w:r>
          </w:p>
        </w:tc>
        <w:tc>
          <w:tcPr>
            <w:tcW w:w="1191" w:type="dxa"/>
            <w:shd w:val="clear" w:color="auto" w:fill="auto"/>
            <w:noWrap/>
            <w:vAlign w:val="bottom"/>
            <w:hideMark/>
          </w:tcPr>
          <w:p w:rsidR="00583BD3" w:rsidRPr="003B3AEF" w:rsidRDefault="00583BD3" w:rsidP="000727E8">
            <w:pPr>
              <w:rPr>
                <w:rFonts w:ascii="Garamond" w:hAnsi="Garamond" w:cs="Calibri"/>
                <w:color w:val="000000" w:themeColor="text1"/>
                <w:sz w:val="20"/>
                <w:szCs w:val="20"/>
              </w:rPr>
            </w:pPr>
            <w:r w:rsidRPr="003B3AEF">
              <w:rPr>
                <w:rFonts w:ascii="Garamond" w:hAnsi="Garamond"/>
                <w:color w:val="000000"/>
                <w:sz w:val="20"/>
                <w:szCs w:val="20"/>
              </w:rPr>
              <w:t>4,017</w:t>
            </w:r>
          </w:p>
        </w:tc>
        <w:tc>
          <w:tcPr>
            <w:tcW w:w="1191" w:type="dxa"/>
            <w:shd w:val="clear" w:color="auto" w:fill="auto"/>
            <w:noWrap/>
            <w:vAlign w:val="bottom"/>
            <w:hideMark/>
          </w:tcPr>
          <w:p w:rsidR="00583BD3" w:rsidRPr="003B3AEF" w:rsidRDefault="00583BD3" w:rsidP="000727E8">
            <w:pPr>
              <w:rPr>
                <w:rFonts w:ascii="Garamond" w:hAnsi="Garamond" w:cs="Calibri"/>
                <w:color w:val="000000" w:themeColor="text1"/>
                <w:sz w:val="20"/>
                <w:szCs w:val="20"/>
              </w:rPr>
            </w:pPr>
            <w:r w:rsidRPr="003B3AEF">
              <w:rPr>
                <w:rFonts w:ascii="Garamond" w:hAnsi="Garamond"/>
                <w:color w:val="000000"/>
                <w:sz w:val="20"/>
                <w:szCs w:val="20"/>
              </w:rPr>
              <w:t>4,017</w:t>
            </w:r>
          </w:p>
        </w:tc>
        <w:tc>
          <w:tcPr>
            <w:tcW w:w="1191" w:type="dxa"/>
            <w:shd w:val="clear" w:color="auto" w:fill="auto"/>
            <w:noWrap/>
            <w:vAlign w:val="bottom"/>
            <w:hideMark/>
          </w:tcPr>
          <w:p w:rsidR="00583BD3" w:rsidRPr="003B3AEF" w:rsidRDefault="00583BD3" w:rsidP="000727E8">
            <w:pPr>
              <w:rPr>
                <w:rFonts w:ascii="Garamond" w:hAnsi="Garamond" w:cs="Calibri"/>
                <w:color w:val="000000" w:themeColor="text1"/>
                <w:sz w:val="20"/>
                <w:szCs w:val="20"/>
              </w:rPr>
            </w:pPr>
            <w:r w:rsidRPr="003B3AEF">
              <w:rPr>
                <w:rFonts w:ascii="Garamond" w:hAnsi="Garamond"/>
                <w:color w:val="000000"/>
                <w:sz w:val="20"/>
                <w:szCs w:val="20"/>
              </w:rPr>
              <w:t>4,017</w:t>
            </w:r>
          </w:p>
        </w:tc>
        <w:tc>
          <w:tcPr>
            <w:tcW w:w="1191" w:type="dxa"/>
            <w:shd w:val="clear" w:color="auto" w:fill="auto"/>
            <w:noWrap/>
            <w:vAlign w:val="bottom"/>
            <w:hideMark/>
          </w:tcPr>
          <w:p w:rsidR="00583BD3" w:rsidRPr="003B3AEF" w:rsidRDefault="00583BD3" w:rsidP="000727E8">
            <w:pPr>
              <w:rPr>
                <w:rFonts w:ascii="Garamond" w:hAnsi="Garamond" w:cs="Calibri"/>
                <w:color w:val="000000" w:themeColor="text1"/>
                <w:sz w:val="20"/>
                <w:szCs w:val="20"/>
              </w:rPr>
            </w:pPr>
            <w:r w:rsidRPr="003B3AEF">
              <w:rPr>
                <w:rFonts w:ascii="Garamond" w:hAnsi="Garamond"/>
                <w:color w:val="000000"/>
                <w:sz w:val="20"/>
                <w:szCs w:val="20"/>
              </w:rPr>
              <w:t>4,017</w:t>
            </w:r>
          </w:p>
        </w:tc>
        <w:tc>
          <w:tcPr>
            <w:tcW w:w="1191" w:type="dxa"/>
            <w:shd w:val="clear" w:color="auto" w:fill="auto"/>
            <w:noWrap/>
            <w:vAlign w:val="bottom"/>
            <w:hideMark/>
          </w:tcPr>
          <w:p w:rsidR="00583BD3" w:rsidRPr="003B3AEF" w:rsidRDefault="00583BD3" w:rsidP="000727E8">
            <w:pPr>
              <w:rPr>
                <w:rFonts w:ascii="Garamond" w:hAnsi="Garamond" w:cs="Calibri"/>
                <w:color w:val="000000" w:themeColor="text1"/>
                <w:sz w:val="20"/>
                <w:szCs w:val="20"/>
              </w:rPr>
            </w:pPr>
            <w:r w:rsidRPr="003B3AEF">
              <w:rPr>
                <w:rFonts w:ascii="Garamond" w:hAnsi="Garamond"/>
                <w:color w:val="000000"/>
                <w:sz w:val="20"/>
                <w:szCs w:val="20"/>
              </w:rPr>
              <w:t>4,017</w:t>
            </w:r>
          </w:p>
        </w:tc>
        <w:tc>
          <w:tcPr>
            <w:tcW w:w="1191" w:type="dxa"/>
            <w:shd w:val="clear" w:color="auto" w:fill="auto"/>
            <w:noWrap/>
            <w:vAlign w:val="bottom"/>
            <w:hideMark/>
          </w:tcPr>
          <w:p w:rsidR="00583BD3" w:rsidRPr="003B3AEF" w:rsidRDefault="00583BD3" w:rsidP="000727E8">
            <w:pPr>
              <w:rPr>
                <w:rFonts w:ascii="Garamond" w:hAnsi="Garamond" w:cs="Calibri"/>
                <w:color w:val="000000" w:themeColor="text1"/>
                <w:sz w:val="20"/>
                <w:szCs w:val="20"/>
              </w:rPr>
            </w:pPr>
            <w:r w:rsidRPr="003B3AEF">
              <w:rPr>
                <w:rFonts w:ascii="Garamond" w:hAnsi="Garamond"/>
                <w:color w:val="000000"/>
                <w:sz w:val="20"/>
                <w:szCs w:val="20"/>
              </w:rPr>
              <w:t>4,017</w:t>
            </w:r>
          </w:p>
        </w:tc>
      </w:tr>
      <w:tr w:rsidR="00583BD3" w:rsidRPr="00A10E5D" w:rsidTr="000727E8">
        <w:trPr>
          <w:trHeight w:hRule="exact" w:val="255"/>
        </w:trPr>
        <w:tc>
          <w:tcPr>
            <w:tcW w:w="2438" w:type="dxa"/>
            <w:shd w:val="clear" w:color="auto" w:fill="auto"/>
            <w:noWrap/>
            <w:hideMark/>
          </w:tcPr>
          <w:p w:rsidR="00583BD3" w:rsidRPr="003B3AEF" w:rsidRDefault="00583BD3" w:rsidP="000727E8">
            <w:pPr>
              <w:jc w:val="center"/>
              <w:rPr>
                <w:rFonts w:ascii="Garamond" w:hAnsi="Garamond" w:cs="Calibri"/>
                <w:color w:val="000000" w:themeColor="text1"/>
                <w:sz w:val="20"/>
                <w:szCs w:val="20"/>
              </w:rPr>
            </w:pPr>
            <w:r w:rsidRPr="003B3AEF">
              <w:rPr>
                <w:rFonts w:ascii="Garamond" w:hAnsi="Garamond" w:cs="Calibri"/>
                <w:color w:val="000000" w:themeColor="text1"/>
                <w:sz w:val="20"/>
                <w:szCs w:val="20"/>
              </w:rPr>
              <w:t>No. of Female CFOs</w:t>
            </w:r>
          </w:p>
        </w:tc>
        <w:tc>
          <w:tcPr>
            <w:tcW w:w="1191" w:type="dxa"/>
            <w:shd w:val="clear" w:color="auto" w:fill="auto"/>
            <w:noWrap/>
            <w:hideMark/>
          </w:tcPr>
          <w:p w:rsidR="00583BD3" w:rsidRPr="003B3AEF" w:rsidRDefault="00583BD3" w:rsidP="000727E8">
            <w:pPr>
              <w:rPr>
                <w:rFonts w:ascii="Garamond" w:hAnsi="Garamond" w:cs="Calibri"/>
                <w:color w:val="000000" w:themeColor="text1"/>
                <w:sz w:val="20"/>
                <w:szCs w:val="20"/>
              </w:rPr>
            </w:pPr>
            <w:r>
              <w:rPr>
                <w:rFonts w:ascii="Garamond" w:hAnsi="Garamond" w:cs="Calibri"/>
                <w:color w:val="000000" w:themeColor="text1"/>
                <w:sz w:val="20"/>
                <w:szCs w:val="20"/>
              </w:rPr>
              <w:t>155</w:t>
            </w:r>
          </w:p>
        </w:tc>
        <w:tc>
          <w:tcPr>
            <w:tcW w:w="1191" w:type="dxa"/>
            <w:shd w:val="clear" w:color="auto" w:fill="auto"/>
            <w:noWrap/>
            <w:hideMark/>
          </w:tcPr>
          <w:p w:rsidR="00583BD3" w:rsidRPr="003B3AEF" w:rsidRDefault="00583BD3" w:rsidP="000727E8">
            <w:pPr>
              <w:rPr>
                <w:rFonts w:ascii="Garamond" w:hAnsi="Garamond" w:cs="Calibri"/>
                <w:color w:val="000000" w:themeColor="text1"/>
                <w:sz w:val="20"/>
                <w:szCs w:val="20"/>
              </w:rPr>
            </w:pPr>
            <w:r>
              <w:rPr>
                <w:rFonts w:ascii="Garamond" w:hAnsi="Garamond" w:cs="Calibri"/>
                <w:color w:val="000000" w:themeColor="text1"/>
                <w:sz w:val="20"/>
                <w:szCs w:val="20"/>
              </w:rPr>
              <w:t>155</w:t>
            </w:r>
          </w:p>
        </w:tc>
        <w:tc>
          <w:tcPr>
            <w:tcW w:w="1191" w:type="dxa"/>
            <w:shd w:val="clear" w:color="auto" w:fill="auto"/>
            <w:noWrap/>
            <w:hideMark/>
          </w:tcPr>
          <w:p w:rsidR="00583BD3" w:rsidRPr="003B3AEF" w:rsidRDefault="00583BD3" w:rsidP="000727E8">
            <w:pPr>
              <w:rPr>
                <w:rFonts w:ascii="Garamond" w:hAnsi="Garamond" w:cs="Calibri"/>
                <w:color w:val="000000" w:themeColor="text1"/>
                <w:sz w:val="20"/>
                <w:szCs w:val="20"/>
              </w:rPr>
            </w:pPr>
            <w:r>
              <w:rPr>
                <w:rFonts w:ascii="Garamond" w:hAnsi="Garamond" w:cs="Calibri"/>
                <w:color w:val="000000" w:themeColor="text1"/>
                <w:sz w:val="20"/>
                <w:szCs w:val="20"/>
              </w:rPr>
              <w:t>155</w:t>
            </w:r>
          </w:p>
        </w:tc>
        <w:tc>
          <w:tcPr>
            <w:tcW w:w="1191" w:type="dxa"/>
            <w:shd w:val="clear" w:color="auto" w:fill="auto"/>
            <w:noWrap/>
            <w:hideMark/>
          </w:tcPr>
          <w:p w:rsidR="00583BD3" w:rsidRPr="003B3AEF" w:rsidRDefault="00583BD3" w:rsidP="000727E8">
            <w:pPr>
              <w:rPr>
                <w:rFonts w:ascii="Garamond" w:hAnsi="Garamond" w:cs="Calibri"/>
                <w:color w:val="000000" w:themeColor="text1"/>
                <w:sz w:val="20"/>
                <w:szCs w:val="20"/>
              </w:rPr>
            </w:pPr>
            <w:r>
              <w:rPr>
                <w:rFonts w:ascii="Garamond" w:hAnsi="Garamond" w:cs="Calibri"/>
                <w:color w:val="000000" w:themeColor="text1"/>
                <w:sz w:val="20"/>
                <w:szCs w:val="20"/>
              </w:rPr>
              <w:t>155</w:t>
            </w:r>
          </w:p>
        </w:tc>
        <w:tc>
          <w:tcPr>
            <w:tcW w:w="1191" w:type="dxa"/>
            <w:shd w:val="clear" w:color="auto" w:fill="auto"/>
            <w:noWrap/>
            <w:hideMark/>
          </w:tcPr>
          <w:p w:rsidR="00583BD3" w:rsidRPr="003B3AEF" w:rsidRDefault="00583BD3" w:rsidP="000727E8">
            <w:pPr>
              <w:rPr>
                <w:rFonts w:ascii="Garamond" w:hAnsi="Garamond" w:cs="Calibri"/>
                <w:color w:val="000000" w:themeColor="text1"/>
                <w:sz w:val="20"/>
                <w:szCs w:val="20"/>
              </w:rPr>
            </w:pPr>
            <w:r>
              <w:rPr>
                <w:rFonts w:ascii="Garamond" w:hAnsi="Garamond" w:cs="Calibri"/>
                <w:color w:val="000000" w:themeColor="text1"/>
                <w:sz w:val="20"/>
                <w:szCs w:val="20"/>
              </w:rPr>
              <w:t>155</w:t>
            </w:r>
          </w:p>
        </w:tc>
        <w:tc>
          <w:tcPr>
            <w:tcW w:w="1191" w:type="dxa"/>
            <w:shd w:val="clear" w:color="auto" w:fill="auto"/>
            <w:noWrap/>
            <w:hideMark/>
          </w:tcPr>
          <w:p w:rsidR="00583BD3" w:rsidRPr="003B3AEF" w:rsidRDefault="00583BD3" w:rsidP="000727E8">
            <w:pPr>
              <w:rPr>
                <w:rFonts w:ascii="Garamond" w:hAnsi="Garamond" w:cs="Calibri"/>
                <w:color w:val="000000" w:themeColor="text1"/>
                <w:sz w:val="20"/>
                <w:szCs w:val="20"/>
              </w:rPr>
            </w:pPr>
            <w:r>
              <w:rPr>
                <w:rFonts w:ascii="Garamond" w:hAnsi="Garamond" w:cs="Calibri"/>
                <w:color w:val="000000" w:themeColor="text1"/>
                <w:sz w:val="20"/>
                <w:szCs w:val="20"/>
              </w:rPr>
              <w:t>155</w:t>
            </w:r>
          </w:p>
        </w:tc>
      </w:tr>
      <w:tr w:rsidR="00583BD3" w:rsidRPr="00A10E5D" w:rsidTr="000727E8">
        <w:trPr>
          <w:trHeight w:hRule="exact" w:val="255"/>
        </w:trPr>
        <w:tc>
          <w:tcPr>
            <w:tcW w:w="2438" w:type="dxa"/>
            <w:shd w:val="clear" w:color="auto" w:fill="auto"/>
            <w:noWrap/>
            <w:hideMark/>
          </w:tcPr>
          <w:p w:rsidR="00583BD3" w:rsidRPr="003B3AEF" w:rsidRDefault="00583BD3" w:rsidP="000727E8">
            <w:pPr>
              <w:jc w:val="center"/>
              <w:rPr>
                <w:rFonts w:ascii="Garamond" w:hAnsi="Garamond" w:cs="Calibri"/>
                <w:color w:val="000000" w:themeColor="text1"/>
                <w:sz w:val="20"/>
                <w:szCs w:val="20"/>
              </w:rPr>
            </w:pPr>
            <w:r>
              <w:rPr>
                <w:rFonts w:ascii="Garamond" w:hAnsi="Garamond" w:cs="Calibri"/>
                <w:color w:val="000000" w:themeColor="text1"/>
                <w:sz w:val="20"/>
                <w:szCs w:val="20"/>
              </w:rPr>
              <w:t>Average Leverage</w:t>
            </w:r>
          </w:p>
        </w:tc>
        <w:tc>
          <w:tcPr>
            <w:tcW w:w="1191" w:type="dxa"/>
            <w:shd w:val="clear" w:color="auto" w:fill="auto"/>
            <w:noWrap/>
            <w:vAlign w:val="center"/>
            <w:hideMark/>
          </w:tcPr>
          <w:p w:rsidR="00583BD3" w:rsidRPr="00A10E5D" w:rsidRDefault="00583BD3" w:rsidP="000727E8">
            <w:pPr>
              <w:rPr>
                <w:rFonts w:ascii="Garamond" w:hAnsi="Garamond" w:cs="Calibri"/>
                <w:color w:val="000000" w:themeColor="text1"/>
                <w:sz w:val="20"/>
                <w:szCs w:val="20"/>
              </w:rPr>
            </w:pPr>
            <w:r w:rsidRPr="00A10E5D">
              <w:rPr>
                <w:rFonts w:ascii="Garamond" w:hAnsi="Garamond" w:cs="Calibri" w:hint="eastAsia"/>
                <w:color w:val="000000" w:themeColor="text1"/>
                <w:sz w:val="20"/>
                <w:szCs w:val="20"/>
              </w:rPr>
              <w:t>0.2712</w:t>
            </w:r>
          </w:p>
        </w:tc>
        <w:tc>
          <w:tcPr>
            <w:tcW w:w="1191" w:type="dxa"/>
            <w:shd w:val="clear" w:color="auto" w:fill="auto"/>
            <w:noWrap/>
            <w:vAlign w:val="center"/>
            <w:hideMark/>
          </w:tcPr>
          <w:p w:rsidR="00583BD3" w:rsidRPr="00A10E5D" w:rsidRDefault="00583BD3" w:rsidP="000727E8">
            <w:pPr>
              <w:rPr>
                <w:rFonts w:ascii="Garamond" w:hAnsi="Garamond" w:cs="Calibri"/>
                <w:color w:val="000000" w:themeColor="text1"/>
                <w:sz w:val="20"/>
                <w:szCs w:val="20"/>
              </w:rPr>
            </w:pPr>
            <w:r w:rsidRPr="00A10E5D">
              <w:rPr>
                <w:rFonts w:ascii="Garamond" w:hAnsi="Garamond" w:cs="Calibri" w:hint="eastAsia"/>
                <w:color w:val="000000" w:themeColor="text1"/>
                <w:sz w:val="20"/>
                <w:szCs w:val="20"/>
              </w:rPr>
              <w:t>0.2712</w:t>
            </w:r>
          </w:p>
        </w:tc>
        <w:tc>
          <w:tcPr>
            <w:tcW w:w="1191" w:type="dxa"/>
            <w:shd w:val="clear" w:color="auto" w:fill="auto"/>
            <w:noWrap/>
            <w:vAlign w:val="center"/>
            <w:hideMark/>
          </w:tcPr>
          <w:p w:rsidR="00583BD3" w:rsidRPr="00A10E5D" w:rsidRDefault="00583BD3" w:rsidP="000727E8">
            <w:pPr>
              <w:rPr>
                <w:rFonts w:ascii="Garamond" w:hAnsi="Garamond" w:cs="Calibri"/>
                <w:color w:val="000000" w:themeColor="text1"/>
                <w:sz w:val="20"/>
                <w:szCs w:val="20"/>
              </w:rPr>
            </w:pPr>
            <w:r w:rsidRPr="00A10E5D">
              <w:rPr>
                <w:rFonts w:ascii="Garamond" w:hAnsi="Garamond" w:cs="Calibri" w:hint="eastAsia"/>
                <w:color w:val="000000" w:themeColor="text1"/>
                <w:sz w:val="20"/>
                <w:szCs w:val="20"/>
              </w:rPr>
              <w:t>0.2712</w:t>
            </w:r>
          </w:p>
        </w:tc>
        <w:tc>
          <w:tcPr>
            <w:tcW w:w="1191" w:type="dxa"/>
            <w:shd w:val="clear" w:color="auto" w:fill="auto"/>
            <w:noWrap/>
            <w:vAlign w:val="center"/>
            <w:hideMark/>
          </w:tcPr>
          <w:p w:rsidR="00583BD3" w:rsidRPr="00A10E5D" w:rsidRDefault="00583BD3" w:rsidP="000727E8">
            <w:pPr>
              <w:rPr>
                <w:rFonts w:ascii="Garamond" w:hAnsi="Garamond" w:cs="Calibri"/>
                <w:color w:val="000000" w:themeColor="text1"/>
                <w:sz w:val="20"/>
                <w:szCs w:val="20"/>
              </w:rPr>
            </w:pPr>
            <w:r w:rsidRPr="00A10E5D">
              <w:rPr>
                <w:rFonts w:ascii="Garamond" w:hAnsi="Garamond" w:cs="Calibri" w:hint="eastAsia"/>
                <w:color w:val="000000" w:themeColor="text1"/>
                <w:sz w:val="20"/>
                <w:szCs w:val="20"/>
              </w:rPr>
              <w:t>0.2712</w:t>
            </w:r>
          </w:p>
        </w:tc>
        <w:tc>
          <w:tcPr>
            <w:tcW w:w="1191" w:type="dxa"/>
            <w:shd w:val="clear" w:color="auto" w:fill="auto"/>
            <w:noWrap/>
            <w:vAlign w:val="center"/>
            <w:hideMark/>
          </w:tcPr>
          <w:p w:rsidR="00583BD3" w:rsidRPr="00A10E5D" w:rsidRDefault="00583BD3" w:rsidP="000727E8">
            <w:pPr>
              <w:rPr>
                <w:rFonts w:ascii="Garamond" w:hAnsi="Garamond" w:cs="Calibri"/>
                <w:color w:val="000000" w:themeColor="text1"/>
                <w:sz w:val="20"/>
                <w:szCs w:val="20"/>
              </w:rPr>
            </w:pPr>
            <w:r w:rsidRPr="00A10E5D">
              <w:rPr>
                <w:rFonts w:ascii="Garamond" w:hAnsi="Garamond" w:cs="Calibri" w:hint="eastAsia"/>
                <w:color w:val="000000" w:themeColor="text1"/>
                <w:sz w:val="20"/>
                <w:szCs w:val="20"/>
              </w:rPr>
              <w:t>0.2712</w:t>
            </w:r>
          </w:p>
        </w:tc>
        <w:tc>
          <w:tcPr>
            <w:tcW w:w="1191" w:type="dxa"/>
            <w:shd w:val="clear" w:color="auto" w:fill="auto"/>
            <w:noWrap/>
            <w:vAlign w:val="center"/>
            <w:hideMark/>
          </w:tcPr>
          <w:p w:rsidR="00583BD3" w:rsidRPr="00A10E5D" w:rsidRDefault="00583BD3" w:rsidP="000727E8">
            <w:pPr>
              <w:rPr>
                <w:rFonts w:ascii="Garamond" w:hAnsi="Garamond" w:cs="Calibri"/>
                <w:color w:val="000000" w:themeColor="text1"/>
                <w:sz w:val="20"/>
                <w:szCs w:val="20"/>
              </w:rPr>
            </w:pPr>
            <w:r w:rsidRPr="00A10E5D">
              <w:rPr>
                <w:rFonts w:ascii="Garamond" w:hAnsi="Garamond" w:cs="Calibri" w:hint="eastAsia"/>
                <w:color w:val="000000" w:themeColor="text1"/>
                <w:sz w:val="20"/>
                <w:szCs w:val="20"/>
              </w:rPr>
              <w:t>0.2712</w:t>
            </w:r>
          </w:p>
        </w:tc>
      </w:tr>
      <w:tr w:rsidR="00583BD3" w:rsidRPr="00BA1FEC" w:rsidTr="000727E8">
        <w:trPr>
          <w:trHeight w:hRule="exact" w:val="255"/>
        </w:trPr>
        <w:tc>
          <w:tcPr>
            <w:tcW w:w="2438" w:type="dxa"/>
            <w:tcBorders>
              <w:top w:val="single" w:sz="4" w:space="0" w:color="auto"/>
              <w:bottom w:val="single" w:sz="4" w:space="0" w:color="auto"/>
            </w:tcBorders>
            <w:shd w:val="clear" w:color="auto" w:fill="auto"/>
            <w:noWrap/>
            <w:hideMark/>
          </w:tcPr>
          <w:p w:rsidR="00583BD3" w:rsidRPr="00EB22DD" w:rsidRDefault="00583BD3" w:rsidP="000727E8">
            <w:pPr>
              <w:rPr>
                <w:rFonts w:ascii="Garamond" w:hAnsi="Garamond"/>
                <w:b/>
                <w:bCs/>
                <w:color w:val="000000" w:themeColor="text1"/>
                <w:sz w:val="20"/>
                <w:szCs w:val="20"/>
              </w:rPr>
            </w:pPr>
            <w:r w:rsidRPr="00EB22DD">
              <w:rPr>
                <w:rFonts w:ascii="Garamond" w:hAnsi="Garamond"/>
                <w:b/>
                <w:bCs/>
                <w:color w:val="000000" w:themeColor="text1"/>
                <w:sz w:val="20"/>
                <w:szCs w:val="20"/>
              </w:rPr>
              <w:t>Panel B: 2012-2017</w:t>
            </w:r>
          </w:p>
        </w:tc>
        <w:tc>
          <w:tcPr>
            <w:tcW w:w="1191" w:type="dxa"/>
            <w:tcBorders>
              <w:top w:val="single" w:sz="4" w:space="0" w:color="auto"/>
              <w:bottom w:val="single" w:sz="4" w:space="0" w:color="auto"/>
            </w:tcBorders>
            <w:shd w:val="clear" w:color="auto" w:fill="auto"/>
            <w:noWrap/>
            <w:hideMark/>
          </w:tcPr>
          <w:p w:rsidR="00583BD3" w:rsidRPr="00823055" w:rsidRDefault="00583BD3" w:rsidP="000727E8">
            <w:pPr>
              <w:jc w:val="center"/>
              <w:rPr>
                <w:rFonts w:ascii="Garamond" w:hAnsi="Garamond" w:cs="Calibri"/>
                <w:bCs/>
                <w:color w:val="000000" w:themeColor="text1"/>
                <w:sz w:val="20"/>
                <w:szCs w:val="20"/>
              </w:rPr>
            </w:pPr>
            <w:r w:rsidRPr="00823055">
              <w:rPr>
                <w:rFonts w:ascii="Garamond" w:hAnsi="Garamond" w:cs="Calibri"/>
                <w:bCs/>
                <w:color w:val="000000" w:themeColor="text1"/>
                <w:sz w:val="20"/>
                <w:szCs w:val="20"/>
              </w:rPr>
              <w:t>(1)</w:t>
            </w:r>
          </w:p>
        </w:tc>
        <w:tc>
          <w:tcPr>
            <w:tcW w:w="1191" w:type="dxa"/>
            <w:tcBorders>
              <w:top w:val="single" w:sz="4" w:space="0" w:color="auto"/>
              <w:bottom w:val="single" w:sz="4" w:space="0" w:color="auto"/>
            </w:tcBorders>
            <w:shd w:val="clear" w:color="auto" w:fill="auto"/>
            <w:noWrap/>
            <w:hideMark/>
          </w:tcPr>
          <w:p w:rsidR="00583BD3" w:rsidRPr="00823055" w:rsidRDefault="00583BD3" w:rsidP="000727E8">
            <w:pPr>
              <w:jc w:val="center"/>
              <w:rPr>
                <w:rFonts w:ascii="Garamond" w:hAnsi="Garamond" w:cs="Calibri"/>
                <w:bCs/>
                <w:color w:val="000000" w:themeColor="text1"/>
                <w:sz w:val="20"/>
                <w:szCs w:val="20"/>
              </w:rPr>
            </w:pPr>
            <w:r w:rsidRPr="00823055">
              <w:rPr>
                <w:rFonts w:ascii="Garamond" w:hAnsi="Garamond" w:cs="Calibri"/>
                <w:bCs/>
                <w:color w:val="000000" w:themeColor="text1"/>
                <w:sz w:val="20"/>
                <w:szCs w:val="20"/>
              </w:rPr>
              <w:t>(2)</w:t>
            </w:r>
          </w:p>
        </w:tc>
        <w:tc>
          <w:tcPr>
            <w:tcW w:w="1191" w:type="dxa"/>
            <w:tcBorders>
              <w:top w:val="single" w:sz="4" w:space="0" w:color="auto"/>
              <w:bottom w:val="single" w:sz="4" w:space="0" w:color="auto"/>
            </w:tcBorders>
            <w:shd w:val="clear" w:color="auto" w:fill="auto"/>
            <w:noWrap/>
            <w:hideMark/>
          </w:tcPr>
          <w:p w:rsidR="00583BD3" w:rsidRPr="00823055" w:rsidRDefault="00583BD3" w:rsidP="000727E8">
            <w:pPr>
              <w:jc w:val="center"/>
              <w:rPr>
                <w:rFonts w:ascii="Garamond" w:hAnsi="Garamond" w:cs="Calibri"/>
                <w:bCs/>
                <w:color w:val="000000" w:themeColor="text1"/>
                <w:sz w:val="20"/>
                <w:szCs w:val="20"/>
              </w:rPr>
            </w:pPr>
            <w:r w:rsidRPr="00823055">
              <w:rPr>
                <w:rFonts w:ascii="Garamond" w:hAnsi="Garamond" w:cs="Calibri"/>
                <w:bCs/>
                <w:color w:val="000000" w:themeColor="text1"/>
                <w:sz w:val="20"/>
                <w:szCs w:val="20"/>
              </w:rPr>
              <w:t>(3)</w:t>
            </w:r>
          </w:p>
        </w:tc>
        <w:tc>
          <w:tcPr>
            <w:tcW w:w="1191" w:type="dxa"/>
            <w:tcBorders>
              <w:top w:val="single" w:sz="4" w:space="0" w:color="auto"/>
              <w:bottom w:val="single" w:sz="4" w:space="0" w:color="auto"/>
            </w:tcBorders>
            <w:shd w:val="clear" w:color="auto" w:fill="auto"/>
            <w:noWrap/>
            <w:hideMark/>
          </w:tcPr>
          <w:p w:rsidR="00583BD3" w:rsidRPr="00823055" w:rsidRDefault="00583BD3" w:rsidP="000727E8">
            <w:pPr>
              <w:jc w:val="center"/>
              <w:rPr>
                <w:rFonts w:ascii="Garamond" w:hAnsi="Garamond" w:cs="Calibri"/>
                <w:bCs/>
                <w:color w:val="000000" w:themeColor="text1"/>
                <w:sz w:val="20"/>
                <w:szCs w:val="20"/>
              </w:rPr>
            </w:pPr>
            <w:r w:rsidRPr="00823055">
              <w:rPr>
                <w:rFonts w:ascii="Garamond" w:hAnsi="Garamond" w:cs="Calibri"/>
                <w:bCs/>
                <w:color w:val="000000" w:themeColor="text1"/>
                <w:sz w:val="20"/>
                <w:szCs w:val="20"/>
              </w:rPr>
              <w:t>(4)</w:t>
            </w:r>
          </w:p>
        </w:tc>
        <w:tc>
          <w:tcPr>
            <w:tcW w:w="1191" w:type="dxa"/>
            <w:tcBorders>
              <w:top w:val="single" w:sz="4" w:space="0" w:color="auto"/>
              <w:bottom w:val="single" w:sz="4" w:space="0" w:color="auto"/>
            </w:tcBorders>
            <w:shd w:val="clear" w:color="auto" w:fill="auto"/>
            <w:noWrap/>
            <w:hideMark/>
          </w:tcPr>
          <w:p w:rsidR="00583BD3" w:rsidRPr="00823055" w:rsidRDefault="00583BD3" w:rsidP="000727E8">
            <w:pPr>
              <w:jc w:val="center"/>
              <w:rPr>
                <w:rFonts w:ascii="Garamond" w:hAnsi="Garamond" w:cs="Calibri"/>
                <w:bCs/>
                <w:color w:val="000000" w:themeColor="text1"/>
                <w:sz w:val="20"/>
                <w:szCs w:val="20"/>
              </w:rPr>
            </w:pPr>
            <w:r w:rsidRPr="00823055">
              <w:rPr>
                <w:rFonts w:ascii="Garamond" w:hAnsi="Garamond" w:cs="Calibri"/>
                <w:bCs/>
                <w:color w:val="000000" w:themeColor="text1"/>
                <w:sz w:val="20"/>
                <w:szCs w:val="20"/>
              </w:rPr>
              <w:t>(5)</w:t>
            </w:r>
          </w:p>
        </w:tc>
        <w:tc>
          <w:tcPr>
            <w:tcW w:w="1191" w:type="dxa"/>
            <w:tcBorders>
              <w:top w:val="single" w:sz="4" w:space="0" w:color="auto"/>
              <w:bottom w:val="single" w:sz="4" w:space="0" w:color="auto"/>
            </w:tcBorders>
            <w:shd w:val="clear" w:color="auto" w:fill="auto"/>
            <w:noWrap/>
            <w:hideMark/>
          </w:tcPr>
          <w:p w:rsidR="00583BD3" w:rsidRPr="00823055" w:rsidRDefault="00583BD3" w:rsidP="000727E8">
            <w:pPr>
              <w:jc w:val="center"/>
              <w:rPr>
                <w:rFonts w:ascii="Garamond" w:hAnsi="Garamond" w:cs="Calibri"/>
                <w:bCs/>
                <w:color w:val="000000" w:themeColor="text1"/>
                <w:sz w:val="20"/>
                <w:szCs w:val="20"/>
              </w:rPr>
            </w:pPr>
            <w:r w:rsidRPr="00823055">
              <w:rPr>
                <w:rFonts w:ascii="Garamond" w:hAnsi="Garamond" w:cs="Calibri"/>
                <w:bCs/>
                <w:color w:val="000000" w:themeColor="text1"/>
                <w:sz w:val="20"/>
                <w:szCs w:val="20"/>
              </w:rPr>
              <w:t>(6)</w:t>
            </w:r>
          </w:p>
        </w:tc>
      </w:tr>
      <w:tr w:rsidR="00583BD3" w:rsidRPr="00BA1FEC" w:rsidTr="000727E8">
        <w:trPr>
          <w:trHeight w:hRule="exact" w:val="255"/>
        </w:trPr>
        <w:tc>
          <w:tcPr>
            <w:tcW w:w="2438" w:type="dxa"/>
            <w:tcBorders>
              <w:top w:val="single" w:sz="4" w:space="0" w:color="auto"/>
            </w:tcBorders>
            <w:shd w:val="clear" w:color="auto" w:fill="auto"/>
            <w:noWrap/>
            <w:hideMark/>
          </w:tcPr>
          <w:p w:rsidR="00583BD3" w:rsidRPr="0062470B" w:rsidRDefault="00583BD3" w:rsidP="000727E8">
            <w:pPr>
              <w:jc w:val="center"/>
              <w:rPr>
                <w:rFonts w:ascii="Garamond" w:hAnsi="Garamond" w:cs="Calibri"/>
                <w:color w:val="FF0000"/>
                <w:sz w:val="18"/>
                <w:szCs w:val="18"/>
                <w:vertAlign w:val="subscript"/>
              </w:rPr>
            </w:pPr>
            <w:r w:rsidRPr="00D14B9E">
              <w:rPr>
                <w:rFonts w:ascii="Garamond" w:hAnsi="Garamond" w:cs="Calibri"/>
                <w:color w:val="000000"/>
                <w:sz w:val="18"/>
                <w:szCs w:val="18"/>
              </w:rPr>
              <w:t>CFO Female Dummy</w:t>
            </w:r>
            <w:r w:rsidRPr="0062470B">
              <w:rPr>
                <w:rFonts w:ascii="Garamond" w:hAnsi="Garamond" w:cs="Calibri"/>
                <w:color w:val="000000"/>
                <w:sz w:val="18"/>
                <w:szCs w:val="18"/>
                <w:vertAlign w:val="subscript"/>
              </w:rPr>
              <w:t>t-1</w:t>
            </w:r>
          </w:p>
        </w:tc>
        <w:tc>
          <w:tcPr>
            <w:tcW w:w="1191" w:type="dxa"/>
            <w:tcBorders>
              <w:top w:val="single" w:sz="4" w:space="0" w:color="auto"/>
            </w:tcBorders>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r w:rsidRPr="00F473F9">
              <w:rPr>
                <w:rFonts w:ascii="Garamond" w:hAnsi="Garamond" w:cs="Calibri" w:hint="eastAsia"/>
                <w:color w:val="000000" w:themeColor="text1"/>
                <w:sz w:val="20"/>
                <w:szCs w:val="20"/>
              </w:rPr>
              <w:t>-0.0516**</w:t>
            </w:r>
          </w:p>
        </w:tc>
        <w:tc>
          <w:tcPr>
            <w:tcW w:w="1191" w:type="dxa"/>
            <w:tcBorders>
              <w:top w:val="single" w:sz="4" w:space="0" w:color="auto"/>
            </w:tcBorders>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r w:rsidRPr="00F473F9">
              <w:rPr>
                <w:rFonts w:ascii="Garamond" w:hAnsi="Garamond" w:cs="Calibri" w:hint="eastAsia"/>
                <w:color w:val="000000" w:themeColor="text1"/>
                <w:sz w:val="20"/>
                <w:szCs w:val="20"/>
              </w:rPr>
              <w:t>-0.0519**</w:t>
            </w:r>
          </w:p>
        </w:tc>
        <w:tc>
          <w:tcPr>
            <w:tcW w:w="1191" w:type="dxa"/>
            <w:tcBorders>
              <w:top w:val="single" w:sz="4" w:space="0" w:color="auto"/>
            </w:tcBorders>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r w:rsidRPr="00F473F9">
              <w:rPr>
                <w:rFonts w:ascii="Garamond" w:hAnsi="Garamond" w:cs="Calibri" w:hint="eastAsia"/>
                <w:color w:val="000000" w:themeColor="text1"/>
                <w:sz w:val="20"/>
                <w:szCs w:val="20"/>
              </w:rPr>
              <w:t>-0.0515**</w:t>
            </w:r>
          </w:p>
        </w:tc>
        <w:tc>
          <w:tcPr>
            <w:tcW w:w="1191" w:type="dxa"/>
            <w:tcBorders>
              <w:top w:val="single" w:sz="4" w:space="0" w:color="auto"/>
            </w:tcBorders>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r w:rsidRPr="00F473F9">
              <w:rPr>
                <w:rFonts w:ascii="Garamond" w:hAnsi="Garamond" w:cs="Calibri" w:hint="eastAsia"/>
                <w:color w:val="000000" w:themeColor="text1"/>
                <w:sz w:val="20"/>
                <w:szCs w:val="20"/>
              </w:rPr>
              <w:t>-0.0507**</w:t>
            </w:r>
          </w:p>
        </w:tc>
        <w:tc>
          <w:tcPr>
            <w:tcW w:w="1191" w:type="dxa"/>
            <w:tcBorders>
              <w:top w:val="single" w:sz="4" w:space="0" w:color="auto"/>
            </w:tcBorders>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r w:rsidRPr="00F473F9">
              <w:rPr>
                <w:rFonts w:ascii="Garamond" w:hAnsi="Garamond" w:cs="Calibri" w:hint="eastAsia"/>
                <w:color w:val="000000" w:themeColor="text1"/>
                <w:sz w:val="20"/>
                <w:szCs w:val="20"/>
              </w:rPr>
              <w:t>-0.0509**</w:t>
            </w:r>
          </w:p>
        </w:tc>
        <w:tc>
          <w:tcPr>
            <w:tcW w:w="1191" w:type="dxa"/>
            <w:tcBorders>
              <w:top w:val="single" w:sz="4" w:space="0" w:color="auto"/>
            </w:tcBorders>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r w:rsidRPr="00F473F9">
              <w:rPr>
                <w:rFonts w:ascii="Garamond" w:hAnsi="Garamond" w:cs="Calibri" w:hint="eastAsia"/>
                <w:color w:val="000000" w:themeColor="text1"/>
                <w:sz w:val="20"/>
                <w:szCs w:val="20"/>
              </w:rPr>
              <w:t>-0.0542**</w:t>
            </w:r>
          </w:p>
        </w:tc>
      </w:tr>
      <w:tr w:rsidR="00583BD3" w:rsidRPr="00BA1FEC" w:rsidTr="000727E8">
        <w:trPr>
          <w:trHeight w:hRule="exact" w:val="255"/>
        </w:trPr>
        <w:tc>
          <w:tcPr>
            <w:tcW w:w="2438" w:type="dxa"/>
            <w:shd w:val="clear" w:color="auto" w:fill="auto"/>
            <w:noWrap/>
            <w:hideMark/>
          </w:tcPr>
          <w:p w:rsidR="00583BD3" w:rsidRPr="00D14B9E" w:rsidRDefault="00583BD3" w:rsidP="000727E8">
            <w:pPr>
              <w:jc w:val="center"/>
              <w:rPr>
                <w:rFonts w:ascii="Garamond" w:hAnsi="Garamond" w:cs="Calibri"/>
                <w:color w:val="000000"/>
                <w:sz w:val="18"/>
                <w:szCs w:val="18"/>
              </w:rPr>
            </w:pP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r w:rsidRPr="00F473F9">
              <w:rPr>
                <w:rFonts w:ascii="Garamond" w:hAnsi="Garamond" w:cs="Calibri" w:hint="eastAsia"/>
                <w:color w:val="000000" w:themeColor="text1"/>
                <w:sz w:val="20"/>
                <w:szCs w:val="20"/>
              </w:rPr>
              <w:t>(-2.22)</w:t>
            </w: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r w:rsidRPr="00F473F9">
              <w:rPr>
                <w:rFonts w:ascii="Garamond" w:hAnsi="Garamond" w:cs="Calibri" w:hint="eastAsia"/>
                <w:color w:val="000000" w:themeColor="text1"/>
                <w:sz w:val="20"/>
                <w:szCs w:val="20"/>
              </w:rPr>
              <w:t>(-2.23)</w:t>
            </w: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r w:rsidRPr="00F473F9">
              <w:rPr>
                <w:rFonts w:ascii="Garamond" w:hAnsi="Garamond" w:cs="Calibri" w:hint="eastAsia"/>
                <w:color w:val="000000" w:themeColor="text1"/>
                <w:sz w:val="20"/>
                <w:szCs w:val="20"/>
              </w:rPr>
              <w:t>(-2.21)</w:t>
            </w: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r w:rsidRPr="00F473F9">
              <w:rPr>
                <w:rFonts w:ascii="Garamond" w:hAnsi="Garamond" w:cs="Calibri" w:hint="eastAsia"/>
                <w:color w:val="000000" w:themeColor="text1"/>
                <w:sz w:val="20"/>
                <w:szCs w:val="20"/>
              </w:rPr>
              <w:t>(-2.19)</w:t>
            </w: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r w:rsidRPr="00F473F9">
              <w:rPr>
                <w:rFonts w:ascii="Garamond" w:hAnsi="Garamond" w:cs="Calibri" w:hint="eastAsia"/>
                <w:color w:val="000000" w:themeColor="text1"/>
                <w:sz w:val="20"/>
                <w:szCs w:val="20"/>
              </w:rPr>
              <w:t>(-2.18)</w:t>
            </w: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r w:rsidRPr="00F473F9">
              <w:rPr>
                <w:rFonts w:ascii="Garamond" w:hAnsi="Garamond" w:cs="Calibri" w:hint="eastAsia"/>
                <w:color w:val="000000" w:themeColor="text1"/>
                <w:sz w:val="20"/>
                <w:szCs w:val="20"/>
              </w:rPr>
              <w:t>(-2.30)</w:t>
            </w:r>
          </w:p>
        </w:tc>
      </w:tr>
      <w:tr w:rsidR="00583BD3" w:rsidRPr="00BA1FEC" w:rsidTr="000727E8">
        <w:trPr>
          <w:trHeight w:hRule="exact" w:val="255"/>
        </w:trPr>
        <w:tc>
          <w:tcPr>
            <w:tcW w:w="2438" w:type="dxa"/>
            <w:shd w:val="clear" w:color="auto" w:fill="auto"/>
            <w:noWrap/>
            <w:hideMark/>
          </w:tcPr>
          <w:p w:rsidR="00583BD3" w:rsidRPr="00905DE4" w:rsidRDefault="00583BD3" w:rsidP="000727E8">
            <w:pPr>
              <w:jc w:val="center"/>
              <w:rPr>
                <w:rFonts w:ascii="Garamond" w:hAnsi="Garamond" w:cs="Calibri"/>
                <w:color w:val="000000" w:themeColor="text1"/>
                <w:sz w:val="20"/>
                <w:szCs w:val="20"/>
              </w:rPr>
            </w:pPr>
            <w:r>
              <w:rPr>
                <w:rFonts w:ascii="Garamond" w:hAnsi="Garamond" w:cs="Calibri"/>
                <w:color w:val="000000" w:themeColor="text1"/>
                <w:sz w:val="20"/>
                <w:szCs w:val="20"/>
              </w:rPr>
              <w:t>Board Gender Diversity</w:t>
            </w:r>
            <w:r>
              <w:rPr>
                <w:rFonts w:ascii="Garamond" w:hAnsi="Garamond" w:cs="Calibri"/>
                <w:color w:val="000000"/>
                <w:sz w:val="18"/>
                <w:szCs w:val="18"/>
                <w:vertAlign w:val="subscript"/>
              </w:rPr>
              <w:t>t-1</w:t>
            </w: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r w:rsidRPr="00F473F9">
              <w:rPr>
                <w:rFonts w:ascii="Garamond" w:hAnsi="Garamond" w:cs="Calibri" w:hint="eastAsia"/>
                <w:color w:val="000000" w:themeColor="text1"/>
                <w:sz w:val="20"/>
                <w:szCs w:val="20"/>
              </w:rPr>
              <w:t>-0.0140</w:t>
            </w: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r w:rsidRPr="00F473F9">
              <w:rPr>
                <w:rFonts w:ascii="Garamond" w:hAnsi="Garamond" w:cs="Calibri" w:hint="eastAsia"/>
                <w:color w:val="000000" w:themeColor="text1"/>
                <w:sz w:val="20"/>
                <w:szCs w:val="20"/>
              </w:rPr>
              <w:t>-0.00949</w:t>
            </w: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p>
        </w:tc>
      </w:tr>
      <w:tr w:rsidR="00583BD3" w:rsidRPr="00BA1FEC" w:rsidTr="000727E8">
        <w:trPr>
          <w:trHeight w:hRule="exact" w:val="255"/>
        </w:trPr>
        <w:tc>
          <w:tcPr>
            <w:tcW w:w="2438" w:type="dxa"/>
            <w:shd w:val="clear" w:color="auto" w:fill="auto"/>
            <w:noWrap/>
            <w:hideMark/>
          </w:tcPr>
          <w:p w:rsidR="00583BD3" w:rsidRPr="00905DE4" w:rsidRDefault="00583BD3" w:rsidP="000727E8">
            <w:pPr>
              <w:jc w:val="center"/>
              <w:rPr>
                <w:rFonts w:ascii="Garamond" w:hAnsi="Garamond" w:cs="Calibri"/>
                <w:color w:val="000000" w:themeColor="text1"/>
                <w:sz w:val="20"/>
                <w:szCs w:val="20"/>
              </w:rPr>
            </w:pP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r w:rsidRPr="00F473F9">
              <w:rPr>
                <w:rFonts w:ascii="Garamond" w:hAnsi="Garamond" w:cs="Calibri" w:hint="eastAsia"/>
                <w:color w:val="000000" w:themeColor="text1"/>
                <w:sz w:val="20"/>
                <w:szCs w:val="20"/>
              </w:rPr>
              <w:t>(-0.23)</w:t>
            </w: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r w:rsidRPr="00F473F9">
              <w:rPr>
                <w:rFonts w:ascii="Garamond" w:hAnsi="Garamond" w:cs="Calibri" w:hint="eastAsia"/>
                <w:color w:val="000000" w:themeColor="text1"/>
                <w:sz w:val="20"/>
                <w:szCs w:val="20"/>
              </w:rPr>
              <w:t>(-0.16)</w:t>
            </w: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p>
        </w:tc>
      </w:tr>
      <w:tr w:rsidR="00583BD3" w:rsidRPr="00BA1FEC" w:rsidTr="000727E8">
        <w:trPr>
          <w:trHeight w:hRule="exact" w:val="255"/>
        </w:trPr>
        <w:tc>
          <w:tcPr>
            <w:tcW w:w="2438" w:type="dxa"/>
            <w:shd w:val="clear" w:color="auto" w:fill="auto"/>
            <w:noWrap/>
            <w:hideMark/>
          </w:tcPr>
          <w:p w:rsidR="00583BD3" w:rsidRPr="00905DE4" w:rsidRDefault="00583BD3" w:rsidP="000727E8">
            <w:pPr>
              <w:jc w:val="center"/>
              <w:rPr>
                <w:rFonts w:ascii="Garamond" w:hAnsi="Garamond" w:cs="Calibri"/>
                <w:color w:val="000000" w:themeColor="text1"/>
                <w:sz w:val="20"/>
                <w:szCs w:val="20"/>
              </w:rPr>
            </w:pPr>
            <w:r>
              <w:rPr>
                <w:rFonts w:ascii="Garamond" w:hAnsi="Garamond" w:cs="Calibri"/>
                <w:color w:val="000000" w:themeColor="text1"/>
                <w:sz w:val="20"/>
                <w:szCs w:val="20"/>
              </w:rPr>
              <w:t>Board Nationality</w:t>
            </w:r>
            <w:r>
              <w:rPr>
                <w:rFonts w:ascii="Garamond" w:hAnsi="Garamond" w:cs="Calibri"/>
                <w:color w:val="000000"/>
                <w:sz w:val="18"/>
                <w:szCs w:val="18"/>
                <w:vertAlign w:val="subscript"/>
              </w:rPr>
              <w:t>t-1</w:t>
            </w:r>
            <w:r>
              <w:rPr>
                <w:rFonts w:ascii="Garamond" w:hAnsi="Garamond" w:cs="Calibri"/>
                <w:color w:val="000000" w:themeColor="text1"/>
                <w:sz w:val="20"/>
                <w:szCs w:val="20"/>
              </w:rPr>
              <w:t xml:space="preserve"> Diversity</w:t>
            </w:r>
            <w:r>
              <w:rPr>
                <w:rFonts w:ascii="Garamond" w:hAnsi="Garamond" w:cs="Calibri"/>
                <w:color w:val="000000"/>
                <w:sz w:val="18"/>
                <w:szCs w:val="18"/>
                <w:vertAlign w:val="subscript"/>
              </w:rPr>
              <w:t>t-1</w:t>
            </w: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r w:rsidRPr="00F473F9">
              <w:rPr>
                <w:rFonts w:ascii="Garamond" w:hAnsi="Garamond" w:cs="Calibri" w:hint="eastAsia"/>
                <w:color w:val="000000" w:themeColor="text1"/>
                <w:sz w:val="20"/>
                <w:szCs w:val="20"/>
              </w:rPr>
              <w:t>0.0199</w:t>
            </w: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r w:rsidRPr="00F473F9">
              <w:rPr>
                <w:rFonts w:ascii="Garamond" w:hAnsi="Garamond" w:cs="Calibri" w:hint="eastAsia"/>
                <w:color w:val="000000" w:themeColor="text1"/>
                <w:sz w:val="20"/>
                <w:szCs w:val="20"/>
              </w:rPr>
              <w:t>0.0191</w:t>
            </w: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p>
        </w:tc>
      </w:tr>
      <w:tr w:rsidR="00583BD3" w:rsidRPr="00BA1FEC" w:rsidTr="000727E8">
        <w:trPr>
          <w:trHeight w:hRule="exact" w:val="255"/>
        </w:trPr>
        <w:tc>
          <w:tcPr>
            <w:tcW w:w="2438" w:type="dxa"/>
            <w:shd w:val="clear" w:color="auto" w:fill="auto"/>
            <w:noWrap/>
            <w:hideMark/>
          </w:tcPr>
          <w:p w:rsidR="00583BD3" w:rsidRPr="00905DE4" w:rsidRDefault="00583BD3" w:rsidP="000727E8">
            <w:pPr>
              <w:jc w:val="center"/>
              <w:rPr>
                <w:rFonts w:ascii="Garamond" w:hAnsi="Garamond" w:cs="Calibri"/>
                <w:color w:val="000000" w:themeColor="text1"/>
                <w:sz w:val="20"/>
                <w:szCs w:val="20"/>
              </w:rPr>
            </w:pP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r w:rsidRPr="00F473F9">
              <w:rPr>
                <w:rFonts w:ascii="Garamond" w:hAnsi="Garamond" w:cs="Calibri" w:hint="eastAsia"/>
                <w:color w:val="000000" w:themeColor="text1"/>
                <w:sz w:val="20"/>
                <w:szCs w:val="20"/>
              </w:rPr>
              <w:t>(0.38)</w:t>
            </w: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r w:rsidRPr="00F473F9">
              <w:rPr>
                <w:rFonts w:ascii="Garamond" w:hAnsi="Garamond" w:cs="Calibri" w:hint="eastAsia"/>
                <w:color w:val="000000" w:themeColor="text1"/>
                <w:sz w:val="20"/>
                <w:szCs w:val="20"/>
              </w:rPr>
              <w:t>(0.37)</w:t>
            </w: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p>
        </w:tc>
      </w:tr>
      <w:tr w:rsidR="00583BD3" w:rsidRPr="00BA1FEC" w:rsidTr="000727E8">
        <w:trPr>
          <w:trHeight w:hRule="exact" w:val="255"/>
        </w:trPr>
        <w:tc>
          <w:tcPr>
            <w:tcW w:w="2438" w:type="dxa"/>
            <w:shd w:val="clear" w:color="auto" w:fill="auto"/>
            <w:noWrap/>
            <w:hideMark/>
          </w:tcPr>
          <w:p w:rsidR="00583BD3" w:rsidRPr="00905DE4" w:rsidRDefault="00583BD3" w:rsidP="000727E8">
            <w:pPr>
              <w:jc w:val="center"/>
              <w:rPr>
                <w:rFonts w:ascii="Garamond" w:hAnsi="Garamond" w:cs="Calibri"/>
                <w:color w:val="000000" w:themeColor="text1"/>
                <w:sz w:val="20"/>
                <w:szCs w:val="20"/>
              </w:rPr>
            </w:pPr>
            <w:r w:rsidRPr="00905DE4">
              <w:rPr>
                <w:rFonts w:ascii="Garamond" w:hAnsi="Garamond" w:cs="Calibri"/>
                <w:color w:val="000000" w:themeColor="text1"/>
                <w:sz w:val="20"/>
                <w:szCs w:val="20"/>
              </w:rPr>
              <w:t>Board Age Diversity</w:t>
            </w:r>
            <w:r>
              <w:rPr>
                <w:rFonts w:ascii="Garamond" w:hAnsi="Garamond" w:cs="Calibri"/>
                <w:color w:val="000000"/>
                <w:sz w:val="18"/>
                <w:szCs w:val="18"/>
                <w:vertAlign w:val="subscript"/>
              </w:rPr>
              <w:t>t-1</w:t>
            </w: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r w:rsidRPr="00F473F9">
              <w:rPr>
                <w:rFonts w:ascii="Garamond" w:hAnsi="Garamond" w:cs="Calibri" w:hint="eastAsia"/>
                <w:color w:val="000000" w:themeColor="text1"/>
                <w:sz w:val="20"/>
                <w:szCs w:val="20"/>
              </w:rPr>
              <w:t>0.0228</w:t>
            </w: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r w:rsidRPr="00F473F9">
              <w:rPr>
                <w:rFonts w:ascii="Garamond" w:hAnsi="Garamond" w:cs="Calibri" w:hint="eastAsia"/>
                <w:color w:val="000000" w:themeColor="text1"/>
                <w:sz w:val="20"/>
                <w:szCs w:val="20"/>
              </w:rPr>
              <w:t>0.0224</w:t>
            </w: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p>
        </w:tc>
      </w:tr>
      <w:tr w:rsidR="00583BD3" w:rsidRPr="00BA1FEC" w:rsidTr="000727E8">
        <w:trPr>
          <w:trHeight w:hRule="exact" w:val="255"/>
        </w:trPr>
        <w:tc>
          <w:tcPr>
            <w:tcW w:w="2438" w:type="dxa"/>
            <w:shd w:val="clear" w:color="auto" w:fill="auto"/>
            <w:noWrap/>
            <w:hideMark/>
          </w:tcPr>
          <w:p w:rsidR="00583BD3" w:rsidRPr="00905DE4" w:rsidRDefault="00583BD3" w:rsidP="000727E8">
            <w:pPr>
              <w:jc w:val="center"/>
              <w:rPr>
                <w:rFonts w:ascii="Garamond" w:hAnsi="Garamond" w:cs="Calibri"/>
                <w:color w:val="000000" w:themeColor="text1"/>
                <w:sz w:val="20"/>
                <w:szCs w:val="20"/>
              </w:rPr>
            </w:pP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r w:rsidRPr="00F473F9">
              <w:rPr>
                <w:rFonts w:ascii="Garamond" w:hAnsi="Garamond" w:cs="Calibri" w:hint="eastAsia"/>
                <w:color w:val="000000" w:themeColor="text1"/>
                <w:sz w:val="20"/>
                <w:szCs w:val="20"/>
              </w:rPr>
              <w:t>(1.25)</w:t>
            </w: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r w:rsidRPr="00F473F9">
              <w:rPr>
                <w:rFonts w:ascii="Garamond" w:hAnsi="Garamond" w:cs="Calibri" w:hint="eastAsia"/>
                <w:color w:val="000000" w:themeColor="text1"/>
                <w:sz w:val="20"/>
                <w:szCs w:val="20"/>
              </w:rPr>
              <w:t>(1.23)</w:t>
            </w: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p>
        </w:tc>
      </w:tr>
      <w:tr w:rsidR="00583BD3" w:rsidRPr="00BA1FEC" w:rsidTr="000727E8">
        <w:trPr>
          <w:trHeight w:hRule="exact" w:val="255"/>
        </w:trPr>
        <w:tc>
          <w:tcPr>
            <w:tcW w:w="2438" w:type="dxa"/>
            <w:shd w:val="clear" w:color="auto" w:fill="auto"/>
            <w:noWrap/>
            <w:hideMark/>
          </w:tcPr>
          <w:p w:rsidR="00583BD3" w:rsidRPr="00905DE4" w:rsidRDefault="00583BD3" w:rsidP="000727E8">
            <w:pPr>
              <w:jc w:val="center"/>
              <w:rPr>
                <w:rFonts w:ascii="Garamond" w:hAnsi="Garamond" w:cs="Calibri"/>
                <w:color w:val="000000" w:themeColor="text1"/>
                <w:sz w:val="20"/>
                <w:szCs w:val="20"/>
              </w:rPr>
            </w:pPr>
            <w:r w:rsidRPr="00905DE4">
              <w:rPr>
                <w:rFonts w:ascii="Garamond" w:hAnsi="Garamond" w:cs="Calibri"/>
                <w:color w:val="000000" w:themeColor="text1"/>
                <w:sz w:val="20"/>
                <w:szCs w:val="20"/>
              </w:rPr>
              <w:t>Board Aggregat</w:t>
            </w:r>
            <w:r>
              <w:rPr>
                <w:rFonts w:ascii="Garamond" w:hAnsi="Garamond" w:cs="Calibri"/>
                <w:color w:val="000000" w:themeColor="text1"/>
                <w:sz w:val="20"/>
                <w:szCs w:val="20"/>
              </w:rPr>
              <w:t>e</w:t>
            </w:r>
            <w:r>
              <w:rPr>
                <w:rFonts w:ascii="Garamond" w:hAnsi="Garamond" w:cs="Calibri"/>
                <w:color w:val="000000"/>
                <w:sz w:val="18"/>
                <w:szCs w:val="18"/>
                <w:vertAlign w:val="subscript"/>
              </w:rPr>
              <w:t>t-1</w:t>
            </w:r>
            <w:r w:rsidRPr="00905DE4">
              <w:rPr>
                <w:rFonts w:ascii="Garamond" w:hAnsi="Garamond" w:cs="Calibri"/>
                <w:color w:val="000000" w:themeColor="text1"/>
                <w:sz w:val="20"/>
                <w:szCs w:val="20"/>
              </w:rPr>
              <w:t xml:space="preserve"> Diversity</w:t>
            </w:r>
            <w:r>
              <w:rPr>
                <w:rFonts w:ascii="Garamond" w:hAnsi="Garamond" w:cs="Calibri"/>
                <w:color w:val="000000"/>
                <w:sz w:val="18"/>
                <w:szCs w:val="18"/>
                <w:vertAlign w:val="subscript"/>
              </w:rPr>
              <w:t>t-1</w:t>
            </w: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r w:rsidRPr="00F473F9">
              <w:rPr>
                <w:rFonts w:ascii="Garamond" w:hAnsi="Garamond" w:cs="Calibri" w:hint="eastAsia"/>
                <w:color w:val="000000" w:themeColor="text1"/>
                <w:sz w:val="20"/>
                <w:szCs w:val="20"/>
              </w:rPr>
              <w:t>0.00302</w:t>
            </w:r>
          </w:p>
        </w:tc>
      </w:tr>
      <w:tr w:rsidR="00583BD3" w:rsidRPr="00BA1FEC" w:rsidTr="000727E8">
        <w:trPr>
          <w:trHeight w:hRule="exact" w:val="255"/>
        </w:trPr>
        <w:tc>
          <w:tcPr>
            <w:tcW w:w="2438" w:type="dxa"/>
            <w:shd w:val="clear" w:color="auto" w:fill="auto"/>
            <w:noWrap/>
            <w:hideMark/>
          </w:tcPr>
          <w:p w:rsidR="00583BD3" w:rsidRPr="00D14B9E" w:rsidRDefault="00583BD3" w:rsidP="000727E8">
            <w:pPr>
              <w:jc w:val="center"/>
              <w:rPr>
                <w:rFonts w:ascii="Garamond" w:hAnsi="Garamond" w:cs="Calibri"/>
                <w:color w:val="000000"/>
                <w:sz w:val="18"/>
                <w:szCs w:val="18"/>
              </w:rPr>
            </w:pP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r w:rsidRPr="00F473F9">
              <w:rPr>
                <w:rFonts w:ascii="Garamond" w:hAnsi="Garamond" w:cs="Calibri" w:hint="eastAsia"/>
                <w:color w:val="000000" w:themeColor="text1"/>
                <w:sz w:val="20"/>
                <w:szCs w:val="20"/>
              </w:rPr>
              <w:t>(0.72)</w:t>
            </w:r>
          </w:p>
        </w:tc>
      </w:tr>
      <w:tr w:rsidR="00583BD3" w:rsidRPr="00BA1FEC" w:rsidTr="000727E8">
        <w:trPr>
          <w:trHeight w:hRule="exact" w:val="255"/>
        </w:trPr>
        <w:tc>
          <w:tcPr>
            <w:tcW w:w="2438" w:type="dxa"/>
            <w:shd w:val="clear" w:color="auto" w:fill="auto"/>
            <w:noWrap/>
            <w:hideMark/>
          </w:tcPr>
          <w:p w:rsidR="00583BD3" w:rsidRPr="003B3AEF" w:rsidRDefault="00583BD3" w:rsidP="000727E8">
            <w:pPr>
              <w:jc w:val="center"/>
              <w:rPr>
                <w:rFonts w:ascii="Garamond" w:hAnsi="Garamond" w:cs="Calibri"/>
                <w:color w:val="000000" w:themeColor="text1"/>
                <w:sz w:val="20"/>
                <w:szCs w:val="20"/>
              </w:rPr>
            </w:pPr>
            <w:r w:rsidRPr="003B3AEF">
              <w:rPr>
                <w:rFonts w:ascii="Garamond" w:hAnsi="Garamond" w:cs="Calibri"/>
                <w:color w:val="000000" w:themeColor="text1"/>
                <w:sz w:val="20"/>
                <w:szCs w:val="20"/>
              </w:rPr>
              <w:t>Constant</w:t>
            </w: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r w:rsidRPr="00F473F9">
              <w:rPr>
                <w:rFonts w:ascii="Garamond" w:hAnsi="Garamond" w:cs="Calibri" w:hint="eastAsia"/>
                <w:color w:val="000000" w:themeColor="text1"/>
                <w:sz w:val="20"/>
                <w:szCs w:val="20"/>
              </w:rPr>
              <w:t>0.336</w:t>
            </w: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r w:rsidRPr="00F473F9">
              <w:rPr>
                <w:rFonts w:ascii="Garamond" w:hAnsi="Garamond" w:cs="Calibri" w:hint="eastAsia"/>
                <w:color w:val="000000" w:themeColor="text1"/>
                <w:sz w:val="20"/>
                <w:szCs w:val="20"/>
              </w:rPr>
              <w:t>0.337</w:t>
            </w: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r w:rsidRPr="00F473F9">
              <w:rPr>
                <w:rFonts w:ascii="Garamond" w:hAnsi="Garamond" w:cs="Calibri" w:hint="eastAsia"/>
                <w:color w:val="000000" w:themeColor="text1"/>
                <w:sz w:val="20"/>
                <w:szCs w:val="20"/>
              </w:rPr>
              <w:t>0.339</w:t>
            </w: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r w:rsidRPr="00F473F9">
              <w:rPr>
                <w:rFonts w:ascii="Garamond" w:hAnsi="Garamond" w:cs="Calibri" w:hint="eastAsia"/>
                <w:color w:val="000000" w:themeColor="text1"/>
                <w:sz w:val="20"/>
                <w:szCs w:val="20"/>
              </w:rPr>
              <w:t>0.320</w:t>
            </w: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r w:rsidRPr="00F473F9">
              <w:rPr>
                <w:rFonts w:ascii="Garamond" w:hAnsi="Garamond" w:cs="Calibri" w:hint="eastAsia"/>
                <w:color w:val="000000" w:themeColor="text1"/>
                <w:sz w:val="20"/>
                <w:szCs w:val="20"/>
              </w:rPr>
              <w:t>0.324</w:t>
            </w:r>
          </w:p>
        </w:tc>
        <w:tc>
          <w:tcPr>
            <w:tcW w:w="1191" w:type="dxa"/>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r w:rsidRPr="00F473F9">
              <w:rPr>
                <w:rFonts w:ascii="Garamond" w:hAnsi="Garamond" w:cs="Calibri" w:hint="eastAsia"/>
                <w:color w:val="000000" w:themeColor="text1"/>
                <w:sz w:val="20"/>
                <w:szCs w:val="20"/>
              </w:rPr>
              <w:t>0.302</w:t>
            </w:r>
          </w:p>
        </w:tc>
      </w:tr>
      <w:tr w:rsidR="00583BD3" w:rsidRPr="00BA1FEC" w:rsidTr="000727E8">
        <w:trPr>
          <w:trHeight w:hRule="exact" w:val="255"/>
        </w:trPr>
        <w:tc>
          <w:tcPr>
            <w:tcW w:w="2438" w:type="dxa"/>
            <w:tcBorders>
              <w:bottom w:val="single" w:sz="4" w:space="0" w:color="auto"/>
            </w:tcBorders>
            <w:shd w:val="clear" w:color="auto" w:fill="auto"/>
            <w:noWrap/>
            <w:hideMark/>
          </w:tcPr>
          <w:p w:rsidR="00583BD3" w:rsidRPr="003B3AEF" w:rsidRDefault="00583BD3" w:rsidP="000727E8">
            <w:pPr>
              <w:rPr>
                <w:rFonts w:ascii="Garamond" w:hAnsi="Garamond" w:cs="Calibri"/>
                <w:color w:val="000000" w:themeColor="text1"/>
                <w:sz w:val="20"/>
                <w:szCs w:val="20"/>
              </w:rPr>
            </w:pPr>
          </w:p>
        </w:tc>
        <w:tc>
          <w:tcPr>
            <w:tcW w:w="1191" w:type="dxa"/>
            <w:tcBorders>
              <w:bottom w:val="single" w:sz="4" w:space="0" w:color="auto"/>
            </w:tcBorders>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r w:rsidRPr="00F473F9">
              <w:rPr>
                <w:rFonts w:ascii="Garamond" w:hAnsi="Garamond" w:cs="Calibri" w:hint="eastAsia"/>
                <w:color w:val="000000" w:themeColor="text1"/>
                <w:sz w:val="20"/>
                <w:szCs w:val="20"/>
              </w:rPr>
              <w:t>(1.43)</w:t>
            </w:r>
          </w:p>
        </w:tc>
        <w:tc>
          <w:tcPr>
            <w:tcW w:w="1191" w:type="dxa"/>
            <w:tcBorders>
              <w:bottom w:val="single" w:sz="4" w:space="0" w:color="auto"/>
            </w:tcBorders>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r w:rsidRPr="00F473F9">
              <w:rPr>
                <w:rFonts w:ascii="Garamond" w:hAnsi="Garamond" w:cs="Calibri" w:hint="eastAsia"/>
                <w:color w:val="000000" w:themeColor="text1"/>
                <w:sz w:val="20"/>
                <w:szCs w:val="20"/>
              </w:rPr>
              <w:t>(1.44)</w:t>
            </w:r>
          </w:p>
        </w:tc>
        <w:tc>
          <w:tcPr>
            <w:tcW w:w="1191" w:type="dxa"/>
            <w:tcBorders>
              <w:bottom w:val="single" w:sz="4" w:space="0" w:color="auto"/>
            </w:tcBorders>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r w:rsidRPr="00F473F9">
              <w:rPr>
                <w:rFonts w:ascii="Garamond" w:hAnsi="Garamond" w:cs="Calibri" w:hint="eastAsia"/>
                <w:color w:val="000000" w:themeColor="text1"/>
                <w:sz w:val="20"/>
                <w:szCs w:val="20"/>
              </w:rPr>
              <w:t>(1.45)</w:t>
            </w:r>
          </w:p>
        </w:tc>
        <w:tc>
          <w:tcPr>
            <w:tcW w:w="1191" w:type="dxa"/>
            <w:tcBorders>
              <w:bottom w:val="single" w:sz="4" w:space="0" w:color="auto"/>
            </w:tcBorders>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r w:rsidRPr="00F473F9">
              <w:rPr>
                <w:rFonts w:ascii="Garamond" w:hAnsi="Garamond" w:cs="Calibri" w:hint="eastAsia"/>
                <w:color w:val="000000" w:themeColor="text1"/>
                <w:sz w:val="20"/>
                <w:szCs w:val="20"/>
              </w:rPr>
              <w:t>(1.36)</w:t>
            </w:r>
          </w:p>
        </w:tc>
        <w:tc>
          <w:tcPr>
            <w:tcW w:w="1191" w:type="dxa"/>
            <w:tcBorders>
              <w:bottom w:val="single" w:sz="4" w:space="0" w:color="auto"/>
            </w:tcBorders>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r w:rsidRPr="00F473F9">
              <w:rPr>
                <w:rFonts w:ascii="Garamond" w:hAnsi="Garamond" w:cs="Calibri" w:hint="eastAsia"/>
                <w:color w:val="000000" w:themeColor="text1"/>
                <w:sz w:val="20"/>
                <w:szCs w:val="20"/>
              </w:rPr>
              <w:t>(1.39)</w:t>
            </w:r>
          </w:p>
        </w:tc>
        <w:tc>
          <w:tcPr>
            <w:tcW w:w="1191" w:type="dxa"/>
            <w:tcBorders>
              <w:bottom w:val="single" w:sz="4" w:space="0" w:color="auto"/>
            </w:tcBorders>
            <w:shd w:val="clear" w:color="auto" w:fill="auto"/>
            <w:noWrap/>
            <w:vAlign w:val="center"/>
            <w:hideMark/>
          </w:tcPr>
          <w:p w:rsidR="00583BD3" w:rsidRPr="00F473F9" w:rsidRDefault="00583BD3" w:rsidP="000727E8">
            <w:pPr>
              <w:rPr>
                <w:rFonts w:ascii="Garamond" w:hAnsi="Garamond" w:cs="Calibri"/>
                <w:color w:val="000000" w:themeColor="text1"/>
                <w:sz w:val="20"/>
                <w:szCs w:val="20"/>
              </w:rPr>
            </w:pPr>
            <w:r w:rsidRPr="00F473F9">
              <w:rPr>
                <w:rFonts w:ascii="Garamond" w:hAnsi="Garamond" w:cs="Calibri" w:hint="eastAsia"/>
                <w:color w:val="000000" w:themeColor="text1"/>
                <w:sz w:val="20"/>
                <w:szCs w:val="20"/>
              </w:rPr>
              <w:t>(1.26)</w:t>
            </w:r>
          </w:p>
        </w:tc>
      </w:tr>
      <w:tr w:rsidR="00583BD3" w:rsidRPr="00BA1FEC" w:rsidTr="000727E8">
        <w:trPr>
          <w:trHeight w:hRule="exact" w:val="255"/>
        </w:trPr>
        <w:tc>
          <w:tcPr>
            <w:tcW w:w="2438" w:type="dxa"/>
            <w:tcBorders>
              <w:top w:val="single" w:sz="4" w:space="0" w:color="auto"/>
              <w:bottom w:val="nil"/>
            </w:tcBorders>
            <w:shd w:val="clear" w:color="auto" w:fill="auto"/>
            <w:noWrap/>
            <w:hideMark/>
          </w:tcPr>
          <w:p w:rsidR="00583BD3" w:rsidRPr="003B3AEF" w:rsidRDefault="00583BD3" w:rsidP="000727E8">
            <w:pPr>
              <w:jc w:val="center"/>
              <w:rPr>
                <w:rFonts w:ascii="Garamond" w:hAnsi="Garamond" w:cs="Calibri"/>
                <w:color w:val="000000" w:themeColor="text1"/>
                <w:sz w:val="20"/>
                <w:szCs w:val="20"/>
              </w:rPr>
            </w:pPr>
            <w:r w:rsidRPr="003B3AEF">
              <w:rPr>
                <w:rFonts w:ascii="Garamond" w:hAnsi="Garamond" w:cs="Calibri"/>
                <w:color w:val="000000" w:themeColor="text1"/>
                <w:sz w:val="20"/>
                <w:szCs w:val="20"/>
              </w:rPr>
              <w:t>Year Fixed Effects</w:t>
            </w:r>
          </w:p>
        </w:tc>
        <w:tc>
          <w:tcPr>
            <w:tcW w:w="1191" w:type="dxa"/>
            <w:tcBorders>
              <w:top w:val="single" w:sz="4" w:space="0" w:color="auto"/>
              <w:bottom w:val="nil"/>
            </w:tcBorders>
            <w:shd w:val="clear" w:color="auto" w:fill="auto"/>
            <w:noWrap/>
            <w:hideMark/>
          </w:tcPr>
          <w:p w:rsidR="00583BD3" w:rsidRPr="003B3AEF" w:rsidRDefault="00583BD3" w:rsidP="000727E8">
            <w:pPr>
              <w:rPr>
                <w:rFonts w:ascii="Garamond" w:hAnsi="Garamond" w:cs="Calibri"/>
                <w:color w:val="000000" w:themeColor="text1"/>
                <w:sz w:val="20"/>
                <w:szCs w:val="20"/>
              </w:rPr>
            </w:pPr>
            <w:r w:rsidRPr="003B3AEF">
              <w:rPr>
                <w:rFonts w:ascii="Garamond" w:hAnsi="Garamond" w:cs="Calibri"/>
                <w:color w:val="000000" w:themeColor="text1"/>
                <w:sz w:val="20"/>
                <w:szCs w:val="20"/>
              </w:rPr>
              <w:t>Yes</w:t>
            </w:r>
          </w:p>
        </w:tc>
        <w:tc>
          <w:tcPr>
            <w:tcW w:w="1191" w:type="dxa"/>
            <w:tcBorders>
              <w:top w:val="single" w:sz="4" w:space="0" w:color="auto"/>
              <w:bottom w:val="nil"/>
            </w:tcBorders>
            <w:shd w:val="clear" w:color="auto" w:fill="auto"/>
            <w:noWrap/>
            <w:hideMark/>
          </w:tcPr>
          <w:p w:rsidR="00583BD3" w:rsidRPr="003B3AEF" w:rsidRDefault="00583BD3" w:rsidP="000727E8">
            <w:pPr>
              <w:rPr>
                <w:rFonts w:ascii="Garamond" w:hAnsi="Garamond" w:cs="Calibri"/>
                <w:color w:val="000000" w:themeColor="text1"/>
                <w:sz w:val="20"/>
                <w:szCs w:val="20"/>
              </w:rPr>
            </w:pPr>
            <w:r w:rsidRPr="003B3AEF">
              <w:rPr>
                <w:rFonts w:ascii="Garamond" w:hAnsi="Garamond" w:cs="Calibri"/>
                <w:color w:val="000000" w:themeColor="text1"/>
                <w:sz w:val="20"/>
                <w:szCs w:val="20"/>
              </w:rPr>
              <w:t>Yes</w:t>
            </w:r>
          </w:p>
        </w:tc>
        <w:tc>
          <w:tcPr>
            <w:tcW w:w="1191" w:type="dxa"/>
            <w:tcBorders>
              <w:top w:val="single" w:sz="4" w:space="0" w:color="auto"/>
              <w:bottom w:val="nil"/>
            </w:tcBorders>
            <w:shd w:val="clear" w:color="auto" w:fill="auto"/>
            <w:noWrap/>
            <w:hideMark/>
          </w:tcPr>
          <w:p w:rsidR="00583BD3" w:rsidRPr="003B3AEF" w:rsidRDefault="00583BD3" w:rsidP="000727E8">
            <w:pPr>
              <w:rPr>
                <w:rFonts w:ascii="Garamond" w:hAnsi="Garamond" w:cs="Calibri"/>
                <w:color w:val="000000" w:themeColor="text1"/>
                <w:sz w:val="20"/>
                <w:szCs w:val="20"/>
              </w:rPr>
            </w:pPr>
            <w:r w:rsidRPr="003B3AEF">
              <w:rPr>
                <w:rFonts w:ascii="Garamond" w:hAnsi="Garamond" w:cs="Calibri"/>
                <w:color w:val="000000" w:themeColor="text1"/>
                <w:sz w:val="20"/>
                <w:szCs w:val="20"/>
              </w:rPr>
              <w:t>Yes</w:t>
            </w:r>
          </w:p>
        </w:tc>
        <w:tc>
          <w:tcPr>
            <w:tcW w:w="1191" w:type="dxa"/>
            <w:tcBorders>
              <w:top w:val="single" w:sz="4" w:space="0" w:color="auto"/>
              <w:bottom w:val="nil"/>
            </w:tcBorders>
            <w:shd w:val="clear" w:color="auto" w:fill="auto"/>
            <w:noWrap/>
            <w:hideMark/>
          </w:tcPr>
          <w:p w:rsidR="00583BD3" w:rsidRPr="003B3AEF" w:rsidRDefault="00583BD3" w:rsidP="000727E8">
            <w:pPr>
              <w:rPr>
                <w:rFonts w:ascii="Garamond" w:hAnsi="Garamond" w:cs="Calibri"/>
                <w:color w:val="000000" w:themeColor="text1"/>
                <w:sz w:val="20"/>
                <w:szCs w:val="20"/>
              </w:rPr>
            </w:pPr>
            <w:r w:rsidRPr="003B3AEF">
              <w:rPr>
                <w:rFonts w:ascii="Garamond" w:hAnsi="Garamond" w:cs="Calibri"/>
                <w:color w:val="000000" w:themeColor="text1"/>
                <w:sz w:val="20"/>
                <w:szCs w:val="20"/>
              </w:rPr>
              <w:t>Yes</w:t>
            </w:r>
          </w:p>
        </w:tc>
        <w:tc>
          <w:tcPr>
            <w:tcW w:w="1191" w:type="dxa"/>
            <w:tcBorders>
              <w:top w:val="single" w:sz="4" w:space="0" w:color="auto"/>
              <w:bottom w:val="nil"/>
            </w:tcBorders>
            <w:shd w:val="clear" w:color="auto" w:fill="auto"/>
            <w:noWrap/>
            <w:hideMark/>
          </w:tcPr>
          <w:p w:rsidR="00583BD3" w:rsidRPr="003B3AEF" w:rsidRDefault="00583BD3" w:rsidP="000727E8">
            <w:pPr>
              <w:rPr>
                <w:rFonts w:ascii="Garamond" w:hAnsi="Garamond" w:cs="Calibri"/>
                <w:color w:val="000000" w:themeColor="text1"/>
                <w:sz w:val="20"/>
                <w:szCs w:val="20"/>
              </w:rPr>
            </w:pPr>
            <w:r w:rsidRPr="003B3AEF">
              <w:rPr>
                <w:rFonts w:ascii="Garamond" w:hAnsi="Garamond" w:cs="Calibri"/>
                <w:color w:val="000000" w:themeColor="text1"/>
                <w:sz w:val="20"/>
                <w:szCs w:val="20"/>
              </w:rPr>
              <w:t>Yes</w:t>
            </w:r>
          </w:p>
        </w:tc>
        <w:tc>
          <w:tcPr>
            <w:tcW w:w="1191" w:type="dxa"/>
            <w:tcBorders>
              <w:top w:val="single" w:sz="4" w:space="0" w:color="auto"/>
              <w:bottom w:val="nil"/>
            </w:tcBorders>
            <w:shd w:val="clear" w:color="auto" w:fill="auto"/>
            <w:noWrap/>
            <w:hideMark/>
          </w:tcPr>
          <w:p w:rsidR="00583BD3" w:rsidRPr="003B3AEF" w:rsidRDefault="00583BD3" w:rsidP="000727E8">
            <w:pPr>
              <w:rPr>
                <w:rFonts w:ascii="Garamond" w:hAnsi="Garamond" w:cs="Calibri"/>
                <w:color w:val="000000" w:themeColor="text1"/>
                <w:sz w:val="20"/>
                <w:szCs w:val="20"/>
              </w:rPr>
            </w:pPr>
            <w:r w:rsidRPr="003B3AEF">
              <w:rPr>
                <w:rFonts w:ascii="Garamond" w:hAnsi="Garamond" w:cs="Calibri"/>
                <w:color w:val="000000" w:themeColor="text1"/>
                <w:sz w:val="20"/>
                <w:szCs w:val="20"/>
              </w:rPr>
              <w:t>Yes</w:t>
            </w:r>
          </w:p>
        </w:tc>
      </w:tr>
      <w:tr w:rsidR="00583BD3" w:rsidRPr="00BA1FEC" w:rsidTr="000727E8">
        <w:trPr>
          <w:trHeight w:hRule="exact" w:val="255"/>
        </w:trPr>
        <w:tc>
          <w:tcPr>
            <w:tcW w:w="2438" w:type="dxa"/>
            <w:tcBorders>
              <w:top w:val="nil"/>
            </w:tcBorders>
            <w:shd w:val="clear" w:color="auto" w:fill="auto"/>
            <w:noWrap/>
            <w:hideMark/>
          </w:tcPr>
          <w:p w:rsidR="00583BD3" w:rsidRPr="003B3AEF" w:rsidRDefault="00583BD3" w:rsidP="000727E8">
            <w:pPr>
              <w:jc w:val="center"/>
              <w:rPr>
                <w:rFonts w:ascii="Garamond" w:hAnsi="Garamond" w:cs="Calibri"/>
                <w:color w:val="000000" w:themeColor="text1"/>
                <w:sz w:val="20"/>
                <w:szCs w:val="20"/>
              </w:rPr>
            </w:pPr>
            <w:r>
              <w:rPr>
                <w:rFonts w:ascii="Garamond" w:hAnsi="Garamond" w:cs="Calibri"/>
                <w:color w:val="000000" w:themeColor="text1"/>
                <w:sz w:val="20"/>
                <w:szCs w:val="20"/>
              </w:rPr>
              <w:t>Firm</w:t>
            </w:r>
            <w:r w:rsidRPr="003B3AEF">
              <w:rPr>
                <w:rFonts w:ascii="Garamond" w:hAnsi="Garamond" w:cs="Calibri"/>
                <w:color w:val="000000" w:themeColor="text1"/>
                <w:sz w:val="20"/>
                <w:szCs w:val="20"/>
              </w:rPr>
              <w:t xml:space="preserve"> Fixed Effects</w:t>
            </w:r>
          </w:p>
        </w:tc>
        <w:tc>
          <w:tcPr>
            <w:tcW w:w="1191" w:type="dxa"/>
            <w:tcBorders>
              <w:top w:val="nil"/>
            </w:tcBorders>
            <w:shd w:val="clear" w:color="auto" w:fill="auto"/>
            <w:noWrap/>
            <w:hideMark/>
          </w:tcPr>
          <w:p w:rsidR="00583BD3" w:rsidRPr="003B3AEF" w:rsidRDefault="00583BD3" w:rsidP="000727E8">
            <w:pPr>
              <w:rPr>
                <w:rFonts w:ascii="Garamond" w:hAnsi="Garamond" w:cs="Calibri"/>
                <w:color w:val="000000" w:themeColor="text1"/>
                <w:sz w:val="20"/>
                <w:szCs w:val="20"/>
              </w:rPr>
            </w:pPr>
            <w:r w:rsidRPr="003B3AEF">
              <w:rPr>
                <w:rFonts w:ascii="Garamond" w:hAnsi="Garamond" w:cs="Calibri"/>
                <w:color w:val="000000" w:themeColor="text1"/>
                <w:sz w:val="20"/>
                <w:szCs w:val="20"/>
              </w:rPr>
              <w:t>Yes</w:t>
            </w:r>
          </w:p>
        </w:tc>
        <w:tc>
          <w:tcPr>
            <w:tcW w:w="1191" w:type="dxa"/>
            <w:tcBorders>
              <w:top w:val="nil"/>
            </w:tcBorders>
            <w:shd w:val="clear" w:color="auto" w:fill="auto"/>
            <w:noWrap/>
            <w:hideMark/>
          </w:tcPr>
          <w:p w:rsidR="00583BD3" w:rsidRPr="003B3AEF" w:rsidRDefault="00583BD3" w:rsidP="000727E8">
            <w:pPr>
              <w:rPr>
                <w:rFonts w:ascii="Garamond" w:hAnsi="Garamond" w:cs="Calibri"/>
                <w:color w:val="000000" w:themeColor="text1"/>
                <w:sz w:val="20"/>
                <w:szCs w:val="20"/>
              </w:rPr>
            </w:pPr>
            <w:r w:rsidRPr="003B3AEF">
              <w:rPr>
                <w:rFonts w:ascii="Garamond" w:hAnsi="Garamond" w:cs="Calibri"/>
                <w:color w:val="000000" w:themeColor="text1"/>
                <w:sz w:val="20"/>
                <w:szCs w:val="20"/>
              </w:rPr>
              <w:t>Yes</w:t>
            </w:r>
          </w:p>
        </w:tc>
        <w:tc>
          <w:tcPr>
            <w:tcW w:w="1191" w:type="dxa"/>
            <w:tcBorders>
              <w:top w:val="nil"/>
            </w:tcBorders>
            <w:shd w:val="clear" w:color="auto" w:fill="auto"/>
            <w:noWrap/>
            <w:hideMark/>
          </w:tcPr>
          <w:p w:rsidR="00583BD3" w:rsidRPr="003B3AEF" w:rsidRDefault="00583BD3" w:rsidP="000727E8">
            <w:pPr>
              <w:rPr>
                <w:rFonts w:ascii="Garamond" w:hAnsi="Garamond" w:cs="Calibri"/>
                <w:color w:val="000000" w:themeColor="text1"/>
                <w:sz w:val="20"/>
                <w:szCs w:val="20"/>
              </w:rPr>
            </w:pPr>
            <w:r w:rsidRPr="003B3AEF">
              <w:rPr>
                <w:rFonts w:ascii="Garamond" w:hAnsi="Garamond" w:cs="Calibri"/>
                <w:color w:val="000000" w:themeColor="text1"/>
                <w:sz w:val="20"/>
                <w:szCs w:val="20"/>
              </w:rPr>
              <w:t>Yes</w:t>
            </w:r>
          </w:p>
        </w:tc>
        <w:tc>
          <w:tcPr>
            <w:tcW w:w="1191" w:type="dxa"/>
            <w:tcBorders>
              <w:top w:val="nil"/>
            </w:tcBorders>
            <w:shd w:val="clear" w:color="auto" w:fill="auto"/>
            <w:noWrap/>
            <w:hideMark/>
          </w:tcPr>
          <w:p w:rsidR="00583BD3" w:rsidRPr="003B3AEF" w:rsidRDefault="00583BD3" w:rsidP="000727E8">
            <w:pPr>
              <w:rPr>
                <w:rFonts w:ascii="Garamond" w:hAnsi="Garamond" w:cs="Calibri"/>
                <w:color w:val="000000" w:themeColor="text1"/>
                <w:sz w:val="20"/>
                <w:szCs w:val="20"/>
              </w:rPr>
            </w:pPr>
            <w:r w:rsidRPr="003B3AEF">
              <w:rPr>
                <w:rFonts w:ascii="Garamond" w:hAnsi="Garamond" w:cs="Calibri"/>
                <w:color w:val="000000" w:themeColor="text1"/>
                <w:sz w:val="20"/>
                <w:szCs w:val="20"/>
              </w:rPr>
              <w:t>Yes</w:t>
            </w:r>
          </w:p>
        </w:tc>
        <w:tc>
          <w:tcPr>
            <w:tcW w:w="1191" w:type="dxa"/>
            <w:tcBorders>
              <w:top w:val="nil"/>
            </w:tcBorders>
            <w:shd w:val="clear" w:color="auto" w:fill="auto"/>
            <w:noWrap/>
            <w:hideMark/>
          </w:tcPr>
          <w:p w:rsidR="00583BD3" w:rsidRPr="003B3AEF" w:rsidRDefault="00583BD3" w:rsidP="000727E8">
            <w:pPr>
              <w:rPr>
                <w:rFonts w:ascii="Garamond" w:hAnsi="Garamond" w:cs="Calibri"/>
                <w:color w:val="000000" w:themeColor="text1"/>
                <w:sz w:val="20"/>
                <w:szCs w:val="20"/>
              </w:rPr>
            </w:pPr>
            <w:r w:rsidRPr="003B3AEF">
              <w:rPr>
                <w:rFonts w:ascii="Garamond" w:hAnsi="Garamond" w:cs="Calibri"/>
                <w:color w:val="000000" w:themeColor="text1"/>
                <w:sz w:val="20"/>
                <w:szCs w:val="20"/>
              </w:rPr>
              <w:t>Yes</w:t>
            </w:r>
          </w:p>
        </w:tc>
        <w:tc>
          <w:tcPr>
            <w:tcW w:w="1191" w:type="dxa"/>
            <w:tcBorders>
              <w:top w:val="nil"/>
            </w:tcBorders>
            <w:shd w:val="clear" w:color="auto" w:fill="auto"/>
            <w:noWrap/>
            <w:hideMark/>
          </w:tcPr>
          <w:p w:rsidR="00583BD3" w:rsidRPr="003B3AEF" w:rsidRDefault="00583BD3" w:rsidP="000727E8">
            <w:pPr>
              <w:rPr>
                <w:rFonts w:ascii="Garamond" w:hAnsi="Garamond" w:cs="Calibri"/>
                <w:color w:val="000000" w:themeColor="text1"/>
                <w:sz w:val="20"/>
                <w:szCs w:val="20"/>
              </w:rPr>
            </w:pPr>
            <w:r w:rsidRPr="003B3AEF">
              <w:rPr>
                <w:rFonts w:ascii="Garamond" w:hAnsi="Garamond" w:cs="Calibri"/>
                <w:color w:val="000000" w:themeColor="text1"/>
                <w:sz w:val="20"/>
                <w:szCs w:val="20"/>
              </w:rPr>
              <w:t>Yes</w:t>
            </w:r>
          </w:p>
        </w:tc>
      </w:tr>
      <w:tr w:rsidR="00583BD3" w:rsidRPr="00903CDC" w:rsidTr="000727E8">
        <w:trPr>
          <w:trHeight w:hRule="exact" w:val="255"/>
        </w:trPr>
        <w:tc>
          <w:tcPr>
            <w:tcW w:w="2438" w:type="dxa"/>
            <w:shd w:val="clear" w:color="auto" w:fill="auto"/>
            <w:noWrap/>
          </w:tcPr>
          <w:p w:rsidR="00583BD3" w:rsidRPr="003B3AEF" w:rsidRDefault="00583BD3" w:rsidP="000727E8">
            <w:pPr>
              <w:jc w:val="center"/>
              <w:rPr>
                <w:rFonts w:ascii="Garamond" w:hAnsi="Garamond" w:cs="Calibri"/>
                <w:color w:val="000000" w:themeColor="text1"/>
                <w:sz w:val="20"/>
                <w:szCs w:val="20"/>
              </w:rPr>
            </w:pPr>
            <w:r>
              <w:rPr>
                <w:rFonts w:ascii="Garamond" w:hAnsi="Garamond" w:cs="Calibri"/>
                <w:color w:val="000000" w:themeColor="text1"/>
                <w:sz w:val="20"/>
                <w:szCs w:val="20"/>
              </w:rPr>
              <w:t>Control Variables</w:t>
            </w:r>
          </w:p>
        </w:tc>
        <w:tc>
          <w:tcPr>
            <w:tcW w:w="1191" w:type="dxa"/>
            <w:shd w:val="clear" w:color="auto" w:fill="auto"/>
            <w:noWrap/>
          </w:tcPr>
          <w:p w:rsidR="00583BD3" w:rsidRPr="00F473F9" w:rsidRDefault="00583BD3" w:rsidP="000727E8">
            <w:pPr>
              <w:rPr>
                <w:rFonts w:ascii="Garamond" w:hAnsi="Garamond" w:cs="Calibri"/>
                <w:color w:val="000000" w:themeColor="text1"/>
                <w:sz w:val="20"/>
                <w:szCs w:val="20"/>
              </w:rPr>
            </w:pPr>
            <w:r w:rsidRPr="00063022">
              <w:rPr>
                <w:rFonts w:ascii="Garamond" w:hAnsi="Garamond" w:cs="Calibri"/>
                <w:color w:val="000000" w:themeColor="text1"/>
                <w:sz w:val="20"/>
                <w:szCs w:val="20"/>
              </w:rPr>
              <w:t>Yes</w:t>
            </w:r>
          </w:p>
        </w:tc>
        <w:tc>
          <w:tcPr>
            <w:tcW w:w="1191" w:type="dxa"/>
            <w:shd w:val="clear" w:color="auto" w:fill="auto"/>
            <w:noWrap/>
          </w:tcPr>
          <w:p w:rsidR="00583BD3" w:rsidRPr="00F473F9" w:rsidRDefault="00583BD3" w:rsidP="000727E8">
            <w:pPr>
              <w:rPr>
                <w:rFonts w:ascii="Garamond" w:hAnsi="Garamond" w:cs="Calibri"/>
                <w:color w:val="000000" w:themeColor="text1"/>
                <w:sz w:val="20"/>
                <w:szCs w:val="20"/>
              </w:rPr>
            </w:pPr>
            <w:r w:rsidRPr="00063022">
              <w:rPr>
                <w:rFonts w:ascii="Garamond" w:hAnsi="Garamond" w:cs="Calibri"/>
                <w:color w:val="000000" w:themeColor="text1"/>
                <w:sz w:val="20"/>
                <w:szCs w:val="20"/>
              </w:rPr>
              <w:t>Yes</w:t>
            </w:r>
          </w:p>
        </w:tc>
        <w:tc>
          <w:tcPr>
            <w:tcW w:w="1191" w:type="dxa"/>
            <w:shd w:val="clear" w:color="auto" w:fill="auto"/>
            <w:noWrap/>
          </w:tcPr>
          <w:p w:rsidR="00583BD3" w:rsidRPr="00F473F9" w:rsidRDefault="00583BD3" w:rsidP="000727E8">
            <w:pPr>
              <w:rPr>
                <w:rFonts w:ascii="Garamond" w:hAnsi="Garamond" w:cs="Calibri"/>
                <w:color w:val="000000" w:themeColor="text1"/>
                <w:sz w:val="20"/>
                <w:szCs w:val="20"/>
              </w:rPr>
            </w:pPr>
            <w:r w:rsidRPr="00063022">
              <w:rPr>
                <w:rFonts w:ascii="Garamond" w:hAnsi="Garamond" w:cs="Calibri"/>
                <w:color w:val="000000" w:themeColor="text1"/>
                <w:sz w:val="20"/>
                <w:szCs w:val="20"/>
              </w:rPr>
              <w:t>Yes</w:t>
            </w:r>
          </w:p>
        </w:tc>
        <w:tc>
          <w:tcPr>
            <w:tcW w:w="1191" w:type="dxa"/>
            <w:shd w:val="clear" w:color="auto" w:fill="auto"/>
            <w:noWrap/>
          </w:tcPr>
          <w:p w:rsidR="00583BD3" w:rsidRPr="00F473F9" w:rsidRDefault="00583BD3" w:rsidP="000727E8">
            <w:pPr>
              <w:rPr>
                <w:rFonts w:ascii="Garamond" w:hAnsi="Garamond" w:cs="Calibri"/>
                <w:color w:val="000000" w:themeColor="text1"/>
                <w:sz w:val="20"/>
                <w:szCs w:val="20"/>
              </w:rPr>
            </w:pPr>
            <w:r w:rsidRPr="00063022">
              <w:rPr>
                <w:rFonts w:ascii="Garamond" w:hAnsi="Garamond" w:cs="Calibri"/>
                <w:color w:val="000000" w:themeColor="text1"/>
                <w:sz w:val="20"/>
                <w:szCs w:val="20"/>
              </w:rPr>
              <w:t>Yes</w:t>
            </w:r>
          </w:p>
        </w:tc>
        <w:tc>
          <w:tcPr>
            <w:tcW w:w="1191" w:type="dxa"/>
            <w:shd w:val="clear" w:color="auto" w:fill="auto"/>
            <w:noWrap/>
          </w:tcPr>
          <w:p w:rsidR="00583BD3" w:rsidRPr="00F473F9" w:rsidRDefault="00583BD3" w:rsidP="000727E8">
            <w:pPr>
              <w:rPr>
                <w:rFonts w:ascii="Garamond" w:hAnsi="Garamond" w:cs="Calibri"/>
                <w:color w:val="000000" w:themeColor="text1"/>
                <w:sz w:val="20"/>
                <w:szCs w:val="20"/>
              </w:rPr>
            </w:pPr>
            <w:r w:rsidRPr="00063022">
              <w:rPr>
                <w:rFonts w:ascii="Garamond" w:hAnsi="Garamond" w:cs="Calibri"/>
                <w:color w:val="000000" w:themeColor="text1"/>
                <w:sz w:val="20"/>
                <w:szCs w:val="20"/>
              </w:rPr>
              <w:t>Yes</w:t>
            </w:r>
          </w:p>
        </w:tc>
        <w:tc>
          <w:tcPr>
            <w:tcW w:w="1191" w:type="dxa"/>
            <w:shd w:val="clear" w:color="auto" w:fill="auto"/>
            <w:noWrap/>
          </w:tcPr>
          <w:p w:rsidR="00583BD3" w:rsidRPr="00F473F9" w:rsidRDefault="00583BD3" w:rsidP="000727E8">
            <w:pPr>
              <w:rPr>
                <w:rFonts w:ascii="Garamond" w:hAnsi="Garamond" w:cs="Calibri"/>
                <w:color w:val="000000" w:themeColor="text1"/>
                <w:sz w:val="20"/>
                <w:szCs w:val="20"/>
              </w:rPr>
            </w:pPr>
            <w:r w:rsidRPr="00063022">
              <w:rPr>
                <w:rFonts w:ascii="Garamond" w:hAnsi="Garamond" w:cs="Calibri"/>
                <w:color w:val="000000" w:themeColor="text1"/>
                <w:sz w:val="20"/>
                <w:szCs w:val="20"/>
              </w:rPr>
              <w:t>Yes</w:t>
            </w:r>
          </w:p>
        </w:tc>
      </w:tr>
      <w:tr w:rsidR="00583BD3" w:rsidRPr="00903CDC" w:rsidTr="000727E8">
        <w:trPr>
          <w:trHeight w:hRule="exact" w:val="255"/>
        </w:trPr>
        <w:tc>
          <w:tcPr>
            <w:tcW w:w="2438" w:type="dxa"/>
            <w:shd w:val="clear" w:color="auto" w:fill="auto"/>
            <w:noWrap/>
            <w:hideMark/>
          </w:tcPr>
          <w:p w:rsidR="00583BD3" w:rsidRPr="003B3AEF" w:rsidRDefault="00583BD3" w:rsidP="000727E8">
            <w:pPr>
              <w:jc w:val="center"/>
              <w:rPr>
                <w:rFonts w:ascii="Garamond" w:hAnsi="Garamond" w:cs="Calibri"/>
                <w:color w:val="000000" w:themeColor="text1"/>
                <w:sz w:val="20"/>
                <w:szCs w:val="20"/>
              </w:rPr>
            </w:pPr>
            <w:proofErr w:type="spellStart"/>
            <w:r w:rsidRPr="003B3AEF">
              <w:rPr>
                <w:rFonts w:ascii="Garamond" w:hAnsi="Garamond" w:cs="Calibri"/>
                <w:color w:val="000000" w:themeColor="text1"/>
                <w:sz w:val="20"/>
                <w:szCs w:val="20"/>
              </w:rPr>
              <w:t>Adj</w:t>
            </w:r>
            <w:proofErr w:type="spellEnd"/>
            <w:r w:rsidRPr="003B3AEF">
              <w:rPr>
                <w:rFonts w:ascii="Garamond" w:hAnsi="Garamond" w:cs="Calibri"/>
                <w:color w:val="000000" w:themeColor="text1"/>
                <w:sz w:val="20"/>
                <w:szCs w:val="20"/>
              </w:rPr>
              <w:t xml:space="preserve"> R-square</w:t>
            </w:r>
          </w:p>
        </w:tc>
        <w:tc>
          <w:tcPr>
            <w:tcW w:w="1191" w:type="dxa"/>
            <w:shd w:val="clear" w:color="auto" w:fill="auto"/>
            <w:noWrap/>
            <w:vAlign w:val="bottom"/>
            <w:hideMark/>
          </w:tcPr>
          <w:p w:rsidR="00583BD3" w:rsidRPr="00F473F9" w:rsidRDefault="00583BD3" w:rsidP="000727E8">
            <w:pPr>
              <w:rPr>
                <w:rFonts w:ascii="Garamond" w:hAnsi="Garamond" w:cs="Calibri"/>
                <w:color w:val="000000" w:themeColor="text1"/>
                <w:sz w:val="20"/>
                <w:szCs w:val="20"/>
              </w:rPr>
            </w:pPr>
            <w:r w:rsidRPr="00F473F9">
              <w:rPr>
                <w:rFonts w:ascii="Garamond" w:hAnsi="Garamond" w:cs="Calibri" w:hint="eastAsia"/>
                <w:color w:val="000000" w:themeColor="text1"/>
                <w:sz w:val="20"/>
                <w:szCs w:val="20"/>
              </w:rPr>
              <w:t>0.0432</w:t>
            </w:r>
          </w:p>
        </w:tc>
        <w:tc>
          <w:tcPr>
            <w:tcW w:w="1191" w:type="dxa"/>
            <w:shd w:val="clear" w:color="auto" w:fill="auto"/>
            <w:noWrap/>
            <w:vAlign w:val="bottom"/>
            <w:hideMark/>
          </w:tcPr>
          <w:p w:rsidR="00583BD3" w:rsidRPr="00F473F9" w:rsidRDefault="00583BD3" w:rsidP="000727E8">
            <w:pPr>
              <w:rPr>
                <w:rFonts w:ascii="Garamond" w:hAnsi="Garamond" w:cs="Calibri"/>
                <w:color w:val="000000" w:themeColor="text1"/>
                <w:sz w:val="20"/>
                <w:szCs w:val="20"/>
              </w:rPr>
            </w:pPr>
            <w:r w:rsidRPr="00F473F9">
              <w:rPr>
                <w:rFonts w:ascii="Garamond" w:hAnsi="Garamond" w:cs="Calibri" w:hint="eastAsia"/>
                <w:color w:val="000000" w:themeColor="text1"/>
                <w:sz w:val="20"/>
                <w:szCs w:val="20"/>
              </w:rPr>
              <w:t>0.0428</w:t>
            </w:r>
          </w:p>
        </w:tc>
        <w:tc>
          <w:tcPr>
            <w:tcW w:w="1191" w:type="dxa"/>
            <w:shd w:val="clear" w:color="auto" w:fill="auto"/>
            <w:noWrap/>
            <w:vAlign w:val="bottom"/>
            <w:hideMark/>
          </w:tcPr>
          <w:p w:rsidR="00583BD3" w:rsidRPr="00F473F9" w:rsidRDefault="00583BD3" w:rsidP="000727E8">
            <w:pPr>
              <w:rPr>
                <w:rFonts w:ascii="Garamond" w:hAnsi="Garamond" w:cs="Calibri"/>
                <w:color w:val="000000" w:themeColor="text1"/>
                <w:sz w:val="20"/>
                <w:szCs w:val="20"/>
              </w:rPr>
            </w:pPr>
            <w:r w:rsidRPr="00F473F9">
              <w:rPr>
                <w:rFonts w:ascii="Garamond" w:hAnsi="Garamond" w:cs="Calibri" w:hint="eastAsia"/>
                <w:color w:val="000000" w:themeColor="text1"/>
                <w:sz w:val="20"/>
                <w:szCs w:val="20"/>
              </w:rPr>
              <w:t>0.0429</w:t>
            </w:r>
          </w:p>
        </w:tc>
        <w:tc>
          <w:tcPr>
            <w:tcW w:w="1191" w:type="dxa"/>
            <w:shd w:val="clear" w:color="auto" w:fill="auto"/>
            <w:noWrap/>
            <w:vAlign w:val="bottom"/>
            <w:hideMark/>
          </w:tcPr>
          <w:p w:rsidR="00583BD3" w:rsidRPr="00F473F9" w:rsidRDefault="00583BD3" w:rsidP="000727E8">
            <w:pPr>
              <w:rPr>
                <w:rFonts w:ascii="Garamond" w:hAnsi="Garamond" w:cs="Calibri"/>
                <w:color w:val="000000" w:themeColor="text1"/>
                <w:sz w:val="20"/>
                <w:szCs w:val="20"/>
              </w:rPr>
            </w:pPr>
            <w:r w:rsidRPr="00F473F9">
              <w:rPr>
                <w:rFonts w:ascii="Garamond" w:hAnsi="Garamond" w:cs="Calibri" w:hint="eastAsia"/>
                <w:color w:val="000000" w:themeColor="text1"/>
                <w:sz w:val="20"/>
                <w:szCs w:val="20"/>
              </w:rPr>
              <w:t>0.0441</w:t>
            </w:r>
          </w:p>
        </w:tc>
        <w:tc>
          <w:tcPr>
            <w:tcW w:w="1191" w:type="dxa"/>
            <w:shd w:val="clear" w:color="auto" w:fill="auto"/>
            <w:noWrap/>
            <w:vAlign w:val="bottom"/>
            <w:hideMark/>
          </w:tcPr>
          <w:p w:rsidR="00583BD3" w:rsidRPr="00F473F9" w:rsidRDefault="00583BD3" w:rsidP="000727E8">
            <w:pPr>
              <w:rPr>
                <w:rFonts w:ascii="Garamond" w:hAnsi="Garamond" w:cs="Calibri"/>
                <w:color w:val="000000" w:themeColor="text1"/>
                <w:sz w:val="20"/>
                <w:szCs w:val="20"/>
              </w:rPr>
            </w:pPr>
            <w:r w:rsidRPr="00F473F9">
              <w:rPr>
                <w:rFonts w:ascii="Garamond" w:hAnsi="Garamond" w:cs="Calibri" w:hint="eastAsia"/>
                <w:color w:val="000000" w:themeColor="text1"/>
                <w:sz w:val="20"/>
                <w:szCs w:val="20"/>
              </w:rPr>
              <w:t>0.0434</w:t>
            </w:r>
          </w:p>
        </w:tc>
        <w:tc>
          <w:tcPr>
            <w:tcW w:w="1191" w:type="dxa"/>
            <w:shd w:val="clear" w:color="auto" w:fill="auto"/>
            <w:noWrap/>
            <w:vAlign w:val="bottom"/>
            <w:hideMark/>
          </w:tcPr>
          <w:p w:rsidR="00583BD3" w:rsidRPr="00F473F9" w:rsidRDefault="00583BD3" w:rsidP="000727E8">
            <w:pPr>
              <w:rPr>
                <w:rFonts w:ascii="Garamond" w:hAnsi="Garamond" w:cs="Calibri"/>
                <w:color w:val="000000" w:themeColor="text1"/>
                <w:sz w:val="20"/>
                <w:szCs w:val="20"/>
              </w:rPr>
            </w:pPr>
            <w:r w:rsidRPr="00F473F9">
              <w:rPr>
                <w:rFonts w:ascii="Garamond" w:hAnsi="Garamond" w:cs="Calibri" w:hint="eastAsia"/>
                <w:color w:val="000000" w:themeColor="text1"/>
                <w:sz w:val="20"/>
                <w:szCs w:val="20"/>
              </w:rPr>
              <w:t>0.0433</w:t>
            </w:r>
          </w:p>
        </w:tc>
      </w:tr>
      <w:tr w:rsidR="00583BD3" w:rsidRPr="00903CDC" w:rsidTr="000727E8">
        <w:trPr>
          <w:trHeight w:hRule="exact" w:val="255"/>
        </w:trPr>
        <w:tc>
          <w:tcPr>
            <w:tcW w:w="2438" w:type="dxa"/>
            <w:shd w:val="clear" w:color="auto" w:fill="auto"/>
            <w:noWrap/>
            <w:hideMark/>
          </w:tcPr>
          <w:p w:rsidR="00583BD3" w:rsidRPr="003B3AEF" w:rsidRDefault="00583BD3" w:rsidP="000727E8">
            <w:pPr>
              <w:jc w:val="center"/>
              <w:rPr>
                <w:rFonts w:ascii="Garamond" w:hAnsi="Garamond" w:cs="Calibri"/>
                <w:color w:val="000000" w:themeColor="text1"/>
                <w:sz w:val="20"/>
                <w:szCs w:val="20"/>
              </w:rPr>
            </w:pPr>
            <w:r w:rsidRPr="003B3AEF">
              <w:rPr>
                <w:rFonts w:ascii="Garamond" w:hAnsi="Garamond" w:cs="Calibri"/>
                <w:color w:val="000000" w:themeColor="text1"/>
                <w:sz w:val="20"/>
                <w:szCs w:val="20"/>
              </w:rPr>
              <w:t>No. of Observation</w:t>
            </w:r>
          </w:p>
        </w:tc>
        <w:tc>
          <w:tcPr>
            <w:tcW w:w="1191" w:type="dxa"/>
            <w:shd w:val="clear" w:color="auto" w:fill="auto"/>
            <w:noWrap/>
            <w:vAlign w:val="bottom"/>
            <w:hideMark/>
          </w:tcPr>
          <w:p w:rsidR="00583BD3" w:rsidRPr="003B3AEF" w:rsidRDefault="00583BD3" w:rsidP="000727E8">
            <w:pPr>
              <w:rPr>
                <w:rFonts w:ascii="Garamond" w:hAnsi="Garamond" w:cs="Calibri"/>
                <w:color w:val="000000" w:themeColor="text1"/>
                <w:sz w:val="20"/>
                <w:szCs w:val="20"/>
              </w:rPr>
            </w:pPr>
            <w:r w:rsidRPr="00903CDC">
              <w:rPr>
                <w:rFonts w:ascii="Garamond" w:hAnsi="Garamond" w:cs="Calibri"/>
                <w:color w:val="000000" w:themeColor="text1"/>
                <w:sz w:val="20"/>
                <w:szCs w:val="20"/>
              </w:rPr>
              <w:t>2,282</w:t>
            </w:r>
          </w:p>
        </w:tc>
        <w:tc>
          <w:tcPr>
            <w:tcW w:w="1191" w:type="dxa"/>
            <w:shd w:val="clear" w:color="auto" w:fill="auto"/>
            <w:noWrap/>
            <w:vAlign w:val="bottom"/>
            <w:hideMark/>
          </w:tcPr>
          <w:p w:rsidR="00583BD3" w:rsidRPr="003B3AEF" w:rsidRDefault="00583BD3" w:rsidP="000727E8">
            <w:pPr>
              <w:rPr>
                <w:rFonts w:ascii="Garamond" w:hAnsi="Garamond" w:cs="Calibri"/>
                <w:color w:val="000000" w:themeColor="text1"/>
                <w:sz w:val="20"/>
                <w:szCs w:val="20"/>
              </w:rPr>
            </w:pPr>
            <w:r w:rsidRPr="00903CDC">
              <w:rPr>
                <w:rFonts w:ascii="Garamond" w:hAnsi="Garamond" w:cs="Calibri"/>
                <w:color w:val="000000" w:themeColor="text1"/>
                <w:sz w:val="20"/>
                <w:szCs w:val="20"/>
              </w:rPr>
              <w:t>2,282</w:t>
            </w:r>
          </w:p>
        </w:tc>
        <w:tc>
          <w:tcPr>
            <w:tcW w:w="1191" w:type="dxa"/>
            <w:shd w:val="clear" w:color="auto" w:fill="auto"/>
            <w:noWrap/>
            <w:vAlign w:val="bottom"/>
            <w:hideMark/>
          </w:tcPr>
          <w:p w:rsidR="00583BD3" w:rsidRPr="003B3AEF" w:rsidRDefault="00583BD3" w:rsidP="000727E8">
            <w:pPr>
              <w:rPr>
                <w:rFonts w:ascii="Garamond" w:hAnsi="Garamond" w:cs="Calibri"/>
                <w:color w:val="000000" w:themeColor="text1"/>
                <w:sz w:val="20"/>
                <w:szCs w:val="20"/>
              </w:rPr>
            </w:pPr>
            <w:r w:rsidRPr="00903CDC">
              <w:rPr>
                <w:rFonts w:ascii="Garamond" w:hAnsi="Garamond" w:cs="Calibri"/>
                <w:color w:val="000000" w:themeColor="text1"/>
                <w:sz w:val="20"/>
                <w:szCs w:val="20"/>
              </w:rPr>
              <w:t>2,282</w:t>
            </w:r>
          </w:p>
        </w:tc>
        <w:tc>
          <w:tcPr>
            <w:tcW w:w="1191" w:type="dxa"/>
            <w:shd w:val="clear" w:color="auto" w:fill="auto"/>
            <w:noWrap/>
            <w:vAlign w:val="bottom"/>
            <w:hideMark/>
          </w:tcPr>
          <w:p w:rsidR="00583BD3" w:rsidRPr="003B3AEF" w:rsidRDefault="00583BD3" w:rsidP="000727E8">
            <w:pPr>
              <w:rPr>
                <w:rFonts w:ascii="Garamond" w:hAnsi="Garamond" w:cs="Calibri"/>
                <w:color w:val="000000" w:themeColor="text1"/>
                <w:sz w:val="20"/>
                <w:szCs w:val="20"/>
              </w:rPr>
            </w:pPr>
            <w:r w:rsidRPr="00903CDC">
              <w:rPr>
                <w:rFonts w:ascii="Garamond" w:hAnsi="Garamond" w:cs="Calibri"/>
                <w:color w:val="000000" w:themeColor="text1"/>
                <w:sz w:val="20"/>
                <w:szCs w:val="20"/>
              </w:rPr>
              <w:t>2,282</w:t>
            </w:r>
          </w:p>
        </w:tc>
        <w:tc>
          <w:tcPr>
            <w:tcW w:w="1191" w:type="dxa"/>
            <w:shd w:val="clear" w:color="auto" w:fill="auto"/>
            <w:noWrap/>
            <w:vAlign w:val="bottom"/>
            <w:hideMark/>
          </w:tcPr>
          <w:p w:rsidR="00583BD3" w:rsidRPr="003B3AEF" w:rsidRDefault="00583BD3" w:rsidP="000727E8">
            <w:pPr>
              <w:rPr>
                <w:rFonts w:ascii="Garamond" w:hAnsi="Garamond" w:cs="Calibri"/>
                <w:color w:val="000000" w:themeColor="text1"/>
                <w:sz w:val="20"/>
                <w:szCs w:val="20"/>
              </w:rPr>
            </w:pPr>
            <w:r w:rsidRPr="00903CDC">
              <w:rPr>
                <w:rFonts w:ascii="Garamond" w:hAnsi="Garamond" w:cs="Calibri"/>
                <w:color w:val="000000" w:themeColor="text1"/>
                <w:sz w:val="20"/>
                <w:szCs w:val="20"/>
              </w:rPr>
              <w:t>2,282</w:t>
            </w:r>
          </w:p>
        </w:tc>
        <w:tc>
          <w:tcPr>
            <w:tcW w:w="1191" w:type="dxa"/>
            <w:shd w:val="clear" w:color="auto" w:fill="auto"/>
            <w:noWrap/>
            <w:vAlign w:val="bottom"/>
            <w:hideMark/>
          </w:tcPr>
          <w:p w:rsidR="00583BD3" w:rsidRPr="003B3AEF" w:rsidRDefault="00583BD3" w:rsidP="000727E8">
            <w:pPr>
              <w:rPr>
                <w:rFonts w:ascii="Garamond" w:hAnsi="Garamond" w:cs="Calibri"/>
                <w:color w:val="000000" w:themeColor="text1"/>
                <w:sz w:val="20"/>
                <w:szCs w:val="20"/>
              </w:rPr>
            </w:pPr>
            <w:r w:rsidRPr="00903CDC">
              <w:rPr>
                <w:rFonts w:ascii="Garamond" w:hAnsi="Garamond" w:cs="Calibri"/>
                <w:color w:val="000000" w:themeColor="text1"/>
                <w:sz w:val="20"/>
                <w:szCs w:val="20"/>
              </w:rPr>
              <w:t>2,282</w:t>
            </w:r>
          </w:p>
        </w:tc>
      </w:tr>
      <w:tr w:rsidR="00583BD3" w:rsidRPr="00903CDC" w:rsidTr="000727E8">
        <w:trPr>
          <w:trHeight w:hRule="exact" w:val="255"/>
        </w:trPr>
        <w:tc>
          <w:tcPr>
            <w:tcW w:w="2438" w:type="dxa"/>
            <w:shd w:val="clear" w:color="auto" w:fill="auto"/>
            <w:noWrap/>
            <w:hideMark/>
          </w:tcPr>
          <w:p w:rsidR="00583BD3" w:rsidRPr="003B3AEF" w:rsidRDefault="00583BD3" w:rsidP="000727E8">
            <w:pPr>
              <w:jc w:val="center"/>
              <w:rPr>
                <w:rFonts w:ascii="Garamond" w:hAnsi="Garamond" w:cs="Calibri"/>
                <w:color w:val="000000" w:themeColor="text1"/>
                <w:sz w:val="20"/>
                <w:szCs w:val="20"/>
              </w:rPr>
            </w:pPr>
            <w:r w:rsidRPr="003B3AEF">
              <w:rPr>
                <w:rFonts w:ascii="Garamond" w:hAnsi="Garamond" w:cs="Calibri"/>
                <w:color w:val="000000" w:themeColor="text1"/>
                <w:sz w:val="20"/>
                <w:szCs w:val="20"/>
              </w:rPr>
              <w:t>No. of Female CFOs</w:t>
            </w:r>
          </w:p>
        </w:tc>
        <w:tc>
          <w:tcPr>
            <w:tcW w:w="1191" w:type="dxa"/>
            <w:shd w:val="clear" w:color="auto" w:fill="auto"/>
            <w:noWrap/>
            <w:vAlign w:val="center"/>
            <w:hideMark/>
          </w:tcPr>
          <w:p w:rsidR="00583BD3" w:rsidRPr="003B3AEF" w:rsidRDefault="00583BD3" w:rsidP="000727E8">
            <w:pPr>
              <w:rPr>
                <w:rFonts w:ascii="Garamond" w:hAnsi="Garamond" w:cs="Calibri"/>
                <w:color w:val="000000" w:themeColor="text1"/>
                <w:sz w:val="20"/>
                <w:szCs w:val="20"/>
              </w:rPr>
            </w:pPr>
            <w:r w:rsidRPr="00903CDC">
              <w:rPr>
                <w:rFonts w:ascii="Garamond" w:hAnsi="Garamond" w:cs="Calibri"/>
                <w:color w:val="000000" w:themeColor="text1"/>
                <w:sz w:val="20"/>
                <w:szCs w:val="20"/>
              </w:rPr>
              <w:t>174</w:t>
            </w:r>
          </w:p>
        </w:tc>
        <w:tc>
          <w:tcPr>
            <w:tcW w:w="1191" w:type="dxa"/>
            <w:shd w:val="clear" w:color="auto" w:fill="auto"/>
            <w:noWrap/>
            <w:vAlign w:val="center"/>
            <w:hideMark/>
          </w:tcPr>
          <w:p w:rsidR="00583BD3" w:rsidRPr="003B3AEF" w:rsidRDefault="00583BD3" w:rsidP="000727E8">
            <w:pPr>
              <w:rPr>
                <w:rFonts w:ascii="Garamond" w:hAnsi="Garamond" w:cs="Calibri"/>
                <w:color w:val="000000" w:themeColor="text1"/>
                <w:sz w:val="20"/>
                <w:szCs w:val="20"/>
              </w:rPr>
            </w:pPr>
            <w:r w:rsidRPr="00903CDC">
              <w:rPr>
                <w:rFonts w:ascii="Garamond" w:hAnsi="Garamond" w:cs="Calibri"/>
                <w:color w:val="000000" w:themeColor="text1"/>
                <w:sz w:val="20"/>
                <w:szCs w:val="20"/>
              </w:rPr>
              <w:t>174</w:t>
            </w:r>
          </w:p>
        </w:tc>
        <w:tc>
          <w:tcPr>
            <w:tcW w:w="1191" w:type="dxa"/>
            <w:shd w:val="clear" w:color="auto" w:fill="auto"/>
            <w:noWrap/>
            <w:vAlign w:val="center"/>
            <w:hideMark/>
          </w:tcPr>
          <w:p w:rsidR="00583BD3" w:rsidRPr="003B3AEF" w:rsidRDefault="00583BD3" w:rsidP="000727E8">
            <w:pPr>
              <w:rPr>
                <w:rFonts w:ascii="Garamond" w:hAnsi="Garamond" w:cs="Calibri"/>
                <w:color w:val="000000" w:themeColor="text1"/>
                <w:sz w:val="20"/>
                <w:szCs w:val="20"/>
              </w:rPr>
            </w:pPr>
            <w:r w:rsidRPr="00903CDC">
              <w:rPr>
                <w:rFonts w:ascii="Garamond" w:hAnsi="Garamond" w:cs="Calibri"/>
                <w:color w:val="000000" w:themeColor="text1"/>
                <w:sz w:val="20"/>
                <w:szCs w:val="20"/>
              </w:rPr>
              <w:t>174</w:t>
            </w:r>
          </w:p>
        </w:tc>
        <w:tc>
          <w:tcPr>
            <w:tcW w:w="1191" w:type="dxa"/>
            <w:shd w:val="clear" w:color="auto" w:fill="auto"/>
            <w:noWrap/>
            <w:vAlign w:val="center"/>
            <w:hideMark/>
          </w:tcPr>
          <w:p w:rsidR="00583BD3" w:rsidRPr="003B3AEF" w:rsidRDefault="00583BD3" w:rsidP="000727E8">
            <w:pPr>
              <w:rPr>
                <w:rFonts w:ascii="Garamond" w:hAnsi="Garamond" w:cs="Calibri"/>
                <w:color w:val="000000" w:themeColor="text1"/>
                <w:sz w:val="20"/>
                <w:szCs w:val="20"/>
              </w:rPr>
            </w:pPr>
            <w:r w:rsidRPr="00903CDC">
              <w:rPr>
                <w:rFonts w:ascii="Garamond" w:hAnsi="Garamond" w:cs="Calibri"/>
                <w:color w:val="000000" w:themeColor="text1"/>
                <w:sz w:val="20"/>
                <w:szCs w:val="20"/>
              </w:rPr>
              <w:t>174</w:t>
            </w:r>
          </w:p>
        </w:tc>
        <w:tc>
          <w:tcPr>
            <w:tcW w:w="1191" w:type="dxa"/>
            <w:shd w:val="clear" w:color="auto" w:fill="auto"/>
            <w:noWrap/>
            <w:vAlign w:val="center"/>
            <w:hideMark/>
          </w:tcPr>
          <w:p w:rsidR="00583BD3" w:rsidRPr="003B3AEF" w:rsidRDefault="00583BD3" w:rsidP="000727E8">
            <w:pPr>
              <w:rPr>
                <w:rFonts w:ascii="Garamond" w:hAnsi="Garamond" w:cs="Calibri"/>
                <w:color w:val="000000" w:themeColor="text1"/>
                <w:sz w:val="20"/>
                <w:szCs w:val="20"/>
              </w:rPr>
            </w:pPr>
            <w:r w:rsidRPr="00903CDC">
              <w:rPr>
                <w:rFonts w:ascii="Garamond" w:hAnsi="Garamond" w:cs="Calibri"/>
                <w:color w:val="000000" w:themeColor="text1"/>
                <w:sz w:val="20"/>
                <w:szCs w:val="20"/>
              </w:rPr>
              <w:t>174</w:t>
            </w:r>
          </w:p>
        </w:tc>
        <w:tc>
          <w:tcPr>
            <w:tcW w:w="1191" w:type="dxa"/>
            <w:shd w:val="clear" w:color="auto" w:fill="auto"/>
            <w:noWrap/>
            <w:vAlign w:val="center"/>
            <w:hideMark/>
          </w:tcPr>
          <w:p w:rsidR="00583BD3" w:rsidRPr="003B3AEF" w:rsidRDefault="00583BD3" w:rsidP="000727E8">
            <w:pPr>
              <w:rPr>
                <w:rFonts w:ascii="Garamond" w:hAnsi="Garamond" w:cs="Calibri"/>
                <w:color w:val="000000" w:themeColor="text1"/>
                <w:sz w:val="20"/>
                <w:szCs w:val="20"/>
              </w:rPr>
            </w:pPr>
            <w:r w:rsidRPr="00903CDC">
              <w:rPr>
                <w:rFonts w:ascii="Garamond" w:hAnsi="Garamond" w:cs="Calibri"/>
                <w:color w:val="000000" w:themeColor="text1"/>
                <w:sz w:val="20"/>
                <w:szCs w:val="20"/>
              </w:rPr>
              <w:t>174</w:t>
            </w:r>
          </w:p>
        </w:tc>
      </w:tr>
      <w:tr w:rsidR="00583BD3" w:rsidRPr="00BA1FEC" w:rsidTr="000727E8">
        <w:trPr>
          <w:trHeight w:hRule="exact" w:val="255"/>
        </w:trPr>
        <w:tc>
          <w:tcPr>
            <w:tcW w:w="2438" w:type="dxa"/>
            <w:shd w:val="clear" w:color="auto" w:fill="auto"/>
            <w:noWrap/>
            <w:hideMark/>
          </w:tcPr>
          <w:p w:rsidR="00583BD3" w:rsidRPr="003B3AEF" w:rsidRDefault="00583BD3" w:rsidP="000727E8">
            <w:pPr>
              <w:jc w:val="center"/>
              <w:rPr>
                <w:rFonts w:ascii="Garamond" w:hAnsi="Garamond" w:cs="Calibri"/>
                <w:color w:val="000000" w:themeColor="text1"/>
                <w:sz w:val="20"/>
                <w:szCs w:val="20"/>
              </w:rPr>
            </w:pPr>
            <w:r>
              <w:rPr>
                <w:rFonts w:ascii="Garamond" w:hAnsi="Garamond" w:cs="Calibri"/>
                <w:color w:val="000000" w:themeColor="text1"/>
                <w:sz w:val="20"/>
                <w:szCs w:val="20"/>
              </w:rPr>
              <w:t>Average Leverage</w:t>
            </w:r>
          </w:p>
        </w:tc>
        <w:tc>
          <w:tcPr>
            <w:tcW w:w="1191" w:type="dxa"/>
            <w:shd w:val="clear" w:color="auto" w:fill="auto"/>
            <w:noWrap/>
            <w:vAlign w:val="center"/>
            <w:hideMark/>
          </w:tcPr>
          <w:p w:rsidR="00583BD3" w:rsidRPr="003B3AEF" w:rsidRDefault="00583BD3" w:rsidP="000727E8">
            <w:pPr>
              <w:rPr>
                <w:rFonts w:ascii="Garamond" w:hAnsi="Garamond"/>
                <w:color w:val="000000"/>
                <w:sz w:val="20"/>
                <w:szCs w:val="20"/>
              </w:rPr>
            </w:pPr>
            <w:r>
              <w:rPr>
                <w:rFonts w:ascii="Garamond" w:hAnsi="Garamond"/>
                <w:color w:val="000000"/>
                <w:sz w:val="20"/>
                <w:szCs w:val="20"/>
              </w:rPr>
              <w:t>0.2609</w:t>
            </w:r>
          </w:p>
        </w:tc>
        <w:tc>
          <w:tcPr>
            <w:tcW w:w="1191" w:type="dxa"/>
            <w:shd w:val="clear" w:color="auto" w:fill="auto"/>
            <w:noWrap/>
            <w:vAlign w:val="center"/>
            <w:hideMark/>
          </w:tcPr>
          <w:p w:rsidR="00583BD3" w:rsidRPr="003B3AEF" w:rsidRDefault="00583BD3" w:rsidP="000727E8">
            <w:pPr>
              <w:rPr>
                <w:rFonts w:ascii="Garamond" w:hAnsi="Garamond"/>
                <w:color w:val="000000"/>
                <w:sz w:val="20"/>
                <w:szCs w:val="20"/>
              </w:rPr>
            </w:pPr>
            <w:r>
              <w:rPr>
                <w:rFonts w:ascii="Garamond" w:hAnsi="Garamond"/>
                <w:color w:val="000000"/>
                <w:sz w:val="20"/>
                <w:szCs w:val="20"/>
              </w:rPr>
              <w:t>0.2609</w:t>
            </w:r>
          </w:p>
        </w:tc>
        <w:tc>
          <w:tcPr>
            <w:tcW w:w="1191" w:type="dxa"/>
            <w:shd w:val="clear" w:color="auto" w:fill="auto"/>
            <w:noWrap/>
            <w:vAlign w:val="center"/>
            <w:hideMark/>
          </w:tcPr>
          <w:p w:rsidR="00583BD3" w:rsidRPr="003B3AEF" w:rsidRDefault="00583BD3" w:rsidP="000727E8">
            <w:pPr>
              <w:rPr>
                <w:rFonts w:ascii="Garamond" w:hAnsi="Garamond"/>
                <w:color w:val="000000"/>
                <w:sz w:val="20"/>
                <w:szCs w:val="20"/>
              </w:rPr>
            </w:pPr>
            <w:r>
              <w:rPr>
                <w:rFonts w:ascii="Garamond" w:hAnsi="Garamond"/>
                <w:color w:val="000000"/>
                <w:sz w:val="20"/>
                <w:szCs w:val="20"/>
              </w:rPr>
              <w:t>0.2609</w:t>
            </w:r>
          </w:p>
        </w:tc>
        <w:tc>
          <w:tcPr>
            <w:tcW w:w="1191" w:type="dxa"/>
            <w:shd w:val="clear" w:color="auto" w:fill="auto"/>
            <w:noWrap/>
            <w:vAlign w:val="center"/>
            <w:hideMark/>
          </w:tcPr>
          <w:p w:rsidR="00583BD3" w:rsidRPr="003B3AEF" w:rsidRDefault="00583BD3" w:rsidP="000727E8">
            <w:pPr>
              <w:rPr>
                <w:rFonts w:ascii="Garamond" w:hAnsi="Garamond"/>
                <w:color w:val="000000"/>
                <w:sz w:val="20"/>
                <w:szCs w:val="20"/>
              </w:rPr>
            </w:pPr>
            <w:r>
              <w:rPr>
                <w:rFonts w:ascii="Garamond" w:hAnsi="Garamond"/>
                <w:color w:val="000000"/>
                <w:sz w:val="20"/>
                <w:szCs w:val="20"/>
              </w:rPr>
              <w:t>0.2609</w:t>
            </w:r>
          </w:p>
        </w:tc>
        <w:tc>
          <w:tcPr>
            <w:tcW w:w="1191" w:type="dxa"/>
            <w:shd w:val="clear" w:color="auto" w:fill="auto"/>
            <w:noWrap/>
            <w:vAlign w:val="center"/>
            <w:hideMark/>
          </w:tcPr>
          <w:p w:rsidR="00583BD3" w:rsidRPr="003B3AEF" w:rsidRDefault="00583BD3" w:rsidP="000727E8">
            <w:pPr>
              <w:rPr>
                <w:rFonts w:ascii="Garamond" w:hAnsi="Garamond"/>
                <w:color w:val="000000"/>
                <w:sz w:val="20"/>
                <w:szCs w:val="20"/>
              </w:rPr>
            </w:pPr>
            <w:r>
              <w:rPr>
                <w:rFonts w:ascii="Garamond" w:hAnsi="Garamond"/>
                <w:color w:val="000000"/>
                <w:sz w:val="20"/>
                <w:szCs w:val="20"/>
              </w:rPr>
              <w:t>0.2609</w:t>
            </w:r>
          </w:p>
        </w:tc>
        <w:tc>
          <w:tcPr>
            <w:tcW w:w="1191" w:type="dxa"/>
            <w:shd w:val="clear" w:color="auto" w:fill="auto"/>
            <w:noWrap/>
            <w:vAlign w:val="center"/>
            <w:hideMark/>
          </w:tcPr>
          <w:p w:rsidR="00583BD3" w:rsidRPr="003B3AEF" w:rsidRDefault="00583BD3" w:rsidP="000727E8">
            <w:pPr>
              <w:rPr>
                <w:rFonts w:ascii="Garamond" w:hAnsi="Garamond"/>
                <w:color w:val="000000"/>
                <w:sz w:val="20"/>
                <w:szCs w:val="20"/>
              </w:rPr>
            </w:pPr>
            <w:r>
              <w:rPr>
                <w:rFonts w:ascii="Garamond" w:hAnsi="Garamond"/>
                <w:color w:val="000000"/>
                <w:sz w:val="20"/>
                <w:szCs w:val="20"/>
              </w:rPr>
              <w:t>0.2609</w:t>
            </w:r>
          </w:p>
        </w:tc>
      </w:tr>
    </w:tbl>
    <w:p w:rsidR="00583BD3" w:rsidRDefault="00583BD3" w:rsidP="00583BD3">
      <w:pPr>
        <w:sectPr w:rsidR="00583BD3">
          <w:pgSz w:w="11906" w:h="16838"/>
          <w:pgMar w:top="1440" w:right="1440" w:bottom="1440" w:left="1440" w:header="708" w:footer="708" w:gutter="0"/>
          <w:cols w:space="708"/>
          <w:docGrid w:linePitch="360"/>
        </w:sectPr>
      </w:pPr>
    </w:p>
    <w:p w:rsidR="00583BD3" w:rsidRPr="007A1B7E" w:rsidRDefault="00583BD3" w:rsidP="00583BD3">
      <w:pPr>
        <w:jc w:val="both"/>
        <w:rPr>
          <w:rFonts w:ascii="Garamond" w:hAnsi="Garamond"/>
          <w:b/>
          <w:color w:val="000000" w:themeColor="text1"/>
          <w:sz w:val="20"/>
        </w:rPr>
      </w:pPr>
      <w:r w:rsidRPr="000166C6">
        <w:rPr>
          <w:rFonts w:ascii="Garamond" w:hAnsi="Garamond"/>
          <w:b/>
          <w:color w:val="000000" w:themeColor="text1"/>
          <w:sz w:val="20"/>
        </w:rPr>
        <w:lastRenderedPageBreak/>
        <w:t>Table 1</w:t>
      </w:r>
      <w:r>
        <w:rPr>
          <w:rFonts w:ascii="Garamond" w:hAnsi="Garamond"/>
          <w:b/>
          <w:color w:val="000000" w:themeColor="text1"/>
          <w:sz w:val="20"/>
        </w:rPr>
        <w:t>3: Heckman two-stage regression</w:t>
      </w:r>
    </w:p>
    <w:p w:rsidR="00583BD3" w:rsidRPr="00770479" w:rsidRDefault="00583BD3" w:rsidP="00583BD3">
      <w:pPr>
        <w:jc w:val="both"/>
        <w:rPr>
          <w:rFonts w:ascii="Garamond" w:hAnsi="Garamond"/>
          <w:color w:val="000000" w:themeColor="text1"/>
          <w:sz w:val="16"/>
          <w:szCs w:val="16"/>
        </w:rPr>
      </w:pPr>
      <w:r w:rsidRPr="00770479">
        <w:rPr>
          <w:rFonts w:ascii="Garamond" w:hAnsi="Garamond"/>
          <w:color w:val="000000" w:themeColor="text1"/>
          <w:sz w:val="16"/>
          <w:szCs w:val="16"/>
        </w:rPr>
        <w:t xml:space="preserve">In the first stage, we use </w:t>
      </w:r>
      <w:r w:rsidRPr="00770479">
        <w:rPr>
          <w:rFonts w:ascii="Garamond" w:hAnsi="Garamond" w:cs="Calibri"/>
          <w:color w:val="000000" w:themeColor="text1"/>
          <w:sz w:val="16"/>
          <w:szCs w:val="16"/>
        </w:rPr>
        <w:t xml:space="preserve">CFO Female </w:t>
      </w:r>
      <w:proofErr w:type="spellStart"/>
      <w:r w:rsidRPr="00770479">
        <w:rPr>
          <w:rFonts w:ascii="Garamond" w:hAnsi="Garamond" w:cs="Calibri"/>
          <w:color w:val="000000" w:themeColor="text1"/>
          <w:sz w:val="16"/>
          <w:szCs w:val="16"/>
        </w:rPr>
        <w:t>Dummy</w:t>
      </w:r>
      <w:r w:rsidRPr="00770479">
        <w:rPr>
          <w:rFonts w:ascii="Garamond" w:hAnsi="Garamond" w:cs="Calibri"/>
          <w:color w:val="000000" w:themeColor="text1"/>
          <w:sz w:val="16"/>
          <w:szCs w:val="16"/>
          <w:vertAlign w:val="subscript"/>
        </w:rPr>
        <w:t>t</w:t>
      </w:r>
      <w:proofErr w:type="spellEnd"/>
      <w:r w:rsidRPr="00770479">
        <w:rPr>
          <w:rFonts w:ascii="Garamond" w:hAnsi="Garamond"/>
          <w:color w:val="000000" w:themeColor="text1"/>
          <w:sz w:val="16"/>
          <w:szCs w:val="16"/>
        </w:rPr>
        <w:t xml:space="preserve"> as the dependent variable and run a </w:t>
      </w:r>
      <w:proofErr w:type="spellStart"/>
      <w:proofErr w:type="gramStart"/>
      <w:r w:rsidR="00A10306">
        <w:rPr>
          <w:rFonts w:ascii="Garamond" w:hAnsi="Garamond"/>
          <w:color w:val="000000" w:themeColor="text1"/>
          <w:sz w:val="16"/>
          <w:szCs w:val="16"/>
        </w:rPr>
        <w:t>P</w:t>
      </w:r>
      <w:r w:rsidR="00A10306" w:rsidRPr="00770479">
        <w:rPr>
          <w:rFonts w:ascii="Garamond" w:hAnsi="Garamond"/>
          <w:color w:val="000000" w:themeColor="text1"/>
          <w:sz w:val="16"/>
          <w:szCs w:val="16"/>
        </w:rPr>
        <w:t>robit</w:t>
      </w:r>
      <w:proofErr w:type="spellEnd"/>
      <w:proofErr w:type="gramEnd"/>
      <w:r w:rsidR="00A10306" w:rsidRPr="00770479">
        <w:rPr>
          <w:rFonts w:ascii="Garamond" w:hAnsi="Garamond"/>
          <w:color w:val="000000" w:themeColor="text1"/>
          <w:sz w:val="16"/>
          <w:szCs w:val="16"/>
        </w:rPr>
        <w:t xml:space="preserve"> </w:t>
      </w:r>
      <w:r w:rsidRPr="00770479">
        <w:rPr>
          <w:rFonts w:ascii="Garamond" w:hAnsi="Garamond"/>
          <w:color w:val="000000" w:themeColor="text1"/>
          <w:sz w:val="16"/>
          <w:szCs w:val="16"/>
        </w:rPr>
        <w:t xml:space="preserve">regression. </w:t>
      </w:r>
      <w:r w:rsidRPr="00770479">
        <w:rPr>
          <w:rFonts w:ascii="Garamond" w:hAnsi="Garamond" w:cs="Calibri" w:hint="eastAsia"/>
          <w:color w:val="000000" w:themeColor="text1"/>
          <w:sz w:val="16"/>
          <w:szCs w:val="16"/>
        </w:rPr>
        <w:t xml:space="preserve">Average of Female </w:t>
      </w:r>
      <w:proofErr w:type="spellStart"/>
      <w:r w:rsidRPr="00770479">
        <w:rPr>
          <w:rFonts w:ascii="Garamond" w:hAnsi="Garamond" w:cs="Calibri" w:hint="eastAsia"/>
          <w:color w:val="000000" w:themeColor="text1"/>
          <w:sz w:val="16"/>
          <w:szCs w:val="16"/>
        </w:rPr>
        <w:t>Directors</w:t>
      </w:r>
      <w:r w:rsidRPr="00770479">
        <w:rPr>
          <w:rFonts w:ascii="Garamond" w:hAnsi="Garamond" w:cs="Calibri"/>
          <w:color w:val="000000"/>
          <w:sz w:val="16"/>
          <w:szCs w:val="16"/>
          <w:vertAlign w:val="subscript"/>
        </w:rPr>
        <w:t>t</w:t>
      </w:r>
      <w:proofErr w:type="spellEnd"/>
      <w:r w:rsidRPr="00770479">
        <w:rPr>
          <w:rFonts w:ascii="Garamond" w:hAnsi="Garamond"/>
          <w:color w:val="000000" w:themeColor="text1"/>
          <w:sz w:val="16"/>
          <w:szCs w:val="16"/>
        </w:rPr>
        <w:t xml:space="preserve"> is an exogenous variable, which is the mean </w:t>
      </w:r>
      <w:r>
        <w:rPr>
          <w:rFonts w:ascii="Garamond" w:hAnsi="Garamond"/>
          <w:color w:val="000000" w:themeColor="text1"/>
          <w:sz w:val="16"/>
          <w:szCs w:val="16"/>
        </w:rPr>
        <w:t>%</w:t>
      </w:r>
      <w:r w:rsidRPr="00770479">
        <w:rPr>
          <w:rFonts w:ascii="Garamond" w:hAnsi="Garamond"/>
          <w:color w:val="000000" w:themeColor="text1"/>
          <w:sz w:val="16"/>
          <w:szCs w:val="16"/>
        </w:rPr>
        <w:t xml:space="preserve"> of appointing Female directors in the market in year t, excluding the firm concerned. In the second stage, we add IMR</w:t>
      </w:r>
      <w:r w:rsidRPr="00770479">
        <w:rPr>
          <w:rFonts w:ascii="Garamond" w:hAnsi="Garamond" w:cs="Calibri"/>
          <w:color w:val="000000"/>
          <w:sz w:val="16"/>
          <w:szCs w:val="16"/>
          <w:vertAlign w:val="subscript"/>
        </w:rPr>
        <w:t>t-1</w:t>
      </w:r>
      <w:r w:rsidRPr="00770479">
        <w:rPr>
          <w:rFonts w:ascii="Garamond" w:hAnsi="Garamond"/>
          <w:color w:val="000000" w:themeColor="text1"/>
          <w:sz w:val="16"/>
          <w:szCs w:val="16"/>
        </w:rPr>
        <w:t xml:space="preserve"> </w:t>
      </w:r>
      <w:r w:rsidR="00A10306">
        <w:rPr>
          <w:rFonts w:ascii="Garamond" w:hAnsi="Garamond"/>
          <w:color w:val="000000" w:themeColor="text1"/>
          <w:sz w:val="16"/>
          <w:szCs w:val="16"/>
        </w:rPr>
        <w:t xml:space="preserve">(inverse Mills ratio) </w:t>
      </w:r>
      <w:r w:rsidRPr="00770479">
        <w:rPr>
          <w:rFonts w:ascii="Garamond" w:hAnsi="Garamond"/>
          <w:color w:val="000000" w:themeColor="text1"/>
          <w:sz w:val="16"/>
          <w:szCs w:val="16"/>
        </w:rPr>
        <w:t xml:space="preserve">from first stage in our regression and run the regression of </w:t>
      </w:r>
      <w:r w:rsidRPr="00770479">
        <w:rPr>
          <w:rFonts w:ascii="Garamond" w:hAnsi="Garamond" w:cs="Calibri"/>
          <w:color w:val="000000" w:themeColor="text1"/>
          <w:sz w:val="16"/>
          <w:szCs w:val="16"/>
        </w:rPr>
        <w:t>CFO Female Dummy</w:t>
      </w:r>
      <w:r w:rsidRPr="00770479">
        <w:rPr>
          <w:rFonts w:ascii="Garamond" w:hAnsi="Garamond" w:cs="Calibri"/>
          <w:color w:val="000000" w:themeColor="text1"/>
          <w:sz w:val="16"/>
          <w:szCs w:val="16"/>
          <w:vertAlign w:val="subscript"/>
        </w:rPr>
        <w:t>t</w:t>
      </w:r>
      <w:r>
        <w:rPr>
          <w:rFonts w:ascii="Garamond" w:hAnsi="Garamond" w:cs="Calibri"/>
          <w:color w:val="000000" w:themeColor="text1"/>
          <w:sz w:val="16"/>
          <w:szCs w:val="16"/>
          <w:vertAlign w:val="subscript"/>
        </w:rPr>
        <w:t>-1</w:t>
      </w:r>
      <w:r w:rsidRPr="00770479">
        <w:rPr>
          <w:rFonts w:ascii="Garamond" w:hAnsi="Garamond"/>
          <w:color w:val="000000" w:themeColor="text1"/>
          <w:sz w:val="16"/>
          <w:szCs w:val="16"/>
        </w:rPr>
        <w:t xml:space="preserve"> on </w:t>
      </w:r>
      <w:proofErr w:type="spellStart"/>
      <w:r>
        <w:rPr>
          <w:rFonts w:ascii="Garamond" w:hAnsi="Garamond"/>
          <w:color w:val="000000" w:themeColor="text1"/>
          <w:sz w:val="16"/>
          <w:szCs w:val="16"/>
        </w:rPr>
        <w:t>Leverage</w:t>
      </w:r>
      <w:r w:rsidR="00501547" w:rsidRPr="00770479">
        <w:rPr>
          <w:rFonts w:ascii="Garamond" w:hAnsi="Garamond" w:cs="Calibri"/>
          <w:color w:val="000000" w:themeColor="text1"/>
          <w:sz w:val="16"/>
          <w:szCs w:val="16"/>
          <w:vertAlign w:val="subscript"/>
        </w:rPr>
        <w:t>t</w:t>
      </w:r>
      <w:proofErr w:type="spellEnd"/>
      <w:r w:rsidRPr="00770479">
        <w:rPr>
          <w:rFonts w:ascii="Garamond" w:hAnsi="Garamond"/>
          <w:color w:val="000000" w:themeColor="text1"/>
          <w:sz w:val="16"/>
          <w:szCs w:val="16"/>
        </w:rPr>
        <w:t xml:space="preserve">. </w:t>
      </w:r>
      <w:proofErr w:type="gramStart"/>
      <w:r w:rsidRPr="00770479">
        <w:rPr>
          <w:rFonts w:ascii="Garamond" w:hAnsi="Garamond"/>
          <w:i/>
          <w:color w:val="000000" w:themeColor="text1"/>
          <w:sz w:val="16"/>
          <w:szCs w:val="16"/>
        </w:rPr>
        <w:t>t</w:t>
      </w:r>
      <w:r w:rsidRPr="00770479">
        <w:rPr>
          <w:rFonts w:ascii="Garamond" w:hAnsi="Garamond"/>
          <w:color w:val="000000" w:themeColor="text1"/>
          <w:sz w:val="16"/>
          <w:szCs w:val="16"/>
        </w:rPr>
        <w:t>-statistics</w:t>
      </w:r>
      <w:proofErr w:type="gramEnd"/>
      <w:r w:rsidRPr="00770479">
        <w:rPr>
          <w:rFonts w:ascii="Garamond" w:hAnsi="Garamond"/>
          <w:color w:val="000000" w:themeColor="text1"/>
          <w:sz w:val="16"/>
          <w:szCs w:val="16"/>
        </w:rPr>
        <w:t xml:space="preserve"> are reported in parentheses and ***, ** and * indicate significance at the 1%, 5% and 10% level respectively. Standard errors are clustered at firm level.</w:t>
      </w:r>
    </w:p>
    <w:tbl>
      <w:tblPr>
        <w:tblW w:w="10916" w:type="dxa"/>
        <w:tblInd w:w="-743" w:type="dxa"/>
        <w:tblLook w:val="04A0"/>
      </w:tblPr>
      <w:tblGrid>
        <w:gridCol w:w="2079"/>
        <w:gridCol w:w="899"/>
        <w:gridCol w:w="2126"/>
        <w:gridCol w:w="992"/>
        <w:gridCol w:w="992"/>
        <w:gridCol w:w="993"/>
        <w:gridCol w:w="992"/>
        <w:gridCol w:w="850"/>
        <w:gridCol w:w="993"/>
      </w:tblGrid>
      <w:tr w:rsidR="00583BD3" w:rsidRPr="00DD0A30" w:rsidTr="000727E8">
        <w:trPr>
          <w:trHeight w:hRule="exact" w:val="255"/>
        </w:trPr>
        <w:tc>
          <w:tcPr>
            <w:tcW w:w="2978" w:type="dxa"/>
            <w:gridSpan w:val="2"/>
            <w:tcBorders>
              <w:top w:val="single" w:sz="4" w:space="0" w:color="auto"/>
              <w:bottom w:val="single" w:sz="4" w:space="0" w:color="auto"/>
            </w:tcBorders>
            <w:shd w:val="clear" w:color="auto" w:fill="auto"/>
            <w:noWrap/>
            <w:hideMark/>
          </w:tcPr>
          <w:p w:rsidR="00583BD3" w:rsidRPr="00DD0A30" w:rsidRDefault="00583BD3" w:rsidP="00A10306">
            <w:pPr>
              <w:jc w:val="center"/>
              <w:rPr>
                <w:rFonts w:ascii="Garamond" w:hAnsi="Garamond"/>
                <w:sz w:val="16"/>
                <w:szCs w:val="16"/>
              </w:rPr>
            </w:pPr>
            <w:r>
              <w:rPr>
                <w:rFonts w:ascii="Garamond" w:hAnsi="Garamond"/>
                <w:sz w:val="16"/>
                <w:szCs w:val="16"/>
              </w:rPr>
              <w:t xml:space="preserve">Stage 1: </w:t>
            </w:r>
            <w:proofErr w:type="spellStart"/>
            <w:r w:rsidR="00A10306">
              <w:rPr>
                <w:rFonts w:ascii="Garamond" w:hAnsi="Garamond"/>
                <w:sz w:val="16"/>
                <w:szCs w:val="16"/>
              </w:rPr>
              <w:t>Probit</w:t>
            </w:r>
            <w:proofErr w:type="spellEnd"/>
            <w:r w:rsidR="00A10306">
              <w:rPr>
                <w:rFonts w:ascii="Garamond" w:hAnsi="Garamond"/>
                <w:sz w:val="16"/>
                <w:szCs w:val="16"/>
              </w:rPr>
              <w:t xml:space="preserve"> </w:t>
            </w:r>
            <w:r>
              <w:rPr>
                <w:rFonts w:ascii="Garamond" w:hAnsi="Garamond"/>
                <w:sz w:val="16"/>
                <w:szCs w:val="16"/>
              </w:rPr>
              <w:t>regression</w:t>
            </w:r>
          </w:p>
        </w:tc>
        <w:tc>
          <w:tcPr>
            <w:tcW w:w="7938" w:type="dxa"/>
            <w:gridSpan w:val="7"/>
            <w:tcBorders>
              <w:top w:val="single" w:sz="4" w:space="0" w:color="auto"/>
              <w:bottom w:val="single" w:sz="4" w:space="0" w:color="auto"/>
            </w:tcBorders>
            <w:shd w:val="clear" w:color="auto" w:fill="auto"/>
            <w:noWrap/>
            <w:hideMark/>
          </w:tcPr>
          <w:p w:rsidR="00583BD3" w:rsidRPr="00DD0A30" w:rsidRDefault="00583BD3" w:rsidP="000727E8">
            <w:pPr>
              <w:jc w:val="center"/>
              <w:rPr>
                <w:rFonts w:ascii="Garamond" w:hAnsi="Garamond" w:cs="Calibri"/>
                <w:color w:val="000000"/>
                <w:sz w:val="16"/>
                <w:szCs w:val="16"/>
              </w:rPr>
            </w:pPr>
            <w:r>
              <w:rPr>
                <w:rFonts w:ascii="Garamond" w:hAnsi="Garamond" w:cs="Calibri"/>
                <w:color w:val="000000"/>
                <w:sz w:val="16"/>
                <w:szCs w:val="16"/>
              </w:rPr>
              <w:t>Stage 2: OLS regression</w:t>
            </w:r>
          </w:p>
        </w:tc>
      </w:tr>
      <w:tr w:rsidR="00583BD3" w:rsidRPr="00DD0A30" w:rsidTr="000727E8">
        <w:trPr>
          <w:trHeight w:hRule="exact" w:val="255"/>
        </w:trPr>
        <w:tc>
          <w:tcPr>
            <w:tcW w:w="2079" w:type="dxa"/>
            <w:tcBorders>
              <w:top w:val="single" w:sz="4" w:space="0" w:color="auto"/>
              <w:bottom w:val="single" w:sz="4" w:space="0" w:color="auto"/>
            </w:tcBorders>
            <w:shd w:val="clear" w:color="auto" w:fill="auto"/>
            <w:noWrap/>
            <w:hideMark/>
          </w:tcPr>
          <w:p w:rsidR="00583BD3" w:rsidRPr="00C64609" w:rsidRDefault="00583BD3" w:rsidP="000727E8">
            <w:pPr>
              <w:jc w:val="center"/>
              <w:rPr>
                <w:rFonts w:ascii="Garamond" w:hAnsi="Garamond" w:cs="Calibri"/>
                <w:color w:val="000000" w:themeColor="text1"/>
                <w:sz w:val="16"/>
                <w:szCs w:val="16"/>
              </w:rPr>
            </w:pPr>
          </w:p>
        </w:tc>
        <w:tc>
          <w:tcPr>
            <w:tcW w:w="899" w:type="dxa"/>
            <w:tcBorders>
              <w:top w:val="single" w:sz="4" w:space="0" w:color="auto"/>
              <w:bottom w:val="single" w:sz="4" w:space="0" w:color="auto"/>
            </w:tcBorders>
            <w:shd w:val="clear" w:color="auto" w:fill="auto"/>
          </w:tcPr>
          <w:p w:rsidR="00583BD3" w:rsidRPr="00C64609" w:rsidRDefault="00583BD3" w:rsidP="000727E8">
            <w:pPr>
              <w:jc w:val="center"/>
              <w:rPr>
                <w:rFonts w:ascii="Garamond" w:hAnsi="Garamond" w:cs="Calibri"/>
                <w:color w:val="000000" w:themeColor="text1"/>
                <w:sz w:val="16"/>
                <w:szCs w:val="16"/>
              </w:rPr>
            </w:pPr>
            <w:r w:rsidRPr="00C64609">
              <w:rPr>
                <w:rFonts w:ascii="Garamond" w:hAnsi="Garamond" w:cs="Calibri"/>
                <w:color w:val="000000" w:themeColor="text1"/>
                <w:sz w:val="16"/>
                <w:szCs w:val="16"/>
              </w:rPr>
              <w:t>(1)</w:t>
            </w:r>
          </w:p>
        </w:tc>
        <w:tc>
          <w:tcPr>
            <w:tcW w:w="2126" w:type="dxa"/>
            <w:tcBorders>
              <w:top w:val="single" w:sz="4" w:space="0" w:color="auto"/>
              <w:bottom w:val="single" w:sz="4" w:space="0" w:color="auto"/>
            </w:tcBorders>
            <w:shd w:val="clear" w:color="auto" w:fill="auto"/>
            <w:noWrap/>
            <w:hideMark/>
          </w:tcPr>
          <w:p w:rsidR="00583BD3" w:rsidRPr="00DD0A30" w:rsidRDefault="00583BD3" w:rsidP="000727E8">
            <w:pPr>
              <w:jc w:val="center"/>
              <w:rPr>
                <w:rFonts w:ascii="Garamond" w:hAnsi="Garamond" w:cs="Calibri"/>
                <w:color w:val="000000"/>
                <w:sz w:val="16"/>
                <w:szCs w:val="16"/>
              </w:rPr>
            </w:pPr>
          </w:p>
        </w:tc>
        <w:tc>
          <w:tcPr>
            <w:tcW w:w="992" w:type="dxa"/>
            <w:tcBorders>
              <w:top w:val="single" w:sz="4" w:space="0" w:color="auto"/>
              <w:bottom w:val="single" w:sz="4" w:space="0" w:color="auto"/>
            </w:tcBorders>
            <w:shd w:val="clear" w:color="auto" w:fill="auto"/>
            <w:noWrap/>
            <w:hideMark/>
          </w:tcPr>
          <w:p w:rsidR="00583BD3" w:rsidRPr="00DD0A30" w:rsidRDefault="00583BD3" w:rsidP="000727E8">
            <w:pPr>
              <w:jc w:val="center"/>
              <w:rPr>
                <w:rFonts w:ascii="Garamond" w:hAnsi="Garamond" w:cs="Calibri"/>
                <w:color w:val="000000"/>
                <w:sz w:val="16"/>
                <w:szCs w:val="16"/>
              </w:rPr>
            </w:pPr>
            <w:r w:rsidRPr="00DD0A30">
              <w:rPr>
                <w:rFonts w:ascii="Garamond" w:hAnsi="Garamond" w:cs="Calibri"/>
                <w:color w:val="000000"/>
                <w:sz w:val="16"/>
                <w:szCs w:val="16"/>
              </w:rPr>
              <w:t>(1)</w:t>
            </w:r>
          </w:p>
        </w:tc>
        <w:tc>
          <w:tcPr>
            <w:tcW w:w="992" w:type="dxa"/>
            <w:tcBorders>
              <w:top w:val="single" w:sz="4" w:space="0" w:color="auto"/>
              <w:bottom w:val="single" w:sz="4" w:space="0" w:color="auto"/>
            </w:tcBorders>
            <w:shd w:val="clear" w:color="auto" w:fill="auto"/>
          </w:tcPr>
          <w:p w:rsidR="00583BD3" w:rsidRPr="00DD0A30" w:rsidRDefault="00583BD3" w:rsidP="000727E8">
            <w:pPr>
              <w:jc w:val="center"/>
              <w:rPr>
                <w:rFonts w:ascii="Garamond" w:hAnsi="Garamond" w:cs="Calibri"/>
                <w:color w:val="000000"/>
                <w:sz w:val="16"/>
                <w:szCs w:val="16"/>
              </w:rPr>
            </w:pPr>
            <w:r w:rsidRPr="00DD0A30">
              <w:rPr>
                <w:rFonts w:ascii="Garamond" w:hAnsi="Garamond" w:cs="Calibri"/>
                <w:color w:val="000000"/>
                <w:sz w:val="16"/>
                <w:szCs w:val="16"/>
              </w:rPr>
              <w:t>(2)</w:t>
            </w:r>
          </w:p>
        </w:tc>
        <w:tc>
          <w:tcPr>
            <w:tcW w:w="993" w:type="dxa"/>
            <w:tcBorders>
              <w:top w:val="single" w:sz="4" w:space="0" w:color="auto"/>
              <w:bottom w:val="single" w:sz="4" w:space="0" w:color="auto"/>
            </w:tcBorders>
            <w:shd w:val="clear" w:color="auto" w:fill="auto"/>
            <w:noWrap/>
            <w:hideMark/>
          </w:tcPr>
          <w:p w:rsidR="00583BD3" w:rsidRPr="00DD0A30" w:rsidRDefault="00583BD3" w:rsidP="000727E8">
            <w:pPr>
              <w:jc w:val="center"/>
              <w:rPr>
                <w:rFonts w:ascii="Garamond" w:hAnsi="Garamond" w:cs="Calibri"/>
                <w:color w:val="000000"/>
                <w:sz w:val="16"/>
                <w:szCs w:val="16"/>
              </w:rPr>
            </w:pPr>
            <w:r w:rsidRPr="00DD0A30">
              <w:rPr>
                <w:rFonts w:ascii="Garamond" w:hAnsi="Garamond" w:cs="Calibri"/>
                <w:color w:val="000000"/>
                <w:sz w:val="16"/>
                <w:szCs w:val="16"/>
              </w:rPr>
              <w:t>(3)</w:t>
            </w:r>
          </w:p>
        </w:tc>
        <w:tc>
          <w:tcPr>
            <w:tcW w:w="992" w:type="dxa"/>
            <w:tcBorders>
              <w:top w:val="single" w:sz="4" w:space="0" w:color="auto"/>
              <w:bottom w:val="single" w:sz="4" w:space="0" w:color="auto"/>
            </w:tcBorders>
            <w:shd w:val="clear" w:color="auto" w:fill="auto"/>
            <w:noWrap/>
            <w:hideMark/>
          </w:tcPr>
          <w:p w:rsidR="00583BD3" w:rsidRPr="00DD0A30" w:rsidRDefault="00583BD3" w:rsidP="000727E8">
            <w:pPr>
              <w:jc w:val="center"/>
              <w:rPr>
                <w:rFonts w:ascii="Garamond" w:hAnsi="Garamond" w:cs="Calibri"/>
                <w:color w:val="000000"/>
                <w:sz w:val="16"/>
                <w:szCs w:val="16"/>
              </w:rPr>
            </w:pPr>
            <w:r w:rsidRPr="00DD0A30">
              <w:rPr>
                <w:rFonts w:ascii="Garamond" w:hAnsi="Garamond" w:cs="Calibri"/>
                <w:color w:val="000000"/>
                <w:sz w:val="16"/>
                <w:szCs w:val="16"/>
              </w:rPr>
              <w:t>(4)</w:t>
            </w:r>
          </w:p>
        </w:tc>
        <w:tc>
          <w:tcPr>
            <w:tcW w:w="850" w:type="dxa"/>
            <w:tcBorders>
              <w:top w:val="single" w:sz="4" w:space="0" w:color="auto"/>
              <w:bottom w:val="single" w:sz="4" w:space="0" w:color="auto"/>
            </w:tcBorders>
            <w:shd w:val="clear" w:color="auto" w:fill="auto"/>
            <w:noWrap/>
            <w:hideMark/>
          </w:tcPr>
          <w:p w:rsidR="00583BD3" w:rsidRPr="00DD0A30" w:rsidRDefault="00583BD3" w:rsidP="000727E8">
            <w:pPr>
              <w:rPr>
                <w:rFonts w:ascii="Garamond" w:hAnsi="Garamond" w:cs="Calibri"/>
                <w:color w:val="000000"/>
                <w:sz w:val="16"/>
                <w:szCs w:val="16"/>
              </w:rPr>
            </w:pPr>
            <w:r w:rsidRPr="00DD0A30">
              <w:rPr>
                <w:rFonts w:ascii="Garamond" w:hAnsi="Garamond" w:cs="Calibri"/>
                <w:color w:val="000000"/>
                <w:sz w:val="16"/>
                <w:szCs w:val="16"/>
              </w:rPr>
              <w:t>(5)</w:t>
            </w:r>
          </w:p>
        </w:tc>
        <w:tc>
          <w:tcPr>
            <w:tcW w:w="993" w:type="dxa"/>
            <w:tcBorders>
              <w:top w:val="single" w:sz="4" w:space="0" w:color="auto"/>
              <w:bottom w:val="single" w:sz="4" w:space="0" w:color="auto"/>
            </w:tcBorders>
            <w:shd w:val="clear" w:color="auto" w:fill="auto"/>
            <w:noWrap/>
            <w:hideMark/>
          </w:tcPr>
          <w:p w:rsidR="00583BD3" w:rsidRPr="00DD0A30" w:rsidRDefault="00583BD3" w:rsidP="000727E8">
            <w:pPr>
              <w:rPr>
                <w:rFonts w:ascii="Garamond" w:hAnsi="Garamond" w:cs="Calibri"/>
                <w:color w:val="000000"/>
                <w:sz w:val="16"/>
                <w:szCs w:val="16"/>
              </w:rPr>
            </w:pPr>
            <w:r w:rsidRPr="00DD0A30">
              <w:rPr>
                <w:rFonts w:ascii="Garamond" w:hAnsi="Garamond" w:cs="Calibri"/>
                <w:color w:val="000000"/>
                <w:sz w:val="16"/>
                <w:szCs w:val="16"/>
              </w:rPr>
              <w:t>(6)</w:t>
            </w:r>
          </w:p>
        </w:tc>
      </w:tr>
      <w:tr w:rsidR="00583BD3" w:rsidRPr="000429AF" w:rsidTr="000727E8">
        <w:trPr>
          <w:trHeight w:hRule="exact" w:val="255"/>
        </w:trPr>
        <w:tc>
          <w:tcPr>
            <w:tcW w:w="2079" w:type="dxa"/>
            <w:tcBorders>
              <w:top w:val="single" w:sz="4" w:space="0" w:color="auto"/>
            </w:tcBorders>
            <w:shd w:val="clear" w:color="auto" w:fill="auto"/>
            <w:noWrap/>
            <w:hideMark/>
          </w:tcPr>
          <w:p w:rsidR="00583BD3" w:rsidRPr="00C64609" w:rsidRDefault="00583BD3" w:rsidP="000727E8">
            <w:pPr>
              <w:jc w:val="center"/>
              <w:rPr>
                <w:rFonts w:ascii="Garamond" w:hAnsi="Garamond" w:cs="Calibri"/>
                <w:color w:val="000000" w:themeColor="text1"/>
                <w:sz w:val="16"/>
                <w:szCs w:val="16"/>
              </w:rPr>
            </w:pPr>
            <w:proofErr w:type="spellStart"/>
            <w:r w:rsidRPr="00C64609">
              <w:rPr>
                <w:rFonts w:ascii="Garamond" w:hAnsi="Garamond" w:cs="Calibri" w:hint="eastAsia"/>
                <w:color w:val="000000" w:themeColor="text1"/>
                <w:sz w:val="16"/>
                <w:szCs w:val="16"/>
              </w:rPr>
              <w:t>Ln</w:t>
            </w:r>
            <w:proofErr w:type="spellEnd"/>
            <w:r w:rsidRPr="00C64609">
              <w:rPr>
                <w:rFonts w:ascii="Garamond" w:hAnsi="Garamond" w:cs="Calibri" w:hint="eastAsia"/>
                <w:color w:val="000000" w:themeColor="text1"/>
                <w:sz w:val="16"/>
                <w:szCs w:val="16"/>
              </w:rPr>
              <w:t>(number of directors)</w:t>
            </w:r>
            <w:r w:rsidRPr="00DD0A30">
              <w:rPr>
                <w:rFonts w:ascii="Garamond" w:hAnsi="Garamond" w:cs="Calibri"/>
                <w:color w:val="000000"/>
                <w:sz w:val="16"/>
                <w:szCs w:val="16"/>
                <w:vertAlign w:val="subscript"/>
              </w:rPr>
              <w:t>t</w:t>
            </w:r>
          </w:p>
          <w:p w:rsidR="00583BD3" w:rsidRPr="00C64609" w:rsidRDefault="00583BD3" w:rsidP="000727E8">
            <w:pPr>
              <w:jc w:val="center"/>
              <w:rPr>
                <w:rFonts w:ascii="Garamond" w:hAnsi="Garamond" w:cs="Calibri"/>
                <w:color w:val="000000" w:themeColor="text1"/>
                <w:sz w:val="16"/>
                <w:szCs w:val="16"/>
              </w:rPr>
            </w:pPr>
          </w:p>
        </w:tc>
        <w:tc>
          <w:tcPr>
            <w:tcW w:w="899" w:type="dxa"/>
            <w:tcBorders>
              <w:top w:val="single" w:sz="4" w:space="0" w:color="auto"/>
            </w:tcBorders>
            <w:shd w:val="clear" w:color="auto" w:fill="auto"/>
            <w:vAlign w:val="center"/>
          </w:tcPr>
          <w:p w:rsidR="00583BD3" w:rsidRPr="00C64609" w:rsidRDefault="00583BD3" w:rsidP="000727E8">
            <w:pPr>
              <w:rPr>
                <w:rFonts w:ascii="Garamond" w:hAnsi="Garamond" w:cs="Calibri"/>
                <w:color w:val="000000" w:themeColor="text1"/>
                <w:sz w:val="16"/>
                <w:szCs w:val="16"/>
              </w:rPr>
            </w:pPr>
            <w:r w:rsidRPr="00C64609">
              <w:rPr>
                <w:rFonts w:ascii="Garamond" w:hAnsi="Garamond" w:cs="Calibri" w:hint="eastAsia"/>
                <w:color w:val="000000" w:themeColor="text1"/>
                <w:sz w:val="16"/>
                <w:szCs w:val="16"/>
              </w:rPr>
              <w:t>1.324**</w:t>
            </w:r>
          </w:p>
        </w:tc>
        <w:tc>
          <w:tcPr>
            <w:tcW w:w="2126" w:type="dxa"/>
            <w:tcBorders>
              <w:top w:val="single" w:sz="4" w:space="0" w:color="auto"/>
            </w:tcBorders>
            <w:shd w:val="clear" w:color="auto" w:fill="auto"/>
          </w:tcPr>
          <w:p w:rsidR="00583BD3" w:rsidRPr="00DD0A30" w:rsidRDefault="00583BD3" w:rsidP="000727E8">
            <w:pPr>
              <w:jc w:val="center"/>
              <w:rPr>
                <w:rFonts w:ascii="Garamond" w:hAnsi="Garamond" w:cs="Calibri"/>
                <w:color w:val="FF0000"/>
                <w:sz w:val="16"/>
                <w:szCs w:val="16"/>
                <w:vertAlign w:val="subscript"/>
              </w:rPr>
            </w:pPr>
            <w:r w:rsidRPr="00DD0A30">
              <w:rPr>
                <w:rFonts w:ascii="Garamond" w:hAnsi="Garamond" w:cs="Calibri"/>
                <w:color w:val="000000" w:themeColor="text1"/>
                <w:sz w:val="16"/>
                <w:szCs w:val="16"/>
              </w:rPr>
              <w:t>CFO Female Dummy</w:t>
            </w:r>
            <w:r w:rsidRPr="00DD0A30">
              <w:rPr>
                <w:rFonts w:ascii="Garamond" w:hAnsi="Garamond" w:cs="Calibri"/>
                <w:color w:val="000000"/>
                <w:sz w:val="16"/>
                <w:szCs w:val="16"/>
                <w:vertAlign w:val="subscript"/>
              </w:rPr>
              <w:t>t-1</w:t>
            </w:r>
          </w:p>
        </w:tc>
        <w:tc>
          <w:tcPr>
            <w:tcW w:w="992" w:type="dxa"/>
            <w:tcBorders>
              <w:top w:val="single" w:sz="4" w:space="0" w:color="auto"/>
            </w:tcBorders>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-0.0633***</w:t>
            </w:r>
          </w:p>
        </w:tc>
        <w:tc>
          <w:tcPr>
            <w:tcW w:w="992" w:type="dxa"/>
            <w:tcBorders>
              <w:top w:val="single" w:sz="4" w:space="0" w:color="auto"/>
            </w:tcBorders>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-0.0513*</w:t>
            </w:r>
          </w:p>
        </w:tc>
        <w:tc>
          <w:tcPr>
            <w:tcW w:w="993" w:type="dxa"/>
            <w:tcBorders>
              <w:top w:val="single" w:sz="4" w:space="0" w:color="auto"/>
            </w:tcBorders>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-0.0635***</w:t>
            </w:r>
          </w:p>
        </w:tc>
        <w:tc>
          <w:tcPr>
            <w:tcW w:w="992" w:type="dxa"/>
            <w:tcBorders>
              <w:top w:val="single" w:sz="4" w:space="0" w:color="auto"/>
            </w:tcBorders>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-0.0643***</w:t>
            </w:r>
          </w:p>
        </w:tc>
        <w:tc>
          <w:tcPr>
            <w:tcW w:w="850" w:type="dxa"/>
            <w:tcBorders>
              <w:top w:val="single" w:sz="4" w:space="0" w:color="auto"/>
            </w:tcBorders>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-0.0524*</w:t>
            </w:r>
          </w:p>
        </w:tc>
        <w:tc>
          <w:tcPr>
            <w:tcW w:w="993" w:type="dxa"/>
            <w:tcBorders>
              <w:top w:val="single" w:sz="4" w:space="0" w:color="auto"/>
            </w:tcBorders>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-0.0606***</w:t>
            </w:r>
          </w:p>
        </w:tc>
      </w:tr>
      <w:tr w:rsidR="00583BD3" w:rsidRPr="000429AF" w:rsidTr="000727E8">
        <w:trPr>
          <w:trHeight w:hRule="exact" w:val="255"/>
        </w:trPr>
        <w:tc>
          <w:tcPr>
            <w:tcW w:w="2079" w:type="dxa"/>
            <w:shd w:val="clear" w:color="auto" w:fill="auto"/>
            <w:noWrap/>
            <w:hideMark/>
          </w:tcPr>
          <w:p w:rsidR="00583BD3" w:rsidRPr="00C64609" w:rsidRDefault="00583BD3" w:rsidP="000727E8">
            <w:pPr>
              <w:jc w:val="center"/>
              <w:rPr>
                <w:rFonts w:ascii="Garamond" w:hAnsi="Garamond" w:cs="Calibri"/>
                <w:color w:val="000000" w:themeColor="text1"/>
                <w:sz w:val="16"/>
                <w:szCs w:val="16"/>
              </w:rPr>
            </w:pPr>
          </w:p>
        </w:tc>
        <w:tc>
          <w:tcPr>
            <w:tcW w:w="899" w:type="dxa"/>
            <w:shd w:val="clear" w:color="auto" w:fill="auto"/>
            <w:vAlign w:val="center"/>
          </w:tcPr>
          <w:p w:rsidR="00583BD3" w:rsidRPr="00C64609" w:rsidRDefault="00583BD3" w:rsidP="000727E8">
            <w:pPr>
              <w:rPr>
                <w:rFonts w:ascii="Garamond" w:hAnsi="Garamond" w:cs="Calibri"/>
                <w:color w:val="000000" w:themeColor="text1"/>
                <w:sz w:val="16"/>
                <w:szCs w:val="16"/>
              </w:rPr>
            </w:pPr>
            <w:r w:rsidRPr="00C64609">
              <w:rPr>
                <w:rFonts w:ascii="Garamond" w:hAnsi="Garamond" w:cs="Calibri" w:hint="eastAsia"/>
                <w:color w:val="000000" w:themeColor="text1"/>
                <w:sz w:val="16"/>
                <w:szCs w:val="16"/>
              </w:rPr>
              <w:t>(2.53)</w:t>
            </w:r>
          </w:p>
        </w:tc>
        <w:tc>
          <w:tcPr>
            <w:tcW w:w="2126" w:type="dxa"/>
            <w:shd w:val="clear" w:color="auto" w:fill="auto"/>
          </w:tcPr>
          <w:p w:rsidR="00583BD3" w:rsidRPr="00DD0A30" w:rsidRDefault="00583BD3" w:rsidP="000727E8">
            <w:pPr>
              <w:jc w:val="center"/>
              <w:rPr>
                <w:rFonts w:ascii="Garamond" w:hAnsi="Garamond" w:cs="Calibri"/>
                <w:color w:val="000000"/>
                <w:sz w:val="16"/>
                <w:szCs w:val="16"/>
              </w:rPr>
            </w:pP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(-3.44)</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(-1.68)</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(-3.51)</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(-3.52)</w:t>
            </w:r>
          </w:p>
        </w:tc>
        <w:tc>
          <w:tcPr>
            <w:tcW w:w="850"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(-1.72)</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(-3.15)</w:t>
            </w:r>
          </w:p>
        </w:tc>
      </w:tr>
      <w:tr w:rsidR="00583BD3" w:rsidRPr="000429AF" w:rsidTr="000727E8">
        <w:trPr>
          <w:trHeight w:hRule="exact" w:val="255"/>
        </w:trPr>
        <w:tc>
          <w:tcPr>
            <w:tcW w:w="2079" w:type="dxa"/>
            <w:shd w:val="clear" w:color="auto" w:fill="auto"/>
            <w:noWrap/>
            <w:hideMark/>
          </w:tcPr>
          <w:p w:rsidR="00583BD3" w:rsidRPr="00C64609" w:rsidRDefault="00583BD3" w:rsidP="000727E8">
            <w:pPr>
              <w:jc w:val="center"/>
              <w:rPr>
                <w:rFonts w:ascii="Garamond" w:hAnsi="Garamond" w:cs="Calibri"/>
                <w:color w:val="000000" w:themeColor="text1"/>
                <w:sz w:val="16"/>
                <w:szCs w:val="16"/>
              </w:rPr>
            </w:pPr>
            <w:r w:rsidRPr="00C64609">
              <w:rPr>
                <w:rFonts w:ascii="Garamond" w:hAnsi="Garamond" w:cs="Calibri" w:hint="eastAsia"/>
                <w:color w:val="000000" w:themeColor="text1"/>
                <w:sz w:val="16"/>
                <w:szCs w:val="16"/>
              </w:rPr>
              <w:t>Industry-</w:t>
            </w:r>
            <w:proofErr w:type="spellStart"/>
            <w:r w:rsidRPr="00C64609">
              <w:rPr>
                <w:rFonts w:ascii="Garamond" w:hAnsi="Garamond" w:cs="Calibri" w:hint="eastAsia"/>
                <w:color w:val="000000" w:themeColor="text1"/>
                <w:sz w:val="16"/>
                <w:szCs w:val="16"/>
              </w:rPr>
              <w:t>Adj</w:t>
            </w:r>
            <w:proofErr w:type="spellEnd"/>
            <w:r w:rsidRPr="00C64609">
              <w:rPr>
                <w:rFonts w:ascii="Garamond" w:hAnsi="Garamond" w:cs="Calibri" w:hint="eastAsia"/>
                <w:color w:val="000000" w:themeColor="text1"/>
                <w:sz w:val="16"/>
                <w:szCs w:val="16"/>
              </w:rPr>
              <w:t xml:space="preserve"> </w:t>
            </w:r>
            <w:proofErr w:type="spellStart"/>
            <w:r w:rsidRPr="00C64609">
              <w:rPr>
                <w:rFonts w:ascii="Garamond" w:hAnsi="Garamond" w:cs="Calibri" w:hint="eastAsia"/>
                <w:color w:val="000000" w:themeColor="text1"/>
                <w:sz w:val="16"/>
                <w:szCs w:val="16"/>
              </w:rPr>
              <w:t>ROA</w:t>
            </w:r>
            <w:r w:rsidRPr="00DD0A30">
              <w:rPr>
                <w:rFonts w:ascii="Garamond" w:hAnsi="Garamond" w:cs="Calibri"/>
                <w:color w:val="000000"/>
                <w:sz w:val="16"/>
                <w:szCs w:val="16"/>
                <w:vertAlign w:val="subscript"/>
              </w:rPr>
              <w:t>t</w:t>
            </w:r>
            <w:proofErr w:type="spellEnd"/>
          </w:p>
          <w:p w:rsidR="00583BD3" w:rsidRPr="00DD0A30" w:rsidRDefault="00583BD3" w:rsidP="000727E8">
            <w:pPr>
              <w:jc w:val="center"/>
              <w:rPr>
                <w:rFonts w:ascii="Garamond" w:hAnsi="Garamond" w:cs="Calibri"/>
                <w:color w:val="000000" w:themeColor="text1"/>
                <w:sz w:val="16"/>
                <w:szCs w:val="16"/>
              </w:rPr>
            </w:pPr>
          </w:p>
        </w:tc>
        <w:tc>
          <w:tcPr>
            <w:tcW w:w="899" w:type="dxa"/>
            <w:shd w:val="clear" w:color="auto" w:fill="auto"/>
            <w:vAlign w:val="center"/>
          </w:tcPr>
          <w:p w:rsidR="00583BD3" w:rsidRPr="00C64609" w:rsidRDefault="00583BD3" w:rsidP="000727E8">
            <w:pPr>
              <w:rPr>
                <w:rFonts w:ascii="Garamond" w:hAnsi="Garamond" w:cs="Calibri"/>
                <w:color w:val="000000" w:themeColor="text1"/>
                <w:sz w:val="16"/>
                <w:szCs w:val="16"/>
              </w:rPr>
            </w:pPr>
            <w:r w:rsidRPr="00C64609">
              <w:rPr>
                <w:rFonts w:ascii="Garamond" w:hAnsi="Garamond" w:cs="Calibri" w:hint="eastAsia"/>
                <w:color w:val="000000" w:themeColor="text1"/>
                <w:sz w:val="16"/>
                <w:szCs w:val="16"/>
              </w:rPr>
              <w:t>-0.124</w:t>
            </w:r>
          </w:p>
        </w:tc>
        <w:tc>
          <w:tcPr>
            <w:tcW w:w="2126" w:type="dxa"/>
            <w:shd w:val="clear" w:color="auto" w:fill="auto"/>
          </w:tcPr>
          <w:p w:rsidR="00583BD3" w:rsidRPr="00DD0A30" w:rsidRDefault="00583BD3" w:rsidP="000727E8">
            <w:pPr>
              <w:jc w:val="center"/>
              <w:rPr>
                <w:rFonts w:ascii="Garamond" w:hAnsi="Garamond" w:cs="Calibri"/>
                <w:color w:val="000000" w:themeColor="text1"/>
                <w:sz w:val="16"/>
                <w:szCs w:val="16"/>
              </w:rPr>
            </w:pPr>
            <w:r w:rsidRPr="00DD0A30">
              <w:rPr>
                <w:rFonts w:ascii="Garamond" w:hAnsi="Garamond" w:cs="Calibri"/>
                <w:color w:val="000000" w:themeColor="text1"/>
                <w:sz w:val="16"/>
                <w:szCs w:val="16"/>
              </w:rPr>
              <w:t>Board Gender Diversity</w:t>
            </w:r>
            <w:r w:rsidRPr="00DD0A30">
              <w:rPr>
                <w:rFonts w:ascii="Garamond" w:hAnsi="Garamond" w:cs="Calibri"/>
                <w:color w:val="000000"/>
                <w:sz w:val="16"/>
                <w:szCs w:val="16"/>
                <w:vertAlign w:val="subscript"/>
              </w:rPr>
              <w:t>t-1</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0.133</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p>
        </w:tc>
        <w:tc>
          <w:tcPr>
            <w:tcW w:w="850"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0.135</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p>
        </w:tc>
      </w:tr>
      <w:tr w:rsidR="00583BD3" w:rsidRPr="000429AF" w:rsidTr="000727E8">
        <w:trPr>
          <w:trHeight w:hRule="exact" w:val="255"/>
        </w:trPr>
        <w:tc>
          <w:tcPr>
            <w:tcW w:w="2079" w:type="dxa"/>
            <w:shd w:val="clear" w:color="auto" w:fill="auto"/>
            <w:noWrap/>
            <w:hideMark/>
          </w:tcPr>
          <w:p w:rsidR="00583BD3" w:rsidRPr="00DD0A30" w:rsidRDefault="00583BD3" w:rsidP="000727E8">
            <w:pPr>
              <w:jc w:val="center"/>
              <w:rPr>
                <w:rFonts w:ascii="Garamond" w:hAnsi="Garamond" w:cs="Calibri"/>
                <w:color w:val="000000" w:themeColor="text1"/>
                <w:sz w:val="16"/>
                <w:szCs w:val="16"/>
              </w:rPr>
            </w:pPr>
          </w:p>
        </w:tc>
        <w:tc>
          <w:tcPr>
            <w:tcW w:w="899" w:type="dxa"/>
            <w:shd w:val="clear" w:color="auto" w:fill="auto"/>
            <w:vAlign w:val="center"/>
          </w:tcPr>
          <w:p w:rsidR="00583BD3" w:rsidRPr="00C64609" w:rsidRDefault="00583BD3" w:rsidP="000727E8">
            <w:pPr>
              <w:rPr>
                <w:rFonts w:ascii="Garamond" w:hAnsi="Garamond" w:cs="Calibri"/>
                <w:color w:val="000000" w:themeColor="text1"/>
                <w:sz w:val="16"/>
                <w:szCs w:val="16"/>
              </w:rPr>
            </w:pPr>
            <w:r w:rsidRPr="00C64609">
              <w:rPr>
                <w:rFonts w:ascii="Garamond" w:hAnsi="Garamond" w:cs="Calibri" w:hint="eastAsia"/>
                <w:color w:val="000000" w:themeColor="text1"/>
                <w:sz w:val="16"/>
                <w:szCs w:val="16"/>
              </w:rPr>
              <w:t>(-1.01)</w:t>
            </w:r>
          </w:p>
        </w:tc>
        <w:tc>
          <w:tcPr>
            <w:tcW w:w="2126" w:type="dxa"/>
            <w:shd w:val="clear" w:color="auto" w:fill="auto"/>
          </w:tcPr>
          <w:p w:rsidR="00583BD3" w:rsidRPr="00DD0A30" w:rsidRDefault="00583BD3" w:rsidP="000727E8">
            <w:pPr>
              <w:jc w:val="center"/>
              <w:rPr>
                <w:rFonts w:ascii="Garamond" w:hAnsi="Garamond" w:cs="Calibri"/>
                <w:color w:val="000000" w:themeColor="text1"/>
                <w:sz w:val="16"/>
                <w:szCs w:val="16"/>
              </w:rPr>
            </w:pP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(0.49)</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p>
        </w:tc>
        <w:tc>
          <w:tcPr>
            <w:tcW w:w="850"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(0.49)</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p>
        </w:tc>
      </w:tr>
      <w:tr w:rsidR="00583BD3" w:rsidRPr="000429AF" w:rsidTr="000727E8">
        <w:trPr>
          <w:trHeight w:hRule="exact" w:val="255"/>
        </w:trPr>
        <w:tc>
          <w:tcPr>
            <w:tcW w:w="2079" w:type="dxa"/>
            <w:shd w:val="clear" w:color="auto" w:fill="auto"/>
            <w:noWrap/>
            <w:hideMark/>
          </w:tcPr>
          <w:p w:rsidR="00583BD3" w:rsidRPr="00C64609" w:rsidRDefault="00583BD3" w:rsidP="000727E8">
            <w:pPr>
              <w:jc w:val="center"/>
              <w:rPr>
                <w:rFonts w:ascii="Garamond" w:hAnsi="Garamond" w:cs="Calibri"/>
                <w:color w:val="000000" w:themeColor="text1"/>
                <w:sz w:val="16"/>
                <w:szCs w:val="16"/>
              </w:rPr>
            </w:pPr>
            <w:proofErr w:type="spellStart"/>
            <w:r w:rsidRPr="00C64609">
              <w:rPr>
                <w:rFonts w:ascii="Garamond" w:hAnsi="Garamond" w:cs="Calibri" w:hint="eastAsia"/>
                <w:color w:val="000000" w:themeColor="text1"/>
                <w:sz w:val="16"/>
                <w:szCs w:val="16"/>
              </w:rPr>
              <w:t>Ln</w:t>
            </w:r>
            <w:proofErr w:type="spellEnd"/>
            <w:r w:rsidRPr="00C64609">
              <w:rPr>
                <w:rFonts w:ascii="Garamond" w:hAnsi="Garamond" w:cs="Calibri" w:hint="eastAsia"/>
                <w:color w:val="000000" w:themeColor="text1"/>
                <w:sz w:val="16"/>
                <w:szCs w:val="16"/>
              </w:rPr>
              <w:t>(total assets)</w:t>
            </w:r>
            <w:r w:rsidRPr="00DD0A30">
              <w:rPr>
                <w:rFonts w:ascii="Garamond" w:hAnsi="Garamond" w:cs="Calibri"/>
                <w:color w:val="000000"/>
                <w:sz w:val="16"/>
                <w:szCs w:val="16"/>
                <w:vertAlign w:val="subscript"/>
              </w:rPr>
              <w:t>t</w:t>
            </w:r>
          </w:p>
          <w:p w:rsidR="00583BD3" w:rsidRPr="00DD0A30" w:rsidRDefault="00583BD3" w:rsidP="000727E8">
            <w:pPr>
              <w:jc w:val="center"/>
              <w:rPr>
                <w:rFonts w:ascii="Garamond" w:hAnsi="Garamond" w:cs="Calibri"/>
                <w:color w:val="000000" w:themeColor="text1"/>
                <w:sz w:val="16"/>
                <w:szCs w:val="16"/>
              </w:rPr>
            </w:pPr>
          </w:p>
        </w:tc>
        <w:tc>
          <w:tcPr>
            <w:tcW w:w="899" w:type="dxa"/>
            <w:shd w:val="clear" w:color="auto" w:fill="auto"/>
            <w:vAlign w:val="center"/>
          </w:tcPr>
          <w:p w:rsidR="00583BD3" w:rsidRPr="00C64609" w:rsidRDefault="00583BD3" w:rsidP="000727E8">
            <w:pPr>
              <w:rPr>
                <w:rFonts w:ascii="Garamond" w:hAnsi="Garamond" w:cs="Calibri"/>
                <w:color w:val="000000" w:themeColor="text1"/>
                <w:sz w:val="16"/>
                <w:szCs w:val="16"/>
              </w:rPr>
            </w:pPr>
            <w:r w:rsidRPr="00C64609">
              <w:rPr>
                <w:rFonts w:ascii="Garamond" w:hAnsi="Garamond" w:cs="Calibri" w:hint="eastAsia"/>
                <w:color w:val="000000" w:themeColor="text1"/>
                <w:sz w:val="16"/>
                <w:szCs w:val="16"/>
              </w:rPr>
              <w:t>-0.186</w:t>
            </w:r>
          </w:p>
        </w:tc>
        <w:tc>
          <w:tcPr>
            <w:tcW w:w="2126" w:type="dxa"/>
            <w:shd w:val="clear" w:color="auto" w:fill="auto"/>
          </w:tcPr>
          <w:p w:rsidR="00583BD3" w:rsidRPr="00DD0A30" w:rsidRDefault="00583BD3" w:rsidP="000727E8">
            <w:pPr>
              <w:jc w:val="center"/>
              <w:rPr>
                <w:rFonts w:ascii="Garamond" w:hAnsi="Garamond" w:cs="Calibri"/>
                <w:color w:val="000000" w:themeColor="text1"/>
                <w:sz w:val="16"/>
                <w:szCs w:val="16"/>
              </w:rPr>
            </w:pPr>
            <w:r w:rsidRPr="00DD0A30">
              <w:rPr>
                <w:rFonts w:ascii="Garamond" w:hAnsi="Garamond" w:cs="Calibri"/>
                <w:color w:val="000000" w:themeColor="text1"/>
                <w:sz w:val="16"/>
                <w:szCs w:val="16"/>
              </w:rPr>
              <w:t>Board Nationality Diversity</w:t>
            </w:r>
            <w:r w:rsidRPr="00DD0A30">
              <w:rPr>
                <w:rFonts w:ascii="Garamond" w:hAnsi="Garamond" w:cs="Calibri"/>
                <w:color w:val="000000"/>
                <w:sz w:val="16"/>
                <w:szCs w:val="16"/>
                <w:vertAlign w:val="subscript"/>
              </w:rPr>
              <w:t>t-1</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-0.0875</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p>
        </w:tc>
        <w:tc>
          <w:tcPr>
            <w:tcW w:w="850"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-0.0958</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p>
        </w:tc>
      </w:tr>
      <w:tr w:rsidR="00583BD3" w:rsidRPr="000429AF" w:rsidTr="000727E8">
        <w:trPr>
          <w:trHeight w:hRule="exact" w:val="255"/>
        </w:trPr>
        <w:tc>
          <w:tcPr>
            <w:tcW w:w="2079" w:type="dxa"/>
            <w:shd w:val="clear" w:color="auto" w:fill="auto"/>
            <w:noWrap/>
            <w:hideMark/>
          </w:tcPr>
          <w:p w:rsidR="00583BD3" w:rsidRPr="00DD0A30" w:rsidRDefault="00583BD3" w:rsidP="000727E8">
            <w:pPr>
              <w:jc w:val="center"/>
              <w:rPr>
                <w:rFonts w:ascii="Garamond" w:hAnsi="Garamond" w:cs="Calibri"/>
                <w:color w:val="000000" w:themeColor="text1"/>
                <w:sz w:val="16"/>
                <w:szCs w:val="16"/>
              </w:rPr>
            </w:pPr>
          </w:p>
        </w:tc>
        <w:tc>
          <w:tcPr>
            <w:tcW w:w="899" w:type="dxa"/>
            <w:shd w:val="clear" w:color="auto" w:fill="auto"/>
            <w:vAlign w:val="center"/>
          </w:tcPr>
          <w:p w:rsidR="00583BD3" w:rsidRPr="00C64609" w:rsidRDefault="00583BD3" w:rsidP="000727E8">
            <w:pPr>
              <w:rPr>
                <w:rFonts w:ascii="Garamond" w:hAnsi="Garamond" w:cs="Calibri"/>
                <w:color w:val="000000" w:themeColor="text1"/>
                <w:sz w:val="16"/>
                <w:szCs w:val="16"/>
              </w:rPr>
            </w:pPr>
            <w:r w:rsidRPr="00C64609">
              <w:rPr>
                <w:rFonts w:ascii="Garamond" w:hAnsi="Garamond" w:cs="Calibri" w:hint="eastAsia"/>
                <w:color w:val="000000" w:themeColor="text1"/>
                <w:sz w:val="16"/>
                <w:szCs w:val="16"/>
              </w:rPr>
              <w:t>(-0.95)</w:t>
            </w:r>
          </w:p>
        </w:tc>
        <w:tc>
          <w:tcPr>
            <w:tcW w:w="2126" w:type="dxa"/>
            <w:shd w:val="clear" w:color="auto" w:fill="auto"/>
          </w:tcPr>
          <w:p w:rsidR="00583BD3" w:rsidRPr="00DD0A30" w:rsidRDefault="00583BD3" w:rsidP="000727E8">
            <w:pPr>
              <w:jc w:val="center"/>
              <w:rPr>
                <w:rFonts w:ascii="Garamond" w:hAnsi="Garamond" w:cs="Calibri"/>
                <w:color w:val="000000" w:themeColor="text1"/>
                <w:sz w:val="16"/>
                <w:szCs w:val="16"/>
              </w:rPr>
            </w:pP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(-0.99)</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p>
        </w:tc>
        <w:tc>
          <w:tcPr>
            <w:tcW w:w="850"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(-1.07)</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p>
        </w:tc>
      </w:tr>
      <w:tr w:rsidR="00583BD3" w:rsidRPr="000429AF" w:rsidTr="000727E8">
        <w:trPr>
          <w:trHeight w:hRule="exact" w:val="255"/>
        </w:trPr>
        <w:tc>
          <w:tcPr>
            <w:tcW w:w="2079" w:type="dxa"/>
            <w:shd w:val="clear" w:color="auto" w:fill="auto"/>
            <w:noWrap/>
            <w:hideMark/>
          </w:tcPr>
          <w:p w:rsidR="00583BD3" w:rsidRPr="00C64609" w:rsidRDefault="00583BD3" w:rsidP="000727E8">
            <w:pPr>
              <w:jc w:val="center"/>
              <w:rPr>
                <w:rFonts w:ascii="Garamond" w:hAnsi="Garamond" w:cs="Calibri"/>
                <w:color w:val="000000" w:themeColor="text1"/>
                <w:sz w:val="16"/>
                <w:szCs w:val="16"/>
              </w:rPr>
            </w:pPr>
            <w:r w:rsidRPr="00C64609">
              <w:rPr>
                <w:rFonts w:ascii="Garamond" w:hAnsi="Garamond" w:cs="Calibri" w:hint="eastAsia"/>
                <w:color w:val="000000" w:themeColor="text1"/>
                <w:sz w:val="16"/>
                <w:szCs w:val="16"/>
              </w:rPr>
              <w:t xml:space="preserve">CEO is Chairman </w:t>
            </w:r>
            <w:proofErr w:type="spellStart"/>
            <w:r w:rsidRPr="00C64609">
              <w:rPr>
                <w:rFonts w:ascii="Garamond" w:hAnsi="Garamond" w:cs="Calibri" w:hint="eastAsia"/>
                <w:color w:val="000000" w:themeColor="text1"/>
                <w:sz w:val="16"/>
                <w:szCs w:val="16"/>
              </w:rPr>
              <w:t>dummy</w:t>
            </w:r>
            <w:r w:rsidRPr="00DD0A30">
              <w:rPr>
                <w:rFonts w:ascii="Garamond" w:hAnsi="Garamond" w:cs="Calibri"/>
                <w:color w:val="000000"/>
                <w:sz w:val="16"/>
                <w:szCs w:val="16"/>
                <w:vertAlign w:val="subscript"/>
              </w:rPr>
              <w:t>t</w:t>
            </w:r>
            <w:proofErr w:type="spellEnd"/>
          </w:p>
          <w:p w:rsidR="00583BD3" w:rsidRPr="00DD0A30" w:rsidRDefault="00583BD3" w:rsidP="000727E8">
            <w:pPr>
              <w:jc w:val="center"/>
              <w:rPr>
                <w:rFonts w:ascii="Garamond" w:hAnsi="Garamond" w:cs="Calibri"/>
                <w:color w:val="000000" w:themeColor="text1"/>
                <w:sz w:val="16"/>
                <w:szCs w:val="16"/>
              </w:rPr>
            </w:pPr>
          </w:p>
        </w:tc>
        <w:tc>
          <w:tcPr>
            <w:tcW w:w="899" w:type="dxa"/>
            <w:shd w:val="clear" w:color="auto" w:fill="auto"/>
            <w:vAlign w:val="center"/>
          </w:tcPr>
          <w:p w:rsidR="00583BD3" w:rsidRPr="00C64609" w:rsidRDefault="00583BD3" w:rsidP="000727E8">
            <w:pPr>
              <w:rPr>
                <w:rFonts w:ascii="Garamond" w:hAnsi="Garamond" w:cs="Calibri"/>
                <w:color w:val="000000" w:themeColor="text1"/>
                <w:sz w:val="16"/>
                <w:szCs w:val="16"/>
              </w:rPr>
            </w:pPr>
            <w:r w:rsidRPr="00C64609">
              <w:rPr>
                <w:rFonts w:ascii="Garamond" w:hAnsi="Garamond" w:cs="Calibri" w:hint="eastAsia"/>
                <w:color w:val="000000" w:themeColor="text1"/>
                <w:sz w:val="16"/>
                <w:szCs w:val="16"/>
              </w:rPr>
              <w:t>0.535*</w:t>
            </w:r>
          </w:p>
        </w:tc>
        <w:tc>
          <w:tcPr>
            <w:tcW w:w="2126" w:type="dxa"/>
            <w:shd w:val="clear" w:color="auto" w:fill="auto"/>
          </w:tcPr>
          <w:p w:rsidR="00583BD3" w:rsidRPr="00DD0A30" w:rsidRDefault="00583BD3" w:rsidP="000727E8">
            <w:pPr>
              <w:jc w:val="center"/>
              <w:rPr>
                <w:rFonts w:ascii="Garamond" w:hAnsi="Garamond" w:cs="Calibri"/>
                <w:color w:val="000000" w:themeColor="text1"/>
                <w:sz w:val="16"/>
                <w:szCs w:val="16"/>
              </w:rPr>
            </w:pPr>
            <w:r w:rsidRPr="00DD0A30">
              <w:rPr>
                <w:rFonts w:ascii="Garamond" w:hAnsi="Garamond" w:cs="Calibri"/>
                <w:color w:val="000000" w:themeColor="text1"/>
                <w:sz w:val="16"/>
                <w:szCs w:val="16"/>
              </w:rPr>
              <w:t>Board Age Diversity</w:t>
            </w:r>
            <w:r w:rsidRPr="00DD0A30">
              <w:rPr>
                <w:rFonts w:ascii="Garamond" w:hAnsi="Garamond" w:cs="Calibri"/>
                <w:color w:val="000000"/>
                <w:sz w:val="16"/>
                <w:szCs w:val="16"/>
                <w:vertAlign w:val="subscript"/>
              </w:rPr>
              <w:t>t-1</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-0.0333</w:t>
            </w:r>
          </w:p>
        </w:tc>
        <w:tc>
          <w:tcPr>
            <w:tcW w:w="850"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-0.0367</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p>
        </w:tc>
      </w:tr>
      <w:tr w:rsidR="00583BD3" w:rsidRPr="000429AF" w:rsidTr="000727E8">
        <w:trPr>
          <w:trHeight w:hRule="exact" w:val="255"/>
        </w:trPr>
        <w:tc>
          <w:tcPr>
            <w:tcW w:w="2079" w:type="dxa"/>
            <w:shd w:val="clear" w:color="auto" w:fill="auto"/>
            <w:noWrap/>
            <w:hideMark/>
          </w:tcPr>
          <w:p w:rsidR="00583BD3" w:rsidRPr="00DD0A30" w:rsidRDefault="00583BD3" w:rsidP="000727E8">
            <w:pPr>
              <w:jc w:val="center"/>
              <w:rPr>
                <w:rFonts w:ascii="Garamond" w:hAnsi="Garamond" w:cs="Calibri"/>
                <w:color w:val="000000" w:themeColor="text1"/>
                <w:sz w:val="16"/>
                <w:szCs w:val="16"/>
              </w:rPr>
            </w:pPr>
          </w:p>
        </w:tc>
        <w:tc>
          <w:tcPr>
            <w:tcW w:w="899" w:type="dxa"/>
            <w:shd w:val="clear" w:color="auto" w:fill="auto"/>
            <w:vAlign w:val="center"/>
          </w:tcPr>
          <w:p w:rsidR="00583BD3" w:rsidRPr="00C64609" w:rsidRDefault="00583BD3" w:rsidP="000727E8">
            <w:pPr>
              <w:rPr>
                <w:rFonts w:ascii="Garamond" w:hAnsi="Garamond" w:cs="Calibri"/>
                <w:color w:val="000000" w:themeColor="text1"/>
                <w:sz w:val="16"/>
                <w:szCs w:val="16"/>
              </w:rPr>
            </w:pPr>
            <w:r w:rsidRPr="00C64609">
              <w:rPr>
                <w:rFonts w:ascii="Garamond" w:hAnsi="Garamond" w:cs="Calibri" w:hint="eastAsia"/>
                <w:color w:val="000000" w:themeColor="text1"/>
                <w:sz w:val="16"/>
                <w:szCs w:val="16"/>
              </w:rPr>
              <w:t>(1.86)</w:t>
            </w:r>
          </w:p>
        </w:tc>
        <w:tc>
          <w:tcPr>
            <w:tcW w:w="2126" w:type="dxa"/>
            <w:shd w:val="clear" w:color="auto" w:fill="auto"/>
          </w:tcPr>
          <w:p w:rsidR="00583BD3" w:rsidRPr="00DD0A30" w:rsidRDefault="00583BD3" w:rsidP="000727E8">
            <w:pPr>
              <w:jc w:val="center"/>
              <w:rPr>
                <w:rFonts w:ascii="Garamond" w:hAnsi="Garamond" w:cs="Calibri"/>
                <w:color w:val="000000" w:themeColor="text1"/>
                <w:sz w:val="16"/>
                <w:szCs w:val="16"/>
              </w:rPr>
            </w:pP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(-0.76)</w:t>
            </w:r>
          </w:p>
        </w:tc>
        <w:tc>
          <w:tcPr>
            <w:tcW w:w="850"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(-0.84)</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p>
        </w:tc>
      </w:tr>
      <w:tr w:rsidR="00583BD3" w:rsidRPr="000429AF" w:rsidTr="000727E8">
        <w:trPr>
          <w:trHeight w:hRule="exact" w:val="255"/>
        </w:trPr>
        <w:tc>
          <w:tcPr>
            <w:tcW w:w="2079" w:type="dxa"/>
            <w:shd w:val="clear" w:color="auto" w:fill="auto"/>
            <w:noWrap/>
            <w:hideMark/>
          </w:tcPr>
          <w:p w:rsidR="00583BD3" w:rsidRPr="00C64609" w:rsidRDefault="00583BD3" w:rsidP="000727E8">
            <w:pPr>
              <w:jc w:val="center"/>
              <w:rPr>
                <w:rFonts w:ascii="Garamond" w:hAnsi="Garamond" w:cs="Calibri"/>
                <w:color w:val="000000" w:themeColor="text1"/>
                <w:sz w:val="16"/>
                <w:szCs w:val="16"/>
              </w:rPr>
            </w:pPr>
            <w:proofErr w:type="spellStart"/>
            <w:r w:rsidRPr="00C64609">
              <w:rPr>
                <w:rFonts w:ascii="Garamond" w:hAnsi="Garamond" w:cs="Calibri" w:hint="eastAsia"/>
                <w:color w:val="000000" w:themeColor="text1"/>
                <w:sz w:val="16"/>
                <w:szCs w:val="16"/>
              </w:rPr>
              <w:t>Ln</w:t>
            </w:r>
            <w:proofErr w:type="spellEnd"/>
            <w:r w:rsidRPr="00C64609">
              <w:rPr>
                <w:rFonts w:ascii="Garamond" w:hAnsi="Garamond" w:cs="Calibri" w:hint="eastAsia"/>
                <w:color w:val="000000" w:themeColor="text1"/>
                <w:sz w:val="16"/>
                <w:szCs w:val="16"/>
              </w:rPr>
              <w:t>(CFO tenure)</w:t>
            </w:r>
            <w:r w:rsidRPr="00DD0A30">
              <w:rPr>
                <w:rFonts w:ascii="Garamond" w:hAnsi="Garamond" w:cs="Calibri"/>
                <w:color w:val="000000"/>
                <w:sz w:val="16"/>
                <w:szCs w:val="16"/>
                <w:vertAlign w:val="subscript"/>
              </w:rPr>
              <w:t>t</w:t>
            </w:r>
          </w:p>
          <w:p w:rsidR="00583BD3" w:rsidRPr="00DD0A30" w:rsidRDefault="00583BD3" w:rsidP="000727E8">
            <w:pPr>
              <w:jc w:val="center"/>
              <w:rPr>
                <w:rFonts w:ascii="Garamond" w:hAnsi="Garamond" w:cs="Calibri"/>
                <w:color w:val="000000" w:themeColor="text1"/>
                <w:sz w:val="16"/>
                <w:szCs w:val="16"/>
              </w:rPr>
            </w:pPr>
          </w:p>
        </w:tc>
        <w:tc>
          <w:tcPr>
            <w:tcW w:w="899" w:type="dxa"/>
            <w:shd w:val="clear" w:color="auto" w:fill="auto"/>
            <w:vAlign w:val="center"/>
          </w:tcPr>
          <w:p w:rsidR="00583BD3" w:rsidRPr="00C64609" w:rsidRDefault="00583BD3" w:rsidP="000727E8">
            <w:pPr>
              <w:rPr>
                <w:rFonts w:ascii="Garamond" w:hAnsi="Garamond" w:cs="Calibri"/>
                <w:color w:val="000000" w:themeColor="text1"/>
                <w:sz w:val="16"/>
                <w:szCs w:val="16"/>
              </w:rPr>
            </w:pPr>
            <w:r w:rsidRPr="00C64609">
              <w:rPr>
                <w:rFonts w:ascii="Garamond" w:hAnsi="Garamond" w:cs="Calibri" w:hint="eastAsia"/>
                <w:color w:val="000000" w:themeColor="text1"/>
                <w:sz w:val="16"/>
                <w:szCs w:val="16"/>
              </w:rPr>
              <w:t>-0.131</w:t>
            </w:r>
          </w:p>
        </w:tc>
        <w:tc>
          <w:tcPr>
            <w:tcW w:w="2126" w:type="dxa"/>
            <w:shd w:val="clear" w:color="auto" w:fill="auto"/>
          </w:tcPr>
          <w:p w:rsidR="00583BD3" w:rsidRPr="00DD0A30" w:rsidRDefault="00583BD3" w:rsidP="000727E8">
            <w:pPr>
              <w:jc w:val="center"/>
              <w:rPr>
                <w:rFonts w:ascii="Garamond" w:hAnsi="Garamond" w:cs="Calibri"/>
                <w:color w:val="000000" w:themeColor="text1"/>
                <w:sz w:val="16"/>
                <w:szCs w:val="16"/>
              </w:rPr>
            </w:pPr>
            <w:r w:rsidRPr="00DD0A30">
              <w:rPr>
                <w:rFonts w:ascii="Garamond" w:hAnsi="Garamond" w:cs="Calibri"/>
                <w:color w:val="000000" w:themeColor="text1"/>
                <w:sz w:val="16"/>
                <w:szCs w:val="16"/>
              </w:rPr>
              <w:t>Board Aggregate Diversity</w:t>
            </w:r>
            <w:r w:rsidRPr="00DD0A30">
              <w:rPr>
                <w:rFonts w:ascii="Garamond" w:hAnsi="Garamond" w:cs="Calibri"/>
                <w:color w:val="000000"/>
                <w:sz w:val="16"/>
                <w:szCs w:val="16"/>
                <w:vertAlign w:val="subscript"/>
              </w:rPr>
              <w:t>t-1</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p>
        </w:tc>
        <w:tc>
          <w:tcPr>
            <w:tcW w:w="850"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-0.0106</w:t>
            </w:r>
          </w:p>
        </w:tc>
      </w:tr>
      <w:tr w:rsidR="00583BD3" w:rsidRPr="000429AF" w:rsidTr="000727E8">
        <w:trPr>
          <w:trHeight w:hRule="exact" w:val="255"/>
        </w:trPr>
        <w:tc>
          <w:tcPr>
            <w:tcW w:w="2079" w:type="dxa"/>
            <w:shd w:val="clear" w:color="auto" w:fill="auto"/>
            <w:noWrap/>
            <w:hideMark/>
          </w:tcPr>
          <w:p w:rsidR="00583BD3" w:rsidRPr="00C64609" w:rsidRDefault="00583BD3" w:rsidP="000727E8">
            <w:pPr>
              <w:jc w:val="center"/>
              <w:rPr>
                <w:rFonts w:ascii="Garamond" w:hAnsi="Garamond" w:cs="Calibri"/>
                <w:color w:val="000000" w:themeColor="text1"/>
                <w:sz w:val="16"/>
                <w:szCs w:val="16"/>
              </w:rPr>
            </w:pPr>
          </w:p>
        </w:tc>
        <w:tc>
          <w:tcPr>
            <w:tcW w:w="899" w:type="dxa"/>
            <w:shd w:val="clear" w:color="auto" w:fill="auto"/>
            <w:vAlign w:val="center"/>
          </w:tcPr>
          <w:p w:rsidR="00583BD3" w:rsidRPr="00C64609" w:rsidRDefault="00583BD3" w:rsidP="000727E8">
            <w:pPr>
              <w:rPr>
                <w:rFonts w:ascii="Garamond" w:hAnsi="Garamond" w:cs="Calibri"/>
                <w:color w:val="000000" w:themeColor="text1"/>
                <w:sz w:val="16"/>
                <w:szCs w:val="16"/>
              </w:rPr>
            </w:pPr>
            <w:r w:rsidRPr="00C64609">
              <w:rPr>
                <w:rFonts w:ascii="Garamond" w:hAnsi="Garamond" w:cs="Calibri" w:hint="eastAsia"/>
                <w:color w:val="000000" w:themeColor="text1"/>
                <w:sz w:val="16"/>
                <w:szCs w:val="16"/>
              </w:rPr>
              <w:t>(-1.47)</w:t>
            </w:r>
          </w:p>
        </w:tc>
        <w:tc>
          <w:tcPr>
            <w:tcW w:w="2126" w:type="dxa"/>
            <w:shd w:val="clear" w:color="auto" w:fill="auto"/>
          </w:tcPr>
          <w:p w:rsidR="00583BD3" w:rsidRPr="00DD0A30" w:rsidRDefault="00583BD3" w:rsidP="000727E8">
            <w:pPr>
              <w:jc w:val="center"/>
              <w:rPr>
                <w:rFonts w:ascii="Garamond" w:hAnsi="Garamond" w:cs="Calibri"/>
                <w:color w:val="000000"/>
                <w:sz w:val="16"/>
                <w:szCs w:val="16"/>
              </w:rPr>
            </w:pP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p>
        </w:tc>
        <w:tc>
          <w:tcPr>
            <w:tcW w:w="850"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(-1.00)</w:t>
            </w:r>
          </w:p>
        </w:tc>
      </w:tr>
      <w:tr w:rsidR="00583BD3" w:rsidRPr="000429AF" w:rsidTr="000727E8">
        <w:trPr>
          <w:trHeight w:hRule="exact" w:val="255"/>
        </w:trPr>
        <w:tc>
          <w:tcPr>
            <w:tcW w:w="2079" w:type="dxa"/>
            <w:shd w:val="clear" w:color="auto" w:fill="auto"/>
            <w:noWrap/>
            <w:hideMark/>
          </w:tcPr>
          <w:p w:rsidR="00583BD3" w:rsidRPr="00C64609" w:rsidRDefault="00583BD3" w:rsidP="000727E8">
            <w:pPr>
              <w:jc w:val="center"/>
              <w:rPr>
                <w:rFonts w:ascii="Garamond" w:hAnsi="Garamond" w:cs="Calibri"/>
                <w:color w:val="000000" w:themeColor="text1"/>
                <w:sz w:val="16"/>
                <w:szCs w:val="16"/>
              </w:rPr>
            </w:pPr>
            <w:proofErr w:type="spellStart"/>
            <w:r w:rsidRPr="00C64609">
              <w:rPr>
                <w:rFonts w:ascii="Garamond" w:hAnsi="Garamond" w:cs="Calibri" w:hint="eastAsia"/>
                <w:color w:val="000000" w:themeColor="text1"/>
                <w:sz w:val="16"/>
                <w:szCs w:val="16"/>
              </w:rPr>
              <w:t>Ln</w:t>
            </w:r>
            <w:proofErr w:type="spellEnd"/>
            <w:r w:rsidRPr="00C64609">
              <w:rPr>
                <w:rFonts w:ascii="Garamond" w:hAnsi="Garamond" w:cs="Calibri" w:hint="eastAsia"/>
                <w:color w:val="000000" w:themeColor="text1"/>
                <w:sz w:val="16"/>
                <w:szCs w:val="16"/>
              </w:rPr>
              <w:t>(CFO age)</w:t>
            </w:r>
            <w:r w:rsidRPr="00DD0A30">
              <w:rPr>
                <w:rFonts w:ascii="Garamond" w:hAnsi="Garamond" w:cs="Calibri"/>
                <w:color w:val="000000"/>
                <w:sz w:val="16"/>
                <w:szCs w:val="16"/>
                <w:vertAlign w:val="subscript"/>
              </w:rPr>
              <w:t>t</w:t>
            </w:r>
          </w:p>
          <w:p w:rsidR="00583BD3" w:rsidRPr="00C64609" w:rsidRDefault="00583BD3" w:rsidP="000727E8">
            <w:pPr>
              <w:jc w:val="center"/>
              <w:rPr>
                <w:rFonts w:ascii="Garamond" w:hAnsi="Garamond" w:cs="Calibri"/>
                <w:color w:val="000000" w:themeColor="text1"/>
                <w:sz w:val="16"/>
                <w:szCs w:val="16"/>
              </w:rPr>
            </w:pPr>
          </w:p>
        </w:tc>
        <w:tc>
          <w:tcPr>
            <w:tcW w:w="899" w:type="dxa"/>
            <w:shd w:val="clear" w:color="auto" w:fill="auto"/>
            <w:vAlign w:val="center"/>
          </w:tcPr>
          <w:p w:rsidR="00583BD3" w:rsidRPr="00C64609" w:rsidRDefault="00583BD3" w:rsidP="000727E8">
            <w:pPr>
              <w:rPr>
                <w:rFonts w:ascii="Garamond" w:hAnsi="Garamond" w:cs="Calibri"/>
                <w:color w:val="000000" w:themeColor="text1"/>
                <w:sz w:val="16"/>
                <w:szCs w:val="16"/>
              </w:rPr>
            </w:pPr>
            <w:r w:rsidRPr="00C64609">
              <w:rPr>
                <w:rFonts w:ascii="Garamond" w:hAnsi="Garamond" w:cs="Calibri" w:hint="eastAsia"/>
                <w:color w:val="000000" w:themeColor="text1"/>
                <w:sz w:val="16"/>
                <w:szCs w:val="16"/>
              </w:rPr>
              <w:t>-2.583***</w:t>
            </w:r>
          </w:p>
        </w:tc>
        <w:tc>
          <w:tcPr>
            <w:tcW w:w="2126" w:type="dxa"/>
            <w:shd w:val="clear" w:color="auto" w:fill="auto"/>
          </w:tcPr>
          <w:p w:rsidR="00583BD3" w:rsidRPr="00DD0A30" w:rsidRDefault="00583BD3" w:rsidP="000727E8">
            <w:pPr>
              <w:jc w:val="center"/>
              <w:rPr>
                <w:rFonts w:ascii="Garamond" w:hAnsi="Garamond" w:cs="Calibri"/>
                <w:color w:val="000000"/>
                <w:sz w:val="16"/>
                <w:szCs w:val="16"/>
              </w:rPr>
            </w:pPr>
            <w:proofErr w:type="spellStart"/>
            <w:r w:rsidRPr="00DD0A30">
              <w:rPr>
                <w:rFonts w:ascii="Garamond" w:hAnsi="Garamond" w:cs="Calibri"/>
                <w:color w:val="000000"/>
                <w:sz w:val="16"/>
                <w:szCs w:val="16"/>
              </w:rPr>
              <w:t>Ln</w:t>
            </w:r>
            <w:proofErr w:type="spellEnd"/>
            <w:r w:rsidRPr="00DD0A30">
              <w:rPr>
                <w:rFonts w:ascii="Garamond" w:hAnsi="Garamond" w:cs="Calibri"/>
                <w:color w:val="000000"/>
                <w:sz w:val="16"/>
                <w:szCs w:val="16"/>
              </w:rPr>
              <w:t>(number of directors)</w:t>
            </w:r>
            <w:r w:rsidRPr="00DD0A30">
              <w:rPr>
                <w:rFonts w:ascii="Garamond" w:hAnsi="Garamond" w:cs="Calibri"/>
                <w:color w:val="000000"/>
                <w:sz w:val="16"/>
                <w:szCs w:val="16"/>
                <w:vertAlign w:val="subscript"/>
              </w:rPr>
              <w:t>t-1</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0.0148</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0.0253</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0.0183</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0.0193</w:t>
            </w:r>
          </w:p>
        </w:tc>
        <w:tc>
          <w:tcPr>
            <w:tcW w:w="850"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0.0342</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0.0131</w:t>
            </w:r>
          </w:p>
        </w:tc>
      </w:tr>
      <w:tr w:rsidR="00583BD3" w:rsidRPr="000429AF" w:rsidTr="000727E8">
        <w:trPr>
          <w:trHeight w:hRule="exact" w:val="255"/>
        </w:trPr>
        <w:tc>
          <w:tcPr>
            <w:tcW w:w="2079" w:type="dxa"/>
            <w:shd w:val="clear" w:color="auto" w:fill="auto"/>
            <w:noWrap/>
            <w:hideMark/>
          </w:tcPr>
          <w:p w:rsidR="00583BD3" w:rsidRPr="00C64609" w:rsidRDefault="00583BD3" w:rsidP="000727E8">
            <w:pPr>
              <w:jc w:val="center"/>
              <w:rPr>
                <w:rFonts w:ascii="Garamond" w:hAnsi="Garamond" w:cs="Calibri"/>
                <w:color w:val="000000" w:themeColor="text1"/>
                <w:sz w:val="16"/>
                <w:szCs w:val="16"/>
              </w:rPr>
            </w:pPr>
          </w:p>
        </w:tc>
        <w:tc>
          <w:tcPr>
            <w:tcW w:w="899" w:type="dxa"/>
            <w:shd w:val="clear" w:color="auto" w:fill="auto"/>
            <w:vAlign w:val="center"/>
          </w:tcPr>
          <w:p w:rsidR="00583BD3" w:rsidRPr="00C64609" w:rsidRDefault="00583BD3" w:rsidP="000727E8">
            <w:pPr>
              <w:rPr>
                <w:rFonts w:ascii="Garamond" w:hAnsi="Garamond" w:cs="Calibri"/>
                <w:color w:val="000000" w:themeColor="text1"/>
                <w:sz w:val="16"/>
                <w:szCs w:val="16"/>
              </w:rPr>
            </w:pPr>
            <w:r w:rsidRPr="00C64609">
              <w:rPr>
                <w:rFonts w:ascii="Garamond" w:hAnsi="Garamond" w:cs="Calibri" w:hint="eastAsia"/>
                <w:color w:val="000000" w:themeColor="text1"/>
                <w:sz w:val="16"/>
                <w:szCs w:val="16"/>
              </w:rPr>
              <w:t>(-3.17)</w:t>
            </w:r>
          </w:p>
        </w:tc>
        <w:tc>
          <w:tcPr>
            <w:tcW w:w="2126" w:type="dxa"/>
            <w:shd w:val="clear" w:color="auto" w:fill="auto"/>
          </w:tcPr>
          <w:p w:rsidR="00583BD3" w:rsidRPr="00DD0A30" w:rsidRDefault="00583BD3" w:rsidP="000727E8">
            <w:pPr>
              <w:jc w:val="center"/>
              <w:rPr>
                <w:rFonts w:ascii="Garamond" w:hAnsi="Garamond" w:cs="Calibri"/>
                <w:color w:val="000000"/>
                <w:sz w:val="16"/>
                <w:szCs w:val="16"/>
              </w:rPr>
            </w:pP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(0.34)</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(0.52)</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(0.41)</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(0.42)</w:t>
            </w:r>
          </w:p>
        </w:tc>
        <w:tc>
          <w:tcPr>
            <w:tcW w:w="850"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(0.67)</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(0.30)</w:t>
            </w:r>
          </w:p>
        </w:tc>
      </w:tr>
      <w:tr w:rsidR="00583BD3" w:rsidRPr="000429AF" w:rsidTr="000727E8">
        <w:trPr>
          <w:trHeight w:hRule="exact" w:val="255"/>
        </w:trPr>
        <w:tc>
          <w:tcPr>
            <w:tcW w:w="2079" w:type="dxa"/>
            <w:shd w:val="clear" w:color="auto" w:fill="auto"/>
            <w:noWrap/>
            <w:hideMark/>
          </w:tcPr>
          <w:p w:rsidR="00583BD3" w:rsidRPr="00C64609" w:rsidRDefault="00583BD3" w:rsidP="000727E8">
            <w:pPr>
              <w:jc w:val="center"/>
              <w:rPr>
                <w:rFonts w:ascii="Garamond" w:hAnsi="Garamond" w:cs="Calibri"/>
                <w:color w:val="000000" w:themeColor="text1"/>
                <w:sz w:val="16"/>
                <w:szCs w:val="16"/>
              </w:rPr>
            </w:pPr>
            <w:proofErr w:type="spellStart"/>
            <w:r w:rsidRPr="00C64609">
              <w:rPr>
                <w:rFonts w:ascii="Garamond" w:hAnsi="Garamond" w:cs="Calibri" w:hint="eastAsia"/>
                <w:color w:val="000000" w:themeColor="text1"/>
                <w:sz w:val="16"/>
                <w:szCs w:val="16"/>
              </w:rPr>
              <w:t>Ln</w:t>
            </w:r>
            <w:proofErr w:type="spellEnd"/>
            <w:r w:rsidRPr="00C64609">
              <w:rPr>
                <w:rFonts w:ascii="Garamond" w:hAnsi="Garamond" w:cs="Calibri" w:hint="eastAsia"/>
                <w:color w:val="000000" w:themeColor="text1"/>
                <w:sz w:val="16"/>
                <w:szCs w:val="16"/>
              </w:rPr>
              <w:t>(CFO network size)</w:t>
            </w:r>
            <w:r w:rsidRPr="00DD0A30">
              <w:rPr>
                <w:rFonts w:ascii="Garamond" w:hAnsi="Garamond" w:cs="Calibri"/>
                <w:color w:val="000000"/>
                <w:sz w:val="16"/>
                <w:szCs w:val="16"/>
                <w:vertAlign w:val="subscript"/>
              </w:rPr>
              <w:t>t</w:t>
            </w:r>
          </w:p>
          <w:p w:rsidR="00583BD3" w:rsidRPr="00C64609" w:rsidRDefault="00583BD3" w:rsidP="000727E8">
            <w:pPr>
              <w:jc w:val="center"/>
              <w:rPr>
                <w:rFonts w:ascii="Garamond" w:hAnsi="Garamond" w:cs="Calibri"/>
                <w:color w:val="000000" w:themeColor="text1"/>
                <w:sz w:val="16"/>
                <w:szCs w:val="16"/>
              </w:rPr>
            </w:pPr>
          </w:p>
        </w:tc>
        <w:tc>
          <w:tcPr>
            <w:tcW w:w="899" w:type="dxa"/>
            <w:shd w:val="clear" w:color="auto" w:fill="auto"/>
            <w:vAlign w:val="center"/>
          </w:tcPr>
          <w:p w:rsidR="00583BD3" w:rsidRPr="00C64609" w:rsidRDefault="00583BD3" w:rsidP="000727E8">
            <w:pPr>
              <w:rPr>
                <w:rFonts w:ascii="Garamond" w:hAnsi="Garamond" w:cs="Calibri"/>
                <w:color w:val="000000" w:themeColor="text1"/>
                <w:sz w:val="16"/>
                <w:szCs w:val="16"/>
              </w:rPr>
            </w:pPr>
            <w:r w:rsidRPr="00C64609">
              <w:rPr>
                <w:rFonts w:ascii="Garamond" w:hAnsi="Garamond" w:cs="Calibri" w:hint="eastAsia"/>
                <w:color w:val="000000" w:themeColor="text1"/>
                <w:sz w:val="16"/>
                <w:szCs w:val="16"/>
              </w:rPr>
              <w:t>0.345***</w:t>
            </w:r>
          </w:p>
        </w:tc>
        <w:tc>
          <w:tcPr>
            <w:tcW w:w="2126" w:type="dxa"/>
            <w:shd w:val="clear" w:color="auto" w:fill="auto"/>
          </w:tcPr>
          <w:p w:rsidR="00583BD3" w:rsidRPr="00DD0A30" w:rsidRDefault="00583BD3" w:rsidP="000727E8">
            <w:pPr>
              <w:jc w:val="center"/>
              <w:rPr>
                <w:rFonts w:ascii="Garamond" w:hAnsi="Garamond" w:cs="Calibri"/>
                <w:color w:val="000000"/>
                <w:sz w:val="16"/>
                <w:szCs w:val="16"/>
              </w:rPr>
            </w:pPr>
            <w:r w:rsidRPr="00DD0A30">
              <w:rPr>
                <w:rFonts w:ascii="Garamond" w:hAnsi="Garamond" w:cs="Calibri"/>
                <w:color w:val="000000"/>
                <w:sz w:val="16"/>
                <w:szCs w:val="16"/>
              </w:rPr>
              <w:t>Board independence</w:t>
            </w:r>
            <w:r w:rsidRPr="00DD0A30">
              <w:rPr>
                <w:rFonts w:ascii="Garamond" w:hAnsi="Garamond" w:cs="Calibri"/>
                <w:color w:val="000000"/>
                <w:sz w:val="16"/>
                <w:szCs w:val="16"/>
                <w:vertAlign w:val="subscript"/>
              </w:rPr>
              <w:t>t-1</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0.0814</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0.0816</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0.0845</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0.0794</w:t>
            </w:r>
          </w:p>
        </w:tc>
        <w:tc>
          <w:tcPr>
            <w:tcW w:w="850"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0.0829</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0.0808</w:t>
            </w:r>
          </w:p>
        </w:tc>
      </w:tr>
      <w:tr w:rsidR="00583BD3" w:rsidRPr="000429AF" w:rsidTr="000727E8">
        <w:trPr>
          <w:trHeight w:hRule="exact" w:val="255"/>
        </w:trPr>
        <w:tc>
          <w:tcPr>
            <w:tcW w:w="2079" w:type="dxa"/>
            <w:shd w:val="clear" w:color="auto" w:fill="auto"/>
            <w:noWrap/>
            <w:hideMark/>
          </w:tcPr>
          <w:p w:rsidR="00583BD3" w:rsidRPr="00C64609" w:rsidRDefault="00583BD3" w:rsidP="000727E8">
            <w:pPr>
              <w:jc w:val="center"/>
              <w:rPr>
                <w:rFonts w:ascii="Garamond" w:hAnsi="Garamond" w:cs="Calibri"/>
                <w:color w:val="000000" w:themeColor="text1"/>
                <w:sz w:val="16"/>
                <w:szCs w:val="16"/>
              </w:rPr>
            </w:pPr>
          </w:p>
        </w:tc>
        <w:tc>
          <w:tcPr>
            <w:tcW w:w="899" w:type="dxa"/>
            <w:shd w:val="clear" w:color="auto" w:fill="auto"/>
            <w:vAlign w:val="center"/>
          </w:tcPr>
          <w:p w:rsidR="00583BD3" w:rsidRPr="00C64609" w:rsidRDefault="00583BD3" w:rsidP="000727E8">
            <w:pPr>
              <w:rPr>
                <w:rFonts w:ascii="Garamond" w:hAnsi="Garamond" w:cs="Calibri"/>
                <w:color w:val="000000" w:themeColor="text1"/>
                <w:sz w:val="16"/>
                <w:szCs w:val="16"/>
              </w:rPr>
            </w:pPr>
            <w:r w:rsidRPr="00C64609">
              <w:rPr>
                <w:rFonts w:ascii="Garamond" w:hAnsi="Garamond" w:cs="Calibri" w:hint="eastAsia"/>
                <w:color w:val="000000" w:themeColor="text1"/>
                <w:sz w:val="16"/>
                <w:szCs w:val="16"/>
              </w:rPr>
              <w:t>(4.77)</w:t>
            </w:r>
          </w:p>
        </w:tc>
        <w:tc>
          <w:tcPr>
            <w:tcW w:w="2126" w:type="dxa"/>
            <w:shd w:val="clear" w:color="auto" w:fill="auto"/>
          </w:tcPr>
          <w:p w:rsidR="00583BD3" w:rsidRPr="00DD0A30" w:rsidRDefault="00583BD3" w:rsidP="000727E8">
            <w:pPr>
              <w:jc w:val="center"/>
              <w:rPr>
                <w:rFonts w:ascii="Garamond" w:hAnsi="Garamond" w:cs="Calibri"/>
                <w:color w:val="000000"/>
                <w:sz w:val="16"/>
                <w:szCs w:val="16"/>
              </w:rPr>
            </w:pP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(1.27)</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(1.28)</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(1.32)</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(1.24)</w:t>
            </w:r>
          </w:p>
        </w:tc>
        <w:tc>
          <w:tcPr>
            <w:tcW w:w="850"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(1.30)</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(1.26)</w:t>
            </w:r>
          </w:p>
        </w:tc>
      </w:tr>
      <w:tr w:rsidR="00583BD3" w:rsidRPr="000429AF" w:rsidTr="000727E8">
        <w:trPr>
          <w:trHeight w:hRule="exact" w:val="255"/>
        </w:trPr>
        <w:tc>
          <w:tcPr>
            <w:tcW w:w="2079" w:type="dxa"/>
            <w:shd w:val="clear" w:color="auto" w:fill="auto"/>
            <w:noWrap/>
            <w:hideMark/>
          </w:tcPr>
          <w:p w:rsidR="00583BD3" w:rsidRPr="00C64609" w:rsidRDefault="00583BD3" w:rsidP="000727E8">
            <w:pPr>
              <w:jc w:val="center"/>
              <w:rPr>
                <w:rFonts w:ascii="Garamond" w:hAnsi="Garamond" w:cs="Calibri"/>
                <w:color w:val="000000" w:themeColor="text1"/>
                <w:sz w:val="16"/>
                <w:szCs w:val="16"/>
              </w:rPr>
            </w:pPr>
            <w:proofErr w:type="spellStart"/>
            <w:r w:rsidRPr="00C64609">
              <w:rPr>
                <w:rFonts w:ascii="Garamond" w:hAnsi="Garamond" w:cs="Calibri" w:hint="eastAsia"/>
                <w:color w:val="000000" w:themeColor="text1"/>
                <w:sz w:val="16"/>
                <w:szCs w:val="16"/>
              </w:rPr>
              <w:t>Ln</w:t>
            </w:r>
            <w:proofErr w:type="spellEnd"/>
            <w:r w:rsidRPr="00C64609">
              <w:rPr>
                <w:rFonts w:ascii="Garamond" w:hAnsi="Garamond" w:cs="Calibri" w:hint="eastAsia"/>
                <w:color w:val="000000" w:themeColor="text1"/>
                <w:sz w:val="16"/>
                <w:szCs w:val="16"/>
              </w:rPr>
              <w:t>(CFO total compensation)</w:t>
            </w:r>
            <w:r w:rsidRPr="00DD0A30">
              <w:rPr>
                <w:rFonts w:ascii="Garamond" w:hAnsi="Garamond" w:cs="Calibri"/>
                <w:color w:val="000000"/>
                <w:sz w:val="16"/>
                <w:szCs w:val="16"/>
                <w:vertAlign w:val="subscript"/>
              </w:rPr>
              <w:t>t</w:t>
            </w:r>
          </w:p>
          <w:p w:rsidR="00583BD3" w:rsidRPr="00C64609" w:rsidRDefault="00583BD3" w:rsidP="000727E8">
            <w:pPr>
              <w:jc w:val="center"/>
              <w:rPr>
                <w:rFonts w:ascii="Garamond" w:hAnsi="Garamond" w:cs="Calibri"/>
                <w:color w:val="000000" w:themeColor="text1"/>
                <w:sz w:val="16"/>
                <w:szCs w:val="16"/>
              </w:rPr>
            </w:pPr>
          </w:p>
        </w:tc>
        <w:tc>
          <w:tcPr>
            <w:tcW w:w="899" w:type="dxa"/>
            <w:shd w:val="clear" w:color="auto" w:fill="auto"/>
            <w:vAlign w:val="center"/>
          </w:tcPr>
          <w:p w:rsidR="00583BD3" w:rsidRPr="00C64609" w:rsidRDefault="00583BD3" w:rsidP="000727E8">
            <w:pPr>
              <w:rPr>
                <w:rFonts w:ascii="Garamond" w:hAnsi="Garamond" w:cs="Calibri"/>
                <w:color w:val="000000" w:themeColor="text1"/>
                <w:sz w:val="16"/>
                <w:szCs w:val="16"/>
              </w:rPr>
            </w:pPr>
            <w:r w:rsidRPr="00C64609">
              <w:rPr>
                <w:rFonts w:ascii="Garamond" w:hAnsi="Garamond" w:cs="Calibri" w:hint="eastAsia"/>
                <w:color w:val="000000" w:themeColor="text1"/>
                <w:sz w:val="16"/>
                <w:szCs w:val="16"/>
              </w:rPr>
              <w:t>-0.463***</w:t>
            </w:r>
          </w:p>
        </w:tc>
        <w:tc>
          <w:tcPr>
            <w:tcW w:w="2126" w:type="dxa"/>
            <w:shd w:val="clear" w:color="auto" w:fill="auto"/>
          </w:tcPr>
          <w:p w:rsidR="00583BD3" w:rsidRPr="00DD0A30" w:rsidRDefault="00583BD3" w:rsidP="000727E8">
            <w:pPr>
              <w:jc w:val="center"/>
              <w:rPr>
                <w:rFonts w:ascii="Garamond" w:hAnsi="Garamond" w:cs="Calibri"/>
                <w:color w:val="000000"/>
                <w:sz w:val="16"/>
                <w:szCs w:val="16"/>
              </w:rPr>
            </w:pPr>
            <w:r w:rsidRPr="00DD0A30">
              <w:rPr>
                <w:rFonts w:ascii="Garamond" w:hAnsi="Garamond" w:cs="Calibri"/>
                <w:color w:val="000000"/>
                <w:sz w:val="16"/>
                <w:szCs w:val="16"/>
              </w:rPr>
              <w:t>Tobin's Q</w:t>
            </w:r>
            <w:r w:rsidRPr="00DD0A30">
              <w:rPr>
                <w:rFonts w:ascii="Garamond" w:hAnsi="Garamond" w:cs="Calibri"/>
                <w:color w:val="000000"/>
                <w:sz w:val="16"/>
                <w:szCs w:val="16"/>
                <w:vertAlign w:val="subscript"/>
              </w:rPr>
              <w:t>t-1</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-0.00988</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-0.0102</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-0.00980</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-0.00921</w:t>
            </w:r>
          </w:p>
        </w:tc>
        <w:tc>
          <w:tcPr>
            <w:tcW w:w="850"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-0.00935</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-0.00893</w:t>
            </w:r>
          </w:p>
        </w:tc>
      </w:tr>
      <w:tr w:rsidR="00583BD3" w:rsidRPr="000429AF" w:rsidTr="000727E8">
        <w:trPr>
          <w:trHeight w:hRule="exact" w:val="255"/>
        </w:trPr>
        <w:tc>
          <w:tcPr>
            <w:tcW w:w="2079" w:type="dxa"/>
            <w:shd w:val="clear" w:color="auto" w:fill="auto"/>
            <w:noWrap/>
            <w:hideMark/>
          </w:tcPr>
          <w:p w:rsidR="00583BD3" w:rsidRPr="00C64609" w:rsidRDefault="00583BD3" w:rsidP="000727E8">
            <w:pPr>
              <w:jc w:val="center"/>
              <w:rPr>
                <w:rFonts w:ascii="Garamond" w:hAnsi="Garamond" w:cs="Calibri"/>
                <w:color w:val="000000" w:themeColor="text1"/>
                <w:sz w:val="16"/>
                <w:szCs w:val="16"/>
              </w:rPr>
            </w:pPr>
          </w:p>
        </w:tc>
        <w:tc>
          <w:tcPr>
            <w:tcW w:w="899" w:type="dxa"/>
            <w:shd w:val="clear" w:color="auto" w:fill="auto"/>
            <w:vAlign w:val="center"/>
          </w:tcPr>
          <w:p w:rsidR="00583BD3" w:rsidRPr="00C64609" w:rsidRDefault="00583BD3" w:rsidP="000727E8">
            <w:pPr>
              <w:rPr>
                <w:rFonts w:ascii="Garamond" w:hAnsi="Garamond" w:cs="Calibri"/>
                <w:color w:val="000000" w:themeColor="text1"/>
                <w:sz w:val="16"/>
                <w:szCs w:val="16"/>
              </w:rPr>
            </w:pPr>
            <w:r w:rsidRPr="00C64609">
              <w:rPr>
                <w:rFonts w:ascii="Garamond" w:hAnsi="Garamond" w:cs="Calibri" w:hint="eastAsia"/>
                <w:color w:val="000000" w:themeColor="text1"/>
                <w:sz w:val="16"/>
                <w:szCs w:val="16"/>
              </w:rPr>
              <w:t>(-2.81)</w:t>
            </w:r>
          </w:p>
        </w:tc>
        <w:tc>
          <w:tcPr>
            <w:tcW w:w="2126" w:type="dxa"/>
            <w:shd w:val="clear" w:color="auto" w:fill="auto"/>
          </w:tcPr>
          <w:p w:rsidR="00583BD3" w:rsidRPr="00DD0A30" w:rsidRDefault="00583BD3" w:rsidP="000727E8">
            <w:pPr>
              <w:jc w:val="center"/>
              <w:rPr>
                <w:rFonts w:ascii="Garamond" w:hAnsi="Garamond" w:cs="Calibri"/>
                <w:color w:val="000000"/>
                <w:sz w:val="16"/>
                <w:szCs w:val="16"/>
              </w:rPr>
            </w:pP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(-1.42)</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(-1.47)</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(-1.42)</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(-1.39)</w:t>
            </w:r>
          </w:p>
        </w:tc>
        <w:tc>
          <w:tcPr>
            <w:tcW w:w="850"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(-1.44)</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(-1.36)</w:t>
            </w:r>
          </w:p>
        </w:tc>
      </w:tr>
      <w:tr w:rsidR="00583BD3" w:rsidRPr="000429AF" w:rsidTr="000727E8">
        <w:trPr>
          <w:trHeight w:hRule="exact" w:val="255"/>
        </w:trPr>
        <w:tc>
          <w:tcPr>
            <w:tcW w:w="2079" w:type="dxa"/>
            <w:shd w:val="clear" w:color="auto" w:fill="auto"/>
            <w:noWrap/>
            <w:hideMark/>
          </w:tcPr>
          <w:p w:rsidR="00583BD3" w:rsidRPr="00C64609" w:rsidRDefault="00583BD3" w:rsidP="000727E8">
            <w:pPr>
              <w:jc w:val="center"/>
              <w:rPr>
                <w:rFonts w:ascii="Garamond" w:hAnsi="Garamond" w:cs="Calibri"/>
                <w:color w:val="000000" w:themeColor="text1"/>
                <w:sz w:val="16"/>
                <w:szCs w:val="16"/>
              </w:rPr>
            </w:pPr>
            <w:r w:rsidRPr="00C64609">
              <w:rPr>
                <w:rFonts w:ascii="Garamond" w:hAnsi="Garamond" w:cs="Calibri" w:hint="eastAsia"/>
                <w:color w:val="000000" w:themeColor="text1"/>
                <w:sz w:val="16"/>
                <w:szCs w:val="16"/>
              </w:rPr>
              <w:t xml:space="preserve">Average of Female </w:t>
            </w:r>
            <w:proofErr w:type="spellStart"/>
            <w:r w:rsidRPr="00C64609">
              <w:rPr>
                <w:rFonts w:ascii="Garamond" w:hAnsi="Garamond" w:cs="Calibri" w:hint="eastAsia"/>
                <w:color w:val="000000" w:themeColor="text1"/>
                <w:sz w:val="16"/>
                <w:szCs w:val="16"/>
              </w:rPr>
              <w:t>Directors</w:t>
            </w:r>
            <w:r w:rsidRPr="00DD0A30">
              <w:rPr>
                <w:rFonts w:ascii="Garamond" w:hAnsi="Garamond" w:cs="Calibri"/>
                <w:color w:val="000000"/>
                <w:sz w:val="16"/>
                <w:szCs w:val="16"/>
                <w:vertAlign w:val="subscript"/>
              </w:rPr>
              <w:t>t</w:t>
            </w:r>
            <w:proofErr w:type="spellEnd"/>
          </w:p>
        </w:tc>
        <w:tc>
          <w:tcPr>
            <w:tcW w:w="899" w:type="dxa"/>
            <w:shd w:val="clear" w:color="auto" w:fill="auto"/>
            <w:vAlign w:val="center"/>
          </w:tcPr>
          <w:p w:rsidR="00583BD3" w:rsidRPr="00C64609" w:rsidRDefault="00583BD3" w:rsidP="000727E8">
            <w:pPr>
              <w:rPr>
                <w:rFonts w:ascii="Garamond" w:hAnsi="Garamond" w:cs="Calibri"/>
                <w:color w:val="000000" w:themeColor="text1"/>
                <w:sz w:val="16"/>
                <w:szCs w:val="16"/>
              </w:rPr>
            </w:pPr>
            <w:r w:rsidRPr="00C64609">
              <w:rPr>
                <w:rFonts w:ascii="Garamond" w:hAnsi="Garamond" w:cs="Calibri" w:hint="eastAsia"/>
                <w:color w:val="000000" w:themeColor="text1"/>
                <w:sz w:val="16"/>
                <w:szCs w:val="16"/>
              </w:rPr>
              <w:t>-20.35***</w:t>
            </w:r>
          </w:p>
        </w:tc>
        <w:tc>
          <w:tcPr>
            <w:tcW w:w="2126" w:type="dxa"/>
            <w:shd w:val="clear" w:color="auto" w:fill="auto"/>
          </w:tcPr>
          <w:p w:rsidR="00583BD3" w:rsidRPr="00DD0A30" w:rsidRDefault="00583BD3" w:rsidP="000727E8">
            <w:pPr>
              <w:jc w:val="center"/>
              <w:rPr>
                <w:rFonts w:ascii="Garamond" w:hAnsi="Garamond" w:cs="Calibri"/>
                <w:color w:val="000000"/>
                <w:sz w:val="16"/>
                <w:szCs w:val="16"/>
              </w:rPr>
            </w:pPr>
            <w:r w:rsidRPr="00DD0A30">
              <w:rPr>
                <w:rFonts w:ascii="Garamond" w:hAnsi="Garamond" w:cs="Calibri"/>
                <w:color w:val="000000"/>
                <w:sz w:val="16"/>
                <w:szCs w:val="16"/>
              </w:rPr>
              <w:t>Industry-</w:t>
            </w:r>
            <w:proofErr w:type="spellStart"/>
            <w:r w:rsidRPr="00DD0A30">
              <w:rPr>
                <w:rFonts w:ascii="Garamond" w:hAnsi="Garamond" w:cs="Calibri"/>
                <w:color w:val="000000"/>
                <w:sz w:val="16"/>
                <w:szCs w:val="16"/>
              </w:rPr>
              <w:t>Adj</w:t>
            </w:r>
            <w:proofErr w:type="spellEnd"/>
            <w:r w:rsidRPr="00DD0A30">
              <w:rPr>
                <w:rFonts w:ascii="Garamond" w:hAnsi="Garamond" w:cs="Calibri"/>
                <w:color w:val="000000"/>
                <w:sz w:val="16"/>
                <w:szCs w:val="16"/>
              </w:rPr>
              <w:t xml:space="preserve"> ROA</w:t>
            </w:r>
            <w:r w:rsidRPr="00DD0A30">
              <w:rPr>
                <w:rFonts w:ascii="Garamond" w:hAnsi="Garamond" w:cs="Calibri"/>
                <w:color w:val="000000"/>
                <w:sz w:val="16"/>
                <w:szCs w:val="16"/>
                <w:vertAlign w:val="subscript"/>
              </w:rPr>
              <w:t>t-1</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-0.0117*</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-0.0125*</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-0.0110</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-0.0117*</w:t>
            </w:r>
          </w:p>
        </w:tc>
        <w:tc>
          <w:tcPr>
            <w:tcW w:w="850"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-0.0116</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-0.0107</w:t>
            </w:r>
          </w:p>
        </w:tc>
      </w:tr>
      <w:tr w:rsidR="00583BD3" w:rsidRPr="000429AF" w:rsidTr="000727E8">
        <w:trPr>
          <w:trHeight w:hRule="exact" w:val="255"/>
        </w:trPr>
        <w:tc>
          <w:tcPr>
            <w:tcW w:w="2079" w:type="dxa"/>
            <w:shd w:val="clear" w:color="auto" w:fill="auto"/>
            <w:noWrap/>
            <w:hideMark/>
          </w:tcPr>
          <w:p w:rsidR="00583BD3" w:rsidRPr="00C64609" w:rsidRDefault="00583BD3" w:rsidP="000727E8">
            <w:pPr>
              <w:jc w:val="center"/>
              <w:rPr>
                <w:rFonts w:ascii="Garamond" w:hAnsi="Garamond" w:cs="Calibri"/>
                <w:color w:val="000000" w:themeColor="text1"/>
                <w:sz w:val="16"/>
                <w:szCs w:val="16"/>
              </w:rPr>
            </w:pPr>
          </w:p>
        </w:tc>
        <w:tc>
          <w:tcPr>
            <w:tcW w:w="899" w:type="dxa"/>
            <w:shd w:val="clear" w:color="auto" w:fill="auto"/>
            <w:vAlign w:val="center"/>
          </w:tcPr>
          <w:p w:rsidR="00583BD3" w:rsidRPr="00C64609" w:rsidRDefault="00583BD3" w:rsidP="000727E8">
            <w:pPr>
              <w:rPr>
                <w:rFonts w:ascii="Garamond" w:hAnsi="Garamond" w:cs="Calibri"/>
                <w:color w:val="000000" w:themeColor="text1"/>
                <w:sz w:val="16"/>
                <w:szCs w:val="16"/>
              </w:rPr>
            </w:pPr>
            <w:r w:rsidRPr="00C64609">
              <w:rPr>
                <w:rFonts w:ascii="Garamond" w:hAnsi="Garamond" w:cs="Calibri" w:hint="eastAsia"/>
                <w:color w:val="000000" w:themeColor="text1"/>
                <w:sz w:val="16"/>
                <w:szCs w:val="16"/>
              </w:rPr>
              <w:t>(-13.63)</w:t>
            </w:r>
          </w:p>
        </w:tc>
        <w:tc>
          <w:tcPr>
            <w:tcW w:w="2126" w:type="dxa"/>
            <w:shd w:val="clear" w:color="auto" w:fill="auto"/>
          </w:tcPr>
          <w:p w:rsidR="00583BD3" w:rsidRPr="00DD0A30" w:rsidRDefault="00583BD3" w:rsidP="000727E8">
            <w:pPr>
              <w:jc w:val="center"/>
              <w:rPr>
                <w:rFonts w:ascii="Garamond" w:hAnsi="Garamond" w:cs="Calibri"/>
                <w:color w:val="000000"/>
                <w:sz w:val="16"/>
                <w:szCs w:val="16"/>
              </w:rPr>
            </w:pP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(-1.74)</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(-1.76)</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(-1.63)</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(-1.74)</w:t>
            </w:r>
          </w:p>
        </w:tc>
        <w:tc>
          <w:tcPr>
            <w:tcW w:w="850"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(-1.66)</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(-1.64)</w:t>
            </w:r>
          </w:p>
        </w:tc>
      </w:tr>
      <w:tr w:rsidR="00583BD3" w:rsidRPr="000429AF" w:rsidTr="000727E8">
        <w:trPr>
          <w:trHeight w:hRule="exact" w:val="255"/>
        </w:trPr>
        <w:tc>
          <w:tcPr>
            <w:tcW w:w="2079" w:type="dxa"/>
            <w:shd w:val="clear" w:color="auto" w:fill="auto"/>
            <w:noWrap/>
            <w:hideMark/>
          </w:tcPr>
          <w:p w:rsidR="00583BD3" w:rsidRPr="00C64609" w:rsidRDefault="00583BD3" w:rsidP="000727E8">
            <w:pPr>
              <w:jc w:val="center"/>
              <w:rPr>
                <w:rFonts w:ascii="Garamond" w:hAnsi="Garamond" w:cs="Calibri"/>
                <w:color w:val="000000" w:themeColor="text1"/>
                <w:sz w:val="16"/>
                <w:szCs w:val="16"/>
              </w:rPr>
            </w:pPr>
            <w:r>
              <w:rPr>
                <w:rFonts w:ascii="Garamond" w:hAnsi="Garamond" w:cs="Calibri"/>
                <w:color w:val="000000" w:themeColor="text1"/>
                <w:sz w:val="16"/>
                <w:szCs w:val="16"/>
              </w:rPr>
              <w:t>Constant</w:t>
            </w:r>
          </w:p>
        </w:tc>
        <w:tc>
          <w:tcPr>
            <w:tcW w:w="899" w:type="dxa"/>
            <w:shd w:val="clear" w:color="auto" w:fill="auto"/>
            <w:vAlign w:val="center"/>
          </w:tcPr>
          <w:p w:rsidR="00583BD3" w:rsidRPr="007D286E" w:rsidRDefault="00583BD3" w:rsidP="000727E8">
            <w:pPr>
              <w:rPr>
                <w:rFonts w:ascii="Garamond" w:hAnsi="Garamond" w:cs="Calibri"/>
                <w:color w:val="000000" w:themeColor="text1"/>
                <w:sz w:val="16"/>
                <w:szCs w:val="16"/>
              </w:rPr>
            </w:pPr>
            <w:r w:rsidRPr="007D286E">
              <w:rPr>
                <w:rFonts w:ascii="Garamond" w:hAnsi="Garamond" w:cs="Calibri" w:hint="eastAsia"/>
                <w:color w:val="000000" w:themeColor="text1"/>
                <w:sz w:val="16"/>
                <w:szCs w:val="16"/>
              </w:rPr>
              <w:t>121.7***</w:t>
            </w:r>
          </w:p>
        </w:tc>
        <w:tc>
          <w:tcPr>
            <w:tcW w:w="2126" w:type="dxa"/>
            <w:shd w:val="clear" w:color="auto" w:fill="auto"/>
          </w:tcPr>
          <w:p w:rsidR="00583BD3" w:rsidRPr="00DD0A30" w:rsidRDefault="00583BD3" w:rsidP="000727E8">
            <w:pPr>
              <w:jc w:val="center"/>
              <w:rPr>
                <w:rFonts w:ascii="Garamond" w:hAnsi="Garamond" w:cs="Calibri"/>
                <w:color w:val="000000"/>
                <w:sz w:val="16"/>
                <w:szCs w:val="16"/>
              </w:rPr>
            </w:pPr>
            <w:r w:rsidRPr="00DD0A30">
              <w:rPr>
                <w:rFonts w:ascii="Garamond" w:hAnsi="Garamond" w:cs="Calibri"/>
                <w:color w:val="000000"/>
                <w:sz w:val="16"/>
                <w:szCs w:val="16"/>
              </w:rPr>
              <w:t>CEO is Chairman dummy</w:t>
            </w:r>
            <w:r w:rsidRPr="00DD0A30">
              <w:rPr>
                <w:rFonts w:ascii="Garamond" w:hAnsi="Garamond" w:cs="Calibri"/>
                <w:color w:val="000000"/>
                <w:sz w:val="16"/>
                <w:szCs w:val="16"/>
                <w:vertAlign w:val="subscript"/>
              </w:rPr>
              <w:t>t-1</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-0.00503</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-0.00197</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-0.00412</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-0.00161</w:t>
            </w:r>
          </w:p>
        </w:tc>
        <w:tc>
          <w:tcPr>
            <w:tcW w:w="850"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0.00288</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-0.00345</w:t>
            </w:r>
          </w:p>
        </w:tc>
      </w:tr>
      <w:tr w:rsidR="00583BD3" w:rsidRPr="000429AF" w:rsidTr="000727E8">
        <w:trPr>
          <w:trHeight w:hRule="exact" w:val="255"/>
        </w:trPr>
        <w:tc>
          <w:tcPr>
            <w:tcW w:w="2079" w:type="dxa"/>
            <w:shd w:val="clear" w:color="auto" w:fill="auto"/>
            <w:noWrap/>
            <w:hideMark/>
          </w:tcPr>
          <w:p w:rsidR="00583BD3" w:rsidRPr="00C64609" w:rsidRDefault="00583BD3" w:rsidP="000727E8">
            <w:pPr>
              <w:jc w:val="center"/>
              <w:rPr>
                <w:rFonts w:ascii="Garamond" w:hAnsi="Garamond" w:cs="Calibri"/>
                <w:color w:val="000000" w:themeColor="text1"/>
                <w:sz w:val="16"/>
                <w:szCs w:val="16"/>
              </w:rPr>
            </w:pPr>
          </w:p>
        </w:tc>
        <w:tc>
          <w:tcPr>
            <w:tcW w:w="899" w:type="dxa"/>
            <w:shd w:val="clear" w:color="auto" w:fill="auto"/>
            <w:vAlign w:val="center"/>
          </w:tcPr>
          <w:p w:rsidR="00583BD3" w:rsidRPr="007D286E" w:rsidRDefault="00583BD3" w:rsidP="000727E8">
            <w:pPr>
              <w:rPr>
                <w:rFonts w:ascii="Garamond" w:hAnsi="Garamond" w:cs="Calibri"/>
                <w:color w:val="000000" w:themeColor="text1"/>
                <w:sz w:val="16"/>
                <w:szCs w:val="16"/>
              </w:rPr>
            </w:pPr>
            <w:r w:rsidRPr="007D286E">
              <w:rPr>
                <w:rFonts w:ascii="Garamond" w:hAnsi="Garamond" w:cs="Calibri" w:hint="eastAsia"/>
                <w:color w:val="000000" w:themeColor="text1"/>
                <w:sz w:val="16"/>
                <w:szCs w:val="16"/>
              </w:rPr>
              <w:t>(12.96)</w:t>
            </w:r>
          </w:p>
        </w:tc>
        <w:tc>
          <w:tcPr>
            <w:tcW w:w="2126" w:type="dxa"/>
            <w:shd w:val="clear" w:color="auto" w:fill="auto"/>
          </w:tcPr>
          <w:p w:rsidR="00583BD3" w:rsidRPr="00DD0A30" w:rsidRDefault="00583BD3" w:rsidP="000727E8">
            <w:pPr>
              <w:jc w:val="center"/>
              <w:rPr>
                <w:rFonts w:ascii="Garamond" w:hAnsi="Garamond" w:cs="Calibri"/>
                <w:color w:val="000000"/>
                <w:sz w:val="16"/>
                <w:szCs w:val="16"/>
              </w:rPr>
            </w:pP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(-0.23)</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(-0.08)</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(-0.19)</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(-0.07)</w:t>
            </w:r>
          </w:p>
        </w:tc>
        <w:tc>
          <w:tcPr>
            <w:tcW w:w="850"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(0.12)</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(-0.16)</w:t>
            </w:r>
          </w:p>
        </w:tc>
      </w:tr>
      <w:tr w:rsidR="00583BD3" w:rsidRPr="000429AF" w:rsidTr="000727E8">
        <w:trPr>
          <w:trHeight w:hRule="exact" w:val="255"/>
        </w:trPr>
        <w:tc>
          <w:tcPr>
            <w:tcW w:w="2079" w:type="dxa"/>
            <w:shd w:val="clear" w:color="auto" w:fill="auto"/>
            <w:noWrap/>
            <w:hideMark/>
          </w:tcPr>
          <w:p w:rsidR="00583BD3" w:rsidRPr="00C64609" w:rsidRDefault="00583BD3" w:rsidP="000727E8">
            <w:pPr>
              <w:jc w:val="center"/>
              <w:rPr>
                <w:rFonts w:ascii="Garamond" w:hAnsi="Garamond" w:cs="Calibri"/>
                <w:color w:val="000000" w:themeColor="text1"/>
                <w:sz w:val="16"/>
                <w:szCs w:val="16"/>
              </w:rPr>
            </w:pPr>
          </w:p>
        </w:tc>
        <w:tc>
          <w:tcPr>
            <w:tcW w:w="899" w:type="dxa"/>
            <w:shd w:val="clear" w:color="auto" w:fill="auto"/>
          </w:tcPr>
          <w:p w:rsidR="00583BD3" w:rsidRPr="00C64609" w:rsidRDefault="00583BD3" w:rsidP="000727E8">
            <w:pPr>
              <w:jc w:val="center"/>
              <w:rPr>
                <w:rFonts w:ascii="Garamond" w:hAnsi="Garamond" w:cs="Calibri"/>
                <w:color w:val="000000" w:themeColor="text1"/>
                <w:sz w:val="16"/>
                <w:szCs w:val="16"/>
              </w:rPr>
            </w:pPr>
          </w:p>
        </w:tc>
        <w:tc>
          <w:tcPr>
            <w:tcW w:w="2126" w:type="dxa"/>
            <w:shd w:val="clear" w:color="auto" w:fill="auto"/>
          </w:tcPr>
          <w:p w:rsidR="00583BD3" w:rsidRPr="00DD0A30" w:rsidRDefault="00583BD3" w:rsidP="000727E8">
            <w:pPr>
              <w:jc w:val="center"/>
              <w:rPr>
                <w:rFonts w:ascii="Garamond" w:hAnsi="Garamond" w:cs="Calibri"/>
                <w:color w:val="000000"/>
                <w:sz w:val="16"/>
                <w:szCs w:val="16"/>
              </w:rPr>
            </w:pPr>
            <w:proofErr w:type="spellStart"/>
            <w:r w:rsidRPr="00DD0A30">
              <w:rPr>
                <w:rFonts w:ascii="Garamond" w:hAnsi="Garamond" w:cs="Calibri"/>
                <w:color w:val="000000"/>
                <w:sz w:val="16"/>
                <w:szCs w:val="16"/>
              </w:rPr>
              <w:t>Ln</w:t>
            </w:r>
            <w:proofErr w:type="spellEnd"/>
            <w:r w:rsidRPr="00DD0A30">
              <w:rPr>
                <w:rFonts w:ascii="Garamond" w:hAnsi="Garamond" w:cs="Calibri"/>
                <w:color w:val="000000"/>
                <w:sz w:val="16"/>
                <w:szCs w:val="16"/>
              </w:rPr>
              <w:t>(market-to-book)</w:t>
            </w:r>
            <w:r w:rsidRPr="00DD0A30">
              <w:rPr>
                <w:rFonts w:ascii="Garamond" w:hAnsi="Garamond" w:cs="Calibri"/>
                <w:color w:val="000000"/>
                <w:sz w:val="16"/>
                <w:szCs w:val="16"/>
                <w:vertAlign w:val="subscript"/>
              </w:rPr>
              <w:t>t-1</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0.0496***</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0.0504***</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0.0499***</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0.0491***</w:t>
            </w:r>
          </w:p>
        </w:tc>
        <w:tc>
          <w:tcPr>
            <w:tcW w:w="850"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0.0501***</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0.0485***</w:t>
            </w:r>
          </w:p>
        </w:tc>
      </w:tr>
      <w:tr w:rsidR="00583BD3" w:rsidRPr="000429AF" w:rsidTr="000727E8">
        <w:trPr>
          <w:trHeight w:hRule="exact" w:val="255"/>
        </w:trPr>
        <w:tc>
          <w:tcPr>
            <w:tcW w:w="2079" w:type="dxa"/>
            <w:shd w:val="clear" w:color="auto" w:fill="auto"/>
            <w:noWrap/>
            <w:hideMark/>
          </w:tcPr>
          <w:p w:rsidR="00583BD3" w:rsidRPr="00C64609" w:rsidRDefault="00583BD3" w:rsidP="000727E8">
            <w:pPr>
              <w:jc w:val="center"/>
              <w:rPr>
                <w:rFonts w:ascii="Garamond" w:hAnsi="Garamond" w:cs="Calibri"/>
                <w:color w:val="000000" w:themeColor="text1"/>
                <w:sz w:val="16"/>
                <w:szCs w:val="16"/>
              </w:rPr>
            </w:pPr>
          </w:p>
        </w:tc>
        <w:tc>
          <w:tcPr>
            <w:tcW w:w="899" w:type="dxa"/>
            <w:shd w:val="clear" w:color="auto" w:fill="auto"/>
          </w:tcPr>
          <w:p w:rsidR="00583BD3" w:rsidRPr="00C64609" w:rsidRDefault="00583BD3" w:rsidP="000727E8">
            <w:pPr>
              <w:jc w:val="center"/>
              <w:rPr>
                <w:rFonts w:ascii="Garamond" w:hAnsi="Garamond" w:cs="Calibri"/>
                <w:color w:val="000000" w:themeColor="text1"/>
                <w:sz w:val="16"/>
                <w:szCs w:val="16"/>
              </w:rPr>
            </w:pPr>
          </w:p>
        </w:tc>
        <w:tc>
          <w:tcPr>
            <w:tcW w:w="2126" w:type="dxa"/>
            <w:shd w:val="clear" w:color="auto" w:fill="auto"/>
          </w:tcPr>
          <w:p w:rsidR="00583BD3" w:rsidRPr="00DD0A30" w:rsidRDefault="00583BD3" w:rsidP="000727E8">
            <w:pPr>
              <w:jc w:val="center"/>
              <w:rPr>
                <w:rFonts w:ascii="Garamond" w:hAnsi="Garamond" w:cs="Calibri"/>
                <w:color w:val="000000"/>
                <w:sz w:val="16"/>
                <w:szCs w:val="16"/>
              </w:rPr>
            </w:pP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(2.63)</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(2.67)</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(2.64)</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(2.68)</w:t>
            </w:r>
          </w:p>
        </w:tc>
        <w:tc>
          <w:tcPr>
            <w:tcW w:w="850"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(2.73)</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(2.68)</w:t>
            </w:r>
          </w:p>
        </w:tc>
      </w:tr>
      <w:tr w:rsidR="00583BD3" w:rsidRPr="000429AF" w:rsidTr="000727E8">
        <w:trPr>
          <w:trHeight w:hRule="exact" w:val="255"/>
        </w:trPr>
        <w:tc>
          <w:tcPr>
            <w:tcW w:w="2079" w:type="dxa"/>
            <w:shd w:val="clear" w:color="auto" w:fill="auto"/>
            <w:noWrap/>
            <w:hideMark/>
          </w:tcPr>
          <w:p w:rsidR="00583BD3" w:rsidRPr="00C64609" w:rsidRDefault="00583BD3" w:rsidP="000727E8">
            <w:pPr>
              <w:jc w:val="center"/>
              <w:rPr>
                <w:rFonts w:ascii="Garamond" w:hAnsi="Garamond" w:cs="Calibri"/>
                <w:color w:val="000000" w:themeColor="text1"/>
                <w:sz w:val="16"/>
                <w:szCs w:val="16"/>
              </w:rPr>
            </w:pPr>
          </w:p>
        </w:tc>
        <w:tc>
          <w:tcPr>
            <w:tcW w:w="899" w:type="dxa"/>
            <w:shd w:val="clear" w:color="auto" w:fill="auto"/>
          </w:tcPr>
          <w:p w:rsidR="00583BD3" w:rsidRPr="00C64609" w:rsidRDefault="00583BD3" w:rsidP="000727E8">
            <w:pPr>
              <w:jc w:val="center"/>
              <w:rPr>
                <w:rFonts w:ascii="Garamond" w:hAnsi="Garamond" w:cs="Calibri"/>
                <w:color w:val="000000" w:themeColor="text1"/>
                <w:sz w:val="16"/>
                <w:szCs w:val="16"/>
              </w:rPr>
            </w:pPr>
          </w:p>
        </w:tc>
        <w:tc>
          <w:tcPr>
            <w:tcW w:w="2126" w:type="dxa"/>
            <w:shd w:val="clear" w:color="auto" w:fill="auto"/>
          </w:tcPr>
          <w:p w:rsidR="00583BD3" w:rsidRPr="00DD0A30" w:rsidRDefault="00583BD3" w:rsidP="000727E8">
            <w:pPr>
              <w:jc w:val="center"/>
              <w:rPr>
                <w:rFonts w:ascii="Garamond" w:hAnsi="Garamond" w:cs="Calibri"/>
                <w:color w:val="000000"/>
                <w:sz w:val="16"/>
                <w:szCs w:val="16"/>
              </w:rPr>
            </w:pPr>
            <w:r w:rsidRPr="00DD0A30">
              <w:rPr>
                <w:rFonts w:ascii="Garamond" w:hAnsi="Garamond" w:cs="Calibri"/>
                <w:color w:val="000000"/>
                <w:sz w:val="16"/>
                <w:szCs w:val="16"/>
              </w:rPr>
              <w:t>Capital expenditure</w:t>
            </w:r>
            <w:r w:rsidRPr="00DD0A30">
              <w:rPr>
                <w:rFonts w:ascii="Garamond" w:hAnsi="Garamond" w:cs="Calibri"/>
                <w:color w:val="000000"/>
                <w:sz w:val="16"/>
                <w:szCs w:val="16"/>
                <w:vertAlign w:val="subscript"/>
              </w:rPr>
              <w:t>t-1</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0.0831</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0.0845</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0.0593</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0.0930</w:t>
            </w:r>
          </w:p>
        </w:tc>
        <w:tc>
          <w:tcPr>
            <w:tcW w:w="850"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0.0693</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0.0792</w:t>
            </w:r>
          </w:p>
        </w:tc>
      </w:tr>
      <w:tr w:rsidR="00583BD3" w:rsidRPr="000429AF" w:rsidTr="000727E8">
        <w:trPr>
          <w:trHeight w:hRule="exact" w:val="255"/>
        </w:trPr>
        <w:tc>
          <w:tcPr>
            <w:tcW w:w="2079" w:type="dxa"/>
            <w:shd w:val="clear" w:color="auto" w:fill="auto"/>
            <w:noWrap/>
            <w:hideMark/>
          </w:tcPr>
          <w:p w:rsidR="00583BD3" w:rsidRPr="00C64609" w:rsidRDefault="00583BD3" w:rsidP="000727E8">
            <w:pPr>
              <w:jc w:val="center"/>
              <w:rPr>
                <w:rFonts w:ascii="Garamond" w:hAnsi="Garamond" w:cs="Calibri"/>
                <w:color w:val="000000" w:themeColor="text1"/>
                <w:sz w:val="16"/>
                <w:szCs w:val="16"/>
              </w:rPr>
            </w:pPr>
          </w:p>
        </w:tc>
        <w:tc>
          <w:tcPr>
            <w:tcW w:w="899" w:type="dxa"/>
            <w:shd w:val="clear" w:color="auto" w:fill="auto"/>
          </w:tcPr>
          <w:p w:rsidR="00583BD3" w:rsidRPr="00C64609" w:rsidRDefault="00583BD3" w:rsidP="000727E8">
            <w:pPr>
              <w:jc w:val="center"/>
              <w:rPr>
                <w:rFonts w:ascii="Garamond" w:hAnsi="Garamond" w:cs="Calibri"/>
                <w:color w:val="000000" w:themeColor="text1"/>
                <w:sz w:val="16"/>
                <w:szCs w:val="16"/>
              </w:rPr>
            </w:pPr>
          </w:p>
        </w:tc>
        <w:tc>
          <w:tcPr>
            <w:tcW w:w="2126" w:type="dxa"/>
            <w:shd w:val="clear" w:color="auto" w:fill="auto"/>
          </w:tcPr>
          <w:p w:rsidR="00583BD3" w:rsidRPr="00DD0A30" w:rsidRDefault="00583BD3" w:rsidP="000727E8">
            <w:pPr>
              <w:jc w:val="center"/>
              <w:rPr>
                <w:rFonts w:ascii="Garamond" w:hAnsi="Garamond" w:cs="Calibri"/>
                <w:color w:val="000000"/>
                <w:sz w:val="16"/>
                <w:szCs w:val="16"/>
              </w:rPr>
            </w:pP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(0.37)</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(0.37)</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(0.26)</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(0.41)</w:t>
            </w:r>
          </w:p>
        </w:tc>
        <w:tc>
          <w:tcPr>
            <w:tcW w:w="850"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(0.30)</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(0.36)</w:t>
            </w:r>
          </w:p>
        </w:tc>
      </w:tr>
      <w:tr w:rsidR="00583BD3" w:rsidRPr="000429AF" w:rsidTr="000727E8">
        <w:trPr>
          <w:trHeight w:hRule="exact" w:val="255"/>
        </w:trPr>
        <w:tc>
          <w:tcPr>
            <w:tcW w:w="2079" w:type="dxa"/>
            <w:shd w:val="clear" w:color="auto" w:fill="FFFFFF" w:themeFill="background1"/>
            <w:noWrap/>
            <w:hideMark/>
          </w:tcPr>
          <w:p w:rsidR="00583BD3" w:rsidRPr="00C64609" w:rsidRDefault="00583BD3" w:rsidP="000727E8">
            <w:pPr>
              <w:jc w:val="center"/>
              <w:rPr>
                <w:rFonts w:ascii="Garamond" w:hAnsi="Garamond" w:cs="Calibri"/>
                <w:color w:val="000000" w:themeColor="text1"/>
                <w:sz w:val="16"/>
                <w:szCs w:val="16"/>
              </w:rPr>
            </w:pPr>
          </w:p>
        </w:tc>
        <w:tc>
          <w:tcPr>
            <w:tcW w:w="899" w:type="dxa"/>
            <w:shd w:val="clear" w:color="auto" w:fill="FFFFFF" w:themeFill="background1"/>
          </w:tcPr>
          <w:p w:rsidR="00583BD3" w:rsidRPr="00C64609" w:rsidRDefault="00583BD3" w:rsidP="000727E8">
            <w:pPr>
              <w:jc w:val="center"/>
              <w:rPr>
                <w:rFonts w:ascii="Garamond" w:hAnsi="Garamond" w:cs="Calibri"/>
                <w:color w:val="000000" w:themeColor="text1"/>
                <w:sz w:val="16"/>
                <w:szCs w:val="16"/>
              </w:rPr>
            </w:pPr>
          </w:p>
        </w:tc>
        <w:tc>
          <w:tcPr>
            <w:tcW w:w="2126" w:type="dxa"/>
            <w:shd w:val="clear" w:color="auto" w:fill="FFFFFF" w:themeFill="background1"/>
          </w:tcPr>
          <w:p w:rsidR="00583BD3" w:rsidRPr="00DD0A30" w:rsidRDefault="00583BD3" w:rsidP="000727E8">
            <w:pPr>
              <w:jc w:val="center"/>
              <w:rPr>
                <w:rFonts w:ascii="Garamond" w:hAnsi="Garamond" w:cs="Calibri"/>
                <w:color w:val="000000"/>
                <w:sz w:val="16"/>
                <w:szCs w:val="16"/>
              </w:rPr>
            </w:pPr>
            <w:proofErr w:type="spellStart"/>
            <w:r w:rsidRPr="00DD0A30">
              <w:rPr>
                <w:rFonts w:ascii="Garamond" w:hAnsi="Garamond" w:cs="Calibri"/>
                <w:color w:val="000000"/>
                <w:sz w:val="16"/>
                <w:szCs w:val="16"/>
              </w:rPr>
              <w:t>Ln</w:t>
            </w:r>
            <w:proofErr w:type="spellEnd"/>
            <w:r w:rsidRPr="00DD0A30">
              <w:rPr>
                <w:rFonts w:ascii="Garamond" w:hAnsi="Garamond" w:cs="Calibri"/>
                <w:color w:val="000000"/>
                <w:sz w:val="16"/>
                <w:szCs w:val="16"/>
              </w:rPr>
              <w:t>(total assets)</w:t>
            </w:r>
            <w:r w:rsidRPr="00DD0A30">
              <w:rPr>
                <w:rFonts w:ascii="Garamond" w:hAnsi="Garamond" w:cs="Calibri"/>
                <w:color w:val="000000"/>
                <w:sz w:val="16"/>
                <w:szCs w:val="16"/>
                <w:vertAlign w:val="subscript"/>
              </w:rPr>
              <w:t>t-1</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0.0606***</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0.0602***</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0.0617***</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0.0615***</w:t>
            </w:r>
          </w:p>
        </w:tc>
        <w:tc>
          <w:tcPr>
            <w:tcW w:w="850"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0.0623***</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0.0636***</w:t>
            </w:r>
          </w:p>
        </w:tc>
      </w:tr>
      <w:tr w:rsidR="00583BD3" w:rsidRPr="000429AF" w:rsidTr="000727E8">
        <w:trPr>
          <w:trHeight w:hRule="exact" w:val="255"/>
        </w:trPr>
        <w:tc>
          <w:tcPr>
            <w:tcW w:w="2079" w:type="dxa"/>
            <w:shd w:val="clear" w:color="auto" w:fill="auto"/>
            <w:noWrap/>
            <w:hideMark/>
          </w:tcPr>
          <w:p w:rsidR="00583BD3" w:rsidRPr="00C64609" w:rsidRDefault="00583BD3" w:rsidP="000727E8">
            <w:pPr>
              <w:jc w:val="center"/>
              <w:rPr>
                <w:rFonts w:ascii="Garamond" w:hAnsi="Garamond" w:cs="Calibri"/>
                <w:color w:val="000000" w:themeColor="text1"/>
                <w:sz w:val="16"/>
                <w:szCs w:val="16"/>
              </w:rPr>
            </w:pPr>
          </w:p>
        </w:tc>
        <w:tc>
          <w:tcPr>
            <w:tcW w:w="899" w:type="dxa"/>
            <w:shd w:val="clear" w:color="auto" w:fill="auto"/>
          </w:tcPr>
          <w:p w:rsidR="00583BD3" w:rsidRPr="00C64609" w:rsidRDefault="00583BD3" w:rsidP="000727E8">
            <w:pPr>
              <w:jc w:val="center"/>
              <w:rPr>
                <w:rFonts w:ascii="Garamond" w:hAnsi="Garamond" w:cs="Calibri"/>
                <w:color w:val="000000" w:themeColor="text1"/>
                <w:sz w:val="16"/>
                <w:szCs w:val="16"/>
              </w:rPr>
            </w:pPr>
          </w:p>
        </w:tc>
        <w:tc>
          <w:tcPr>
            <w:tcW w:w="2126" w:type="dxa"/>
            <w:shd w:val="clear" w:color="auto" w:fill="auto"/>
          </w:tcPr>
          <w:p w:rsidR="00583BD3" w:rsidRPr="00DD0A30" w:rsidRDefault="00583BD3" w:rsidP="000727E8">
            <w:pPr>
              <w:jc w:val="center"/>
              <w:rPr>
                <w:rFonts w:ascii="Garamond" w:hAnsi="Garamond" w:cs="Calibri"/>
                <w:color w:val="000000"/>
                <w:sz w:val="16"/>
                <w:szCs w:val="16"/>
              </w:rPr>
            </w:pP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(3.19)</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(3.18)</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(3.35)</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(3.26)</w:t>
            </w:r>
          </w:p>
        </w:tc>
        <w:tc>
          <w:tcPr>
            <w:tcW w:w="850"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(3.43)</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(3.44)</w:t>
            </w:r>
          </w:p>
        </w:tc>
      </w:tr>
      <w:tr w:rsidR="00583BD3" w:rsidRPr="000429AF" w:rsidTr="000727E8">
        <w:trPr>
          <w:trHeight w:hRule="exact" w:val="255"/>
        </w:trPr>
        <w:tc>
          <w:tcPr>
            <w:tcW w:w="2079" w:type="dxa"/>
            <w:shd w:val="clear" w:color="auto" w:fill="auto"/>
            <w:noWrap/>
            <w:hideMark/>
          </w:tcPr>
          <w:p w:rsidR="00583BD3" w:rsidRPr="00C64609" w:rsidRDefault="00583BD3" w:rsidP="000727E8">
            <w:pPr>
              <w:jc w:val="center"/>
              <w:rPr>
                <w:rFonts w:ascii="Garamond" w:hAnsi="Garamond" w:cs="Calibri"/>
                <w:color w:val="000000" w:themeColor="text1"/>
                <w:sz w:val="16"/>
                <w:szCs w:val="16"/>
              </w:rPr>
            </w:pPr>
          </w:p>
        </w:tc>
        <w:tc>
          <w:tcPr>
            <w:tcW w:w="899" w:type="dxa"/>
            <w:shd w:val="clear" w:color="auto" w:fill="auto"/>
          </w:tcPr>
          <w:p w:rsidR="00583BD3" w:rsidRPr="00C64609" w:rsidRDefault="00583BD3" w:rsidP="000727E8">
            <w:pPr>
              <w:jc w:val="center"/>
              <w:rPr>
                <w:rFonts w:ascii="Garamond" w:hAnsi="Garamond" w:cs="Calibri"/>
                <w:color w:val="000000" w:themeColor="text1"/>
                <w:sz w:val="16"/>
                <w:szCs w:val="16"/>
              </w:rPr>
            </w:pPr>
          </w:p>
        </w:tc>
        <w:tc>
          <w:tcPr>
            <w:tcW w:w="2126" w:type="dxa"/>
            <w:shd w:val="clear" w:color="auto" w:fill="auto"/>
          </w:tcPr>
          <w:p w:rsidR="00583BD3" w:rsidRPr="00DD0A30" w:rsidRDefault="00583BD3" w:rsidP="000727E8">
            <w:pPr>
              <w:jc w:val="center"/>
              <w:rPr>
                <w:rFonts w:ascii="Garamond" w:hAnsi="Garamond" w:cs="Calibri"/>
                <w:color w:val="000000"/>
                <w:sz w:val="16"/>
                <w:szCs w:val="16"/>
              </w:rPr>
            </w:pPr>
            <w:proofErr w:type="spellStart"/>
            <w:r w:rsidRPr="00DD0A30">
              <w:rPr>
                <w:rFonts w:ascii="Garamond" w:hAnsi="Garamond" w:cs="Calibri"/>
                <w:color w:val="000000"/>
                <w:sz w:val="16"/>
                <w:szCs w:val="16"/>
              </w:rPr>
              <w:t>Ln</w:t>
            </w:r>
            <w:proofErr w:type="spellEnd"/>
            <w:r w:rsidRPr="00DD0A30">
              <w:rPr>
                <w:rFonts w:ascii="Garamond" w:hAnsi="Garamond" w:cs="Calibri"/>
                <w:color w:val="000000"/>
                <w:sz w:val="16"/>
                <w:szCs w:val="16"/>
              </w:rPr>
              <w:t>(firm age)</w:t>
            </w:r>
            <w:r w:rsidRPr="00DD0A30">
              <w:rPr>
                <w:rFonts w:ascii="Garamond" w:hAnsi="Garamond" w:cs="Calibri"/>
                <w:color w:val="000000"/>
                <w:sz w:val="16"/>
                <w:szCs w:val="16"/>
                <w:vertAlign w:val="subscript"/>
              </w:rPr>
              <w:t>t-1</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-0.0252</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-0.0253</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-0.0283</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-0.0251</w:t>
            </w:r>
          </w:p>
        </w:tc>
        <w:tc>
          <w:tcPr>
            <w:tcW w:w="850"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-0.0285</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-0.0270</w:t>
            </w:r>
          </w:p>
        </w:tc>
      </w:tr>
      <w:tr w:rsidR="00583BD3" w:rsidRPr="000429AF" w:rsidTr="000727E8">
        <w:trPr>
          <w:trHeight w:hRule="exact" w:val="255"/>
        </w:trPr>
        <w:tc>
          <w:tcPr>
            <w:tcW w:w="2079" w:type="dxa"/>
            <w:shd w:val="clear" w:color="auto" w:fill="auto"/>
            <w:noWrap/>
            <w:hideMark/>
          </w:tcPr>
          <w:p w:rsidR="00583BD3" w:rsidRPr="00C64609" w:rsidRDefault="00583BD3" w:rsidP="000727E8">
            <w:pPr>
              <w:jc w:val="center"/>
              <w:rPr>
                <w:rFonts w:ascii="Garamond" w:hAnsi="Garamond" w:cs="Calibri"/>
                <w:color w:val="000000" w:themeColor="text1"/>
                <w:sz w:val="16"/>
                <w:szCs w:val="16"/>
              </w:rPr>
            </w:pPr>
          </w:p>
        </w:tc>
        <w:tc>
          <w:tcPr>
            <w:tcW w:w="899" w:type="dxa"/>
            <w:shd w:val="clear" w:color="auto" w:fill="auto"/>
          </w:tcPr>
          <w:p w:rsidR="00583BD3" w:rsidRPr="00C64609" w:rsidRDefault="00583BD3" w:rsidP="000727E8">
            <w:pPr>
              <w:jc w:val="center"/>
              <w:rPr>
                <w:rFonts w:ascii="Garamond" w:hAnsi="Garamond" w:cs="Calibri"/>
                <w:color w:val="000000" w:themeColor="text1"/>
                <w:sz w:val="16"/>
                <w:szCs w:val="16"/>
              </w:rPr>
            </w:pPr>
          </w:p>
        </w:tc>
        <w:tc>
          <w:tcPr>
            <w:tcW w:w="2126" w:type="dxa"/>
            <w:shd w:val="clear" w:color="auto" w:fill="auto"/>
          </w:tcPr>
          <w:p w:rsidR="00583BD3" w:rsidRPr="00DD0A30" w:rsidRDefault="00583BD3" w:rsidP="000727E8">
            <w:pPr>
              <w:jc w:val="center"/>
              <w:rPr>
                <w:rFonts w:ascii="Garamond" w:hAnsi="Garamond" w:cs="Calibri"/>
                <w:color w:val="000000"/>
                <w:sz w:val="16"/>
                <w:szCs w:val="16"/>
              </w:rPr>
            </w:pP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(-0.98)</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(-0.99)</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(-1.10)</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(-0.99)</w:t>
            </w:r>
          </w:p>
        </w:tc>
        <w:tc>
          <w:tcPr>
            <w:tcW w:w="850"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(-1.13)</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(-1.06)</w:t>
            </w:r>
          </w:p>
        </w:tc>
      </w:tr>
      <w:tr w:rsidR="00583BD3" w:rsidRPr="000429AF" w:rsidTr="000727E8">
        <w:trPr>
          <w:trHeight w:hRule="exact" w:val="255"/>
        </w:trPr>
        <w:tc>
          <w:tcPr>
            <w:tcW w:w="2079" w:type="dxa"/>
            <w:shd w:val="clear" w:color="auto" w:fill="auto"/>
            <w:noWrap/>
            <w:hideMark/>
          </w:tcPr>
          <w:p w:rsidR="00583BD3" w:rsidRPr="00C64609" w:rsidRDefault="00583BD3" w:rsidP="000727E8">
            <w:pPr>
              <w:jc w:val="center"/>
              <w:rPr>
                <w:rFonts w:ascii="Garamond" w:hAnsi="Garamond" w:cs="Calibri"/>
                <w:color w:val="000000" w:themeColor="text1"/>
                <w:sz w:val="16"/>
                <w:szCs w:val="16"/>
              </w:rPr>
            </w:pPr>
          </w:p>
        </w:tc>
        <w:tc>
          <w:tcPr>
            <w:tcW w:w="899" w:type="dxa"/>
            <w:shd w:val="clear" w:color="auto" w:fill="auto"/>
          </w:tcPr>
          <w:p w:rsidR="00583BD3" w:rsidRPr="00C64609" w:rsidRDefault="00583BD3" w:rsidP="000727E8">
            <w:pPr>
              <w:jc w:val="center"/>
              <w:rPr>
                <w:rFonts w:ascii="Garamond" w:hAnsi="Garamond" w:cs="Calibri"/>
                <w:color w:val="000000" w:themeColor="text1"/>
                <w:sz w:val="16"/>
                <w:szCs w:val="16"/>
              </w:rPr>
            </w:pPr>
          </w:p>
        </w:tc>
        <w:tc>
          <w:tcPr>
            <w:tcW w:w="2126" w:type="dxa"/>
            <w:shd w:val="clear" w:color="auto" w:fill="auto"/>
          </w:tcPr>
          <w:p w:rsidR="00583BD3" w:rsidRPr="00DD0A30" w:rsidRDefault="00583BD3" w:rsidP="000727E8">
            <w:pPr>
              <w:jc w:val="center"/>
              <w:rPr>
                <w:rFonts w:ascii="Garamond" w:hAnsi="Garamond" w:cs="Calibri"/>
                <w:color w:val="000000"/>
                <w:sz w:val="16"/>
                <w:szCs w:val="16"/>
              </w:rPr>
            </w:pPr>
            <w:r w:rsidRPr="00DD0A30">
              <w:rPr>
                <w:rFonts w:ascii="Garamond" w:hAnsi="Garamond" w:cs="Calibri"/>
                <w:color w:val="000000"/>
                <w:sz w:val="16"/>
                <w:szCs w:val="16"/>
              </w:rPr>
              <w:t>CFO British Dummy</w:t>
            </w:r>
            <w:r w:rsidRPr="00DD0A30">
              <w:rPr>
                <w:rFonts w:ascii="Garamond" w:hAnsi="Garamond" w:cs="Calibri"/>
                <w:color w:val="000000"/>
                <w:sz w:val="16"/>
                <w:szCs w:val="16"/>
                <w:vertAlign w:val="subscript"/>
              </w:rPr>
              <w:t>t-1</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0.0627*</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0.0630*</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0.0608*</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0.0623*</w:t>
            </w:r>
          </w:p>
        </w:tc>
        <w:tc>
          <w:tcPr>
            <w:tcW w:w="850"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0.0605*</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0.0521</w:t>
            </w:r>
          </w:p>
        </w:tc>
      </w:tr>
      <w:tr w:rsidR="00583BD3" w:rsidRPr="000429AF" w:rsidTr="000727E8">
        <w:trPr>
          <w:trHeight w:hRule="exact" w:val="255"/>
        </w:trPr>
        <w:tc>
          <w:tcPr>
            <w:tcW w:w="2079" w:type="dxa"/>
            <w:shd w:val="clear" w:color="auto" w:fill="auto"/>
            <w:noWrap/>
            <w:hideMark/>
          </w:tcPr>
          <w:p w:rsidR="00583BD3" w:rsidRPr="00C64609" w:rsidRDefault="00583BD3" w:rsidP="000727E8">
            <w:pPr>
              <w:jc w:val="center"/>
              <w:rPr>
                <w:rFonts w:ascii="Garamond" w:hAnsi="Garamond" w:cs="Calibri"/>
                <w:color w:val="000000" w:themeColor="text1"/>
                <w:sz w:val="16"/>
                <w:szCs w:val="16"/>
              </w:rPr>
            </w:pPr>
          </w:p>
        </w:tc>
        <w:tc>
          <w:tcPr>
            <w:tcW w:w="899" w:type="dxa"/>
            <w:shd w:val="clear" w:color="auto" w:fill="auto"/>
          </w:tcPr>
          <w:p w:rsidR="00583BD3" w:rsidRPr="00C64609" w:rsidRDefault="00583BD3" w:rsidP="000727E8">
            <w:pPr>
              <w:jc w:val="center"/>
              <w:rPr>
                <w:rFonts w:ascii="Garamond" w:hAnsi="Garamond" w:cs="Calibri"/>
                <w:color w:val="000000" w:themeColor="text1"/>
                <w:sz w:val="16"/>
                <w:szCs w:val="16"/>
              </w:rPr>
            </w:pPr>
          </w:p>
        </w:tc>
        <w:tc>
          <w:tcPr>
            <w:tcW w:w="2126" w:type="dxa"/>
            <w:shd w:val="clear" w:color="auto" w:fill="auto"/>
          </w:tcPr>
          <w:p w:rsidR="00583BD3" w:rsidRPr="00DD0A30" w:rsidRDefault="00583BD3" w:rsidP="000727E8">
            <w:pPr>
              <w:jc w:val="center"/>
              <w:rPr>
                <w:rFonts w:ascii="Garamond" w:hAnsi="Garamond" w:cs="Calibri"/>
                <w:color w:val="000000"/>
                <w:sz w:val="16"/>
                <w:szCs w:val="16"/>
              </w:rPr>
            </w:pP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(1.88)</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(1.90)</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(1.78)</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(1.92)</w:t>
            </w:r>
          </w:p>
        </w:tc>
        <w:tc>
          <w:tcPr>
            <w:tcW w:w="850"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(1.84)</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(1.54)</w:t>
            </w:r>
          </w:p>
        </w:tc>
      </w:tr>
      <w:tr w:rsidR="00583BD3" w:rsidRPr="000429AF" w:rsidTr="000727E8">
        <w:trPr>
          <w:trHeight w:hRule="exact" w:val="255"/>
        </w:trPr>
        <w:tc>
          <w:tcPr>
            <w:tcW w:w="2079" w:type="dxa"/>
            <w:shd w:val="clear" w:color="auto" w:fill="auto"/>
            <w:noWrap/>
            <w:hideMark/>
          </w:tcPr>
          <w:p w:rsidR="00583BD3" w:rsidRPr="00C64609" w:rsidRDefault="00583BD3" w:rsidP="000727E8">
            <w:pPr>
              <w:jc w:val="center"/>
              <w:rPr>
                <w:rFonts w:ascii="Garamond" w:hAnsi="Garamond" w:cs="Calibri"/>
                <w:color w:val="000000" w:themeColor="text1"/>
                <w:sz w:val="16"/>
                <w:szCs w:val="16"/>
              </w:rPr>
            </w:pPr>
          </w:p>
        </w:tc>
        <w:tc>
          <w:tcPr>
            <w:tcW w:w="899" w:type="dxa"/>
            <w:shd w:val="clear" w:color="auto" w:fill="auto"/>
          </w:tcPr>
          <w:p w:rsidR="00583BD3" w:rsidRPr="00C64609" w:rsidRDefault="00583BD3" w:rsidP="000727E8">
            <w:pPr>
              <w:jc w:val="center"/>
              <w:rPr>
                <w:rFonts w:ascii="Garamond" w:hAnsi="Garamond" w:cs="Calibri"/>
                <w:color w:val="000000" w:themeColor="text1"/>
                <w:sz w:val="16"/>
                <w:szCs w:val="16"/>
              </w:rPr>
            </w:pPr>
          </w:p>
        </w:tc>
        <w:tc>
          <w:tcPr>
            <w:tcW w:w="2126" w:type="dxa"/>
            <w:shd w:val="clear" w:color="auto" w:fill="auto"/>
          </w:tcPr>
          <w:p w:rsidR="00583BD3" w:rsidRPr="00DD0A30" w:rsidRDefault="00583BD3" w:rsidP="000727E8">
            <w:pPr>
              <w:jc w:val="center"/>
              <w:rPr>
                <w:rFonts w:ascii="Garamond" w:hAnsi="Garamond" w:cs="Calibri"/>
                <w:color w:val="000000"/>
                <w:sz w:val="16"/>
                <w:szCs w:val="16"/>
              </w:rPr>
            </w:pPr>
            <w:proofErr w:type="spellStart"/>
            <w:r w:rsidRPr="00DD0A30">
              <w:rPr>
                <w:rFonts w:ascii="Garamond" w:hAnsi="Garamond" w:cs="Calibri"/>
                <w:color w:val="000000"/>
                <w:sz w:val="16"/>
                <w:szCs w:val="16"/>
              </w:rPr>
              <w:t>Ln</w:t>
            </w:r>
            <w:proofErr w:type="spellEnd"/>
            <w:r w:rsidRPr="00DD0A30">
              <w:rPr>
                <w:rFonts w:ascii="Garamond" w:hAnsi="Garamond" w:cs="Calibri"/>
                <w:color w:val="000000"/>
                <w:sz w:val="16"/>
                <w:szCs w:val="16"/>
              </w:rPr>
              <w:t>(CFO tenure)</w:t>
            </w:r>
            <w:r w:rsidRPr="00DD0A30">
              <w:rPr>
                <w:rFonts w:ascii="Garamond" w:hAnsi="Garamond" w:cs="Calibri"/>
                <w:color w:val="000000"/>
                <w:sz w:val="16"/>
                <w:szCs w:val="16"/>
                <w:vertAlign w:val="subscript"/>
              </w:rPr>
              <w:t>t-1</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0.00137</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0.000651</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0.00131</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0.00157</w:t>
            </w:r>
          </w:p>
        </w:tc>
        <w:tc>
          <w:tcPr>
            <w:tcW w:w="850"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0.000789</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0.00213</w:t>
            </w:r>
          </w:p>
        </w:tc>
      </w:tr>
      <w:tr w:rsidR="00583BD3" w:rsidRPr="000429AF" w:rsidTr="000727E8">
        <w:trPr>
          <w:trHeight w:hRule="exact" w:val="255"/>
        </w:trPr>
        <w:tc>
          <w:tcPr>
            <w:tcW w:w="2079" w:type="dxa"/>
            <w:shd w:val="clear" w:color="auto" w:fill="auto"/>
            <w:noWrap/>
            <w:hideMark/>
          </w:tcPr>
          <w:p w:rsidR="00583BD3" w:rsidRPr="00C64609" w:rsidRDefault="00583BD3" w:rsidP="000727E8">
            <w:pPr>
              <w:jc w:val="center"/>
              <w:rPr>
                <w:rFonts w:ascii="Garamond" w:hAnsi="Garamond" w:cs="Calibri"/>
                <w:color w:val="000000" w:themeColor="text1"/>
                <w:sz w:val="16"/>
                <w:szCs w:val="16"/>
              </w:rPr>
            </w:pPr>
          </w:p>
        </w:tc>
        <w:tc>
          <w:tcPr>
            <w:tcW w:w="899" w:type="dxa"/>
            <w:shd w:val="clear" w:color="auto" w:fill="auto"/>
          </w:tcPr>
          <w:p w:rsidR="00583BD3" w:rsidRPr="00C64609" w:rsidRDefault="00583BD3" w:rsidP="000727E8">
            <w:pPr>
              <w:jc w:val="center"/>
              <w:rPr>
                <w:rFonts w:ascii="Garamond" w:hAnsi="Garamond" w:cs="Calibri"/>
                <w:color w:val="000000" w:themeColor="text1"/>
                <w:sz w:val="16"/>
                <w:szCs w:val="16"/>
              </w:rPr>
            </w:pPr>
          </w:p>
        </w:tc>
        <w:tc>
          <w:tcPr>
            <w:tcW w:w="2126" w:type="dxa"/>
            <w:shd w:val="clear" w:color="auto" w:fill="auto"/>
          </w:tcPr>
          <w:p w:rsidR="00583BD3" w:rsidRPr="00DD0A30" w:rsidRDefault="00583BD3" w:rsidP="000727E8">
            <w:pPr>
              <w:jc w:val="center"/>
              <w:rPr>
                <w:rFonts w:ascii="Garamond" w:hAnsi="Garamond" w:cs="Calibri"/>
                <w:color w:val="000000"/>
                <w:sz w:val="16"/>
                <w:szCs w:val="16"/>
              </w:rPr>
            </w:pP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(0.21)</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(0.10)</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(0.20)</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(0.24)</w:t>
            </w:r>
          </w:p>
        </w:tc>
        <w:tc>
          <w:tcPr>
            <w:tcW w:w="850"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(0.12)</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(0.33)</w:t>
            </w:r>
          </w:p>
        </w:tc>
      </w:tr>
      <w:tr w:rsidR="00583BD3" w:rsidRPr="000429AF" w:rsidTr="000727E8">
        <w:trPr>
          <w:trHeight w:hRule="exact" w:val="255"/>
        </w:trPr>
        <w:tc>
          <w:tcPr>
            <w:tcW w:w="2079" w:type="dxa"/>
            <w:shd w:val="clear" w:color="auto" w:fill="auto"/>
            <w:noWrap/>
            <w:hideMark/>
          </w:tcPr>
          <w:p w:rsidR="00583BD3" w:rsidRPr="00C64609" w:rsidRDefault="00583BD3" w:rsidP="000727E8">
            <w:pPr>
              <w:jc w:val="center"/>
              <w:rPr>
                <w:rFonts w:ascii="Garamond" w:hAnsi="Garamond" w:cs="Calibri"/>
                <w:color w:val="000000" w:themeColor="text1"/>
                <w:sz w:val="16"/>
                <w:szCs w:val="16"/>
              </w:rPr>
            </w:pPr>
          </w:p>
        </w:tc>
        <w:tc>
          <w:tcPr>
            <w:tcW w:w="899" w:type="dxa"/>
            <w:shd w:val="clear" w:color="auto" w:fill="auto"/>
          </w:tcPr>
          <w:p w:rsidR="00583BD3" w:rsidRPr="00C64609" w:rsidRDefault="00583BD3" w:rsidP="000727E8">
            <w:pPr>
              <w:jc w:val="center"/>
              <w:rPr>
                <w:rFonts w:ascii="Garamond" w:hAnsi="Garamond" w:cs="Calibri"/>
                <w:color w:val="000000" w:themeColor="text1"/>
                <w:sz w:val="16"/>
                <w:szCs w:val="16"/>
              </w:rPr>
            </w:pPr>
          </w:p>
        </w:tc>
        <w:tc>
          <w:tcPr>
            <w:tcW w:w="2126" w:type="dxa"/>
            <w:shd w:val="clear" w:color="auto" w:fill="auto"/>
          </w:tcPr>
          <w:p w:rsidR="00583BD3" w:rsidRPr="00DD0A30" w:rsidRDefault="00583BD3" w:rsidP="000727E8">
            <w:pPr>
              <w:jc w:val="center"/>
              <w:rPr>
                <w:rFonts w:ascii="Garamond" w:hAnsi="Garamond" w:cs="Calibri"/>
                <w:color w:val="000000"/>
                <w:sz w:val="16"/>
                <w:szCs w:val="16"/>
              </w:rPr>
            </w:pPr>
            <w:proofErr w:type="spellStart"/>
            <w:r w:rsidRPr="00DD0A30">
              <w:rPr>
                <w:rFonts w:ascii="Garamond" w:hAnsi="Garamond" w:cs="Calibri"/>
                <w:color w:val="000000"/>
                <w:sz w:val="16"/>
                <w:szCs w:val="16"/>
              </w:rPr>
              <w:t>Ln</w:t>
            </w:r>
            <w:proofErr w:type="spellEnd"/>
            <w:r w:rsidRPr="00DD0A30">
              <w:rPr>
                <w:rFonts w:ascii="Garamond" w:hAnsi="Garamond" w:cs="Calibri"/>
                <w:color w:val="000000"/>
                <w:sz w:val="16"/>
                <w:szCs w:val="16"/>
              </w:rPr>
              <w:t>(CFO age)</w:t>
            </w:r>
            <w:r w:rsidRPr="00DD0A30">
              <w:rPr>
                <w:rFonts w:ascii="Garamond" w:hAnsi="Garamond" w:cs="Calibri"/>
                <w:color w:val="000000"/>
                <w:sz w:val="16"/>
                <w:szCs w:val="16"/>
                <w:vertAlign w:val="subscript"/>
              </w:rPr>
              <w:t>t-1</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-0.0761</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-0.0907</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-0.0767</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-0.0806</w:t>
            </w:r>
          </w:p>
        </w:tc>
        <w:tc>
          <w:tcPr>
            <w:tcW w:w="850"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-0.0966</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-0.0969</w:t>
            </w:r>
          </w:p>
        </w:tc>
      </w:tr>
      <w:tr w:rsidR="00583BD3" w:rsidRPr="000429AF" w:rsidTr="000727E8">
        <w:trPr>
          <w:trHeight w:hRule="exact" w:val="255"/>
        </w:trPr>
        <w:tc>
          <w:tcPr>
            <w:tcW w:w="2079" w:type="dxa"/>
            <w:shd w:val="clear" w:color="auto" w:fill="auto"/>
            <w:noWrap/>
            <w:hideMark/>
          </w:tcPr>
          <w:p w:rsidR="00583BD3" w:rsidRPr="00C64609" w:rsidRDefault="00583BD3" w:rsidP="000727E8">
            <w:pPr>
              <w:jc w:val="center"/>
              <w:rPr>
                <w:rFonts w:ascii="Garamond" w:hAnsi="Garamond" w:cs="Calibri"/>
                <w:color w:val="000000" w:themeColor="text1"/>
                <w:sz w:val="16"/>
                <w:szCs w:val="16"/>
              </w:rPr>
            </w:pPr>
          </w:p>
        </w:tc>
        <w:tc>
          <w:tcPr>
            <w:tcW w:w="899" w:type="dxa"/>
            <w:shd w:val="clear" w:color="auto" w:fill="auto"/>
          </w:tcPr>
          <w:p w:rsidR="00583BD3" w:rsidRPr="00C64609" w:rsidRDefault="00583BD3" w:rsidP="000727E8">
            <w:pPr>
              <w:jc w:val="center"/>
              <w:rPr>
                <w:rFonts w:ascii="Garamond" w:hAnsi="Garamond" w:cs="Calibri"/>
                <w:color w:val="000000" w:themeColor="text1"/>
                <w:sz w:val="16"/>
                <w:szCs w:val="16"/>
              </w:rPr>
            </w:pPr>
          </w:p>
        </w:tc>
        <w:tc>
          <w:tcPr>
            <w:tcW w:w="2126" w:type="dxa"/>
            <w:shd w:val="clear" w:color="auto" w:fill="auto"/>
          </w:tcPr>
          <w:p w:rsidR="00583BD3" w:rsidRPr="00DD0A30" w:rsidRDefault="00583BD3" w:rsidP="000727E8">
            <w:pPr>
              <w:jc w:val="center"/>
              <w:rPr>
                <w:rFonts w:ascii="Garamond" w:hAnsi="Garamond" w:cs="Calibri"/>
                <w:color w:val="000000"/>
                <w:sz w:val="16"/>
                <w:szCs w:val="16"/>
              </w:rPr>
            </w:pP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(-1.09)</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(-1.21)</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(-1.10)</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(-1.18)</w:t>
            </w:r>
          </w:p>
        </w:tc>
        <w:tc>
          <w:tcPr>
            <w:tcW w:w="850"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(-1.32)</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(-1.47)</w:t>
            </w:r>
          </w:p>
        </w:tc>
      </w:tr>
      <w:tr w:rsidR="00583BD3" w:rsidRPr="000429AF" w:rsidTr="000727E8">
        <w:trPr>
          <w:trHeight w:hRule="exact" w:val="255"/>
        </w:trPr>
        <w:tc>
          <w:tcPr>
            <w:tcW w:w="2079" w:type="dxa"/>
            <w:shd w:val="clear" w:color="auto" w:fill="auto"/>
            <w:noWrap/>
            <w:hideMark/>
          </w:tcPr>
          <w:p w:rsidR="00583BD3" w:rsidRPr="00C64609" w:rsidRDefault="00583BD3" w:rsidP="000727E8">
            <w:pPr>
              <w:jc w:val="center"/>
              <w:rPr>
                <w:rFonts w:ascii="Garamond" w:hAnsi="Garamond" w:cs="Calibri"/>
                <w:color w:val="000000" w:themeColor="text1"/>
                <w:sz w:val="16"/>
                <w:szCs w:val="16"/>
              </w:rPr>
            </w:pPr>
          </w:p>
        </w:tc>
        <w:tc>
          <w:tcPr>
            <w:tcW w:w="899" w:type="dxa"/>
            <w:shd w:val="clear" w:color="auto" w:fill="auto"/>
          </w:tcPr>
          <w:p w:rsidR="00583BD3" w:rsidRPr="00C64609" w:rsidRDefault="00583BD3" w:rsidP="000727E8">
            <w:pPr>
              <w:jc w:val="center"/>
              <w:rPr>
                <w:rFonts w:ascii="Garamond" w:hAnsi="Garamond" w:cs="Calibri"/>
                <w:color w:val="000000" w:themeColor="text1"/>
                <w:sz w:val="16"/>
                <w:szCs w:val="16"/>
              </w:rPr>
            </w:pPr>
          </w:p>
        </w:tc>
        <w:tc>
          <w:tcPr>
            <w:tcW w:w="2126" w:type="dxa"/>
            <w:shd w:val="clear" w:color="auto" w:fill="auto"/>
          </w:tcPr>
          <w:p w:rsidR="00583BD3" w:rsidRPr="00DD0A30" w:rsidRDefault="00583BD3" w:rsidP="000727E8">
            <w:pPr>
              <w:jc w:val="center"/>
              <w:rPr>
                <w:rFonts w:ascii="Garamond" w:hAnsi="Garamond" w:cs="Calibri"/>
                <w:color w:val="000000"/>
                <w:sz w:val="16"/>
                <w:szCs w:val="16"/>
              </w:rPr>
            </w:pPr>
            <w:proofErr w:type="spellStart"/>
            <w:r w:rsidRPr="00DD0A30">
              <w:rPr>
                <w:rFonts w:ascii="Garamond" w:hAnsi="Garamond" w:cs="Calibri"/>
                <w:color w:val="000000"/>
                <w:sz w:val="16"/>
                <w:szCs w:val="16"/>
              </w:rPr>
              <w:t>Ln</w:t>
            </w:r>
            <w:proofErr w:type="spellEnd"/>
            <w:r w:rsidRPr="00DD0A30">
              <w:rPr>
                <w:rFonts w:ascii="Garamond" w:hAnsi="Garamond" w:cs="Calibri"/>
                <w:color w:val="000000"/>
                <w:sz w:val="16"/>
                <w:szCs w:val="16"/>
              </w:rPr>
              <w:t>(CFO network size)</w:t>
            </w:r>
            <w:r w:rsidRPr="00DD0A30">
              <w:rPr>
                <w:rFonts w:ascii="Garamond" w:hAnsi="Garamond" w:cs="Calibri"/>
                <w:color w:val="000000"/>
                <w:sz w:val="16"/>
                <w:szCs w:val="16"/>
                <w:vertAlign w:val="subscript"/>
              </w:rPr>
              <w:t>t-1</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0.0138**</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0.0157**</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0.0143**</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0.0140**</w:t>
            </w:r>
          </w:p>
        </w:tc>
        <w:tc>
          <w:tcPr>
            <w:tcW w:w="850"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0.0165**</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0.0128*</w:t>
            </w:r>
          </w:p>
        </w:tc>
      </w:tr>
      <w:tr w:rsidR="00583BD3" w:rsidRPr="000429AF" w:rsidTr="000727E8">
        <w:trPr>
          <w:trHeight w:hRule="exact" w:val="255"/>
        </w:trPr>
        <w:tc>
          <w:tcPr>
            <w:tcW w:w="2079" w:type="dxa"/>
            <w:shd w:val="clear" w:color="auto" w:fill="auto"/>
            <w:noWrap/>
            <w:hideMark/>
          </w:tcPr>
          <w:p w:rsidR="00583BD3" w:rsidRPr="00C64609" w:rsidRDefault="00583BD3" w:rsidP="000727E8">
            <w:pPr>
              <w:jc w:val="center"/>
              <w:rPr>
                <w:rFonts w:ascii="Garamond" w:hAnsi="Garamond" w:cs="Calibri"/>
                <w:color w:val="000000" w:themeColor="text1"/>
                <w:sz w:val="16"/>
                <w:szCs w:val="16"/>
              </w:rPr>
            </w:pPr>
          </w:p>
        </w:tc>
        <w:tc>
          <w:tcPr>
            <w:tcW w:w="899" w:type="dxa"/>
            <w:shd w:val="clear" w:color="auto" w:fill="auto"/>
          </w:tcPr>
          <w:p w:rsidR="00583BD3" w:rsidRPr="00C64609" w:rsidRDefault="00583BD3" w:rsidP="000727E8">
            <w:pPr>
              <w:jc w:val="center"/>
              <w:rPr>
                <w:rFonts w:ascii="Garamond" w:hAnsi="Garamond" w:cs="Calibri"/>
                <w:color w:val="000000" w:themeColor="text1"/>
                <w:sz w:val="16"/>
                <w:szCs w:val="16"/>
              </w:rPr>
            </w:pPr>
          </w:p>
        </w:tc>
        <w:tc>
          <w:tcPr>
            <w:tcW w:w="2126" w:type="dxa"/>
            <w:shd w:val="clear" w:color="auto" w:fill="auto"/>
          </w:tcPr>
          <w:p w:rsidR="00583BD3" w:rsidRPr="00DD0A30" w:rsidRDefault="00583BD3" w:rsidP="000727E8">
            <w:pPr>
              <w:jc w:val="center"/>
              <w:rPr>
                <w:rFonts w:ascii="Garamond" w:hAnsi="Garamond" w:cs="Calibri"/>
                <w:color w:val="000000"/>
                <w:sz w:val="16"/>
                <w:szCs w:val="16"/>
              </w:rPr>
            </w:pP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(2.09)</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(2.20)</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(2.21)</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(2.15)</w:t>
            </w:r>
          </w:p>
        </w:tc>
        <w:tc>
          <w:tcPr>
            <w:tcW w:w="850"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(2.35)</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(1.84)</w:t>
            </w:r>
          </w:p>
        </w:tc>
      </w:tr>
      <w:tr w:rsidR="00583BD3" w:rsidRPr="000429AF" w:rsidTr="000727E8">
        <w:trPr>
          <w:trHeight w:hRule="exact" w:val="255"/>
        </w:trPr>
        <w:tc>
          <w:tcPr>
            <w:tcW w:w="2079" w:type="dxa"/>
            <w:shd w:val="clear" w:color="auto" w:fill="auto"/>
            <w:noWrap/>
            <w:hideMark/>
          </w:tcPr>
          <w:p w:rsidR="00583BD3" w:rsidRPr="00C64609" w:rsidRDefault="00583BD3" w:rsidP="000727E8">
            <w:pPr>
              <w:jc w:val="center"/>
              <w:rPr>
                <w:rFonts w:ascii="Garamond" w:hAnsi="Garamond" w:cs="Calibri"/>
                <w:color w:val="000000" w:themeColor="text1"/>
                <w:sz w:val="16"/>
                <w:szCs w:val="16"/>
              </w:rPr>
            </w:pPr>
          </w:p>
        </w:tc>
        <w:tc>
          <w:tcPr>
            <w:tcW w:w="899" w:type="dxa"/>
            <w:shd w:val="clear" w:color="auto" w:fill="auto"/>
          </w:tcPr>
          <w:p w:rsidR="00583BD3" w:rsidRPr="00C64609" w:rsidRDefault="00583BD3" w:rsidP="000727E8">
            <w:pPr>
              <w:jc w:val="center"/>
              <w:rPr>
                <w:rFonts w:ascii="Garamond" w:hAnsi="Garamond" w:cs="Calibri"/>
                <w:color w:val="000000" w:themeColor="text1"/>
                <w:sz w:val="16"/>
                <w:szCs w:val="16"/>
              </w:rPr>
            </w:pPr>
          </w:p>
        </w:tc>
        <w:tc>
          <w:tcPr>
            <w:tcW w:w="2126" w:type="dxa"/>
            <w:shd w:val="clear" w:color="auto" w:fill="auto"/>
          </w:tcPr>
          <w:p w:rsidR="00583BD3" w:rsidRPr="00DD0A30" w:rsidRDefault="00583BD3" w:rsidP="000727E8">
            <w:pPr>
              <w:jc w:val="center"/>
              <w:rPr>
                <w:rFonts w:ascii="Garamond" w:hAnsi="Garamond" w:cs="Calibri"/>
                <w:color w:val="000000"/>
                <w:sz w:val="16"/>
                <w:szCs w:val="16"/>
              </w:rPr>
            </w:pPr>
            <w:proofErr w:type="spellStart"/>
            <w:r w:rsidRPr="00DD0A30">
              <w:rPr>
                <w:rFonts w:ascii="Garamond" w:hAnsi="Garamond" w:cs="Calibri"/>
                <w:color w:val="000000"/>
                <w:sz w:val="16"/>
                <w:szCs w:val="16"/>
              </w:rPr>
              <w:t>Ln</w:t>
            </w:r>
            <w:proofErr w:type="spellEnd"/>
            <w:r w:rsidRPr="00DD0A30">
              <w:rPr>
                <w:rFonts w:ascii="Garamond" w:hAnsi="Garamond" w:cs="Calibri"/>
                <w:color w:val="000000"/>
                <w:sz w:val="16"/>
                <w:szCs w:val="16"/>
              </w:rPr>
              <w:t>(CFO total compensation</w:t>
            </w:r>
            <w:r>
              <w:rPr>
                <w:rFonts w:ascii="Garamond" w:hAnsi="Garamond" w:cs="Calibri"/>
                <w:color w:val="000000"/>
                <w:sz w:val="16"/>
                <w:szCs w:val="16"/>
              </w:rPr>
              <w:t>)</w:t>
            </w:r>
            <w:r w:rsidRPr="00DD0A30">
              <w:rPr>
                <w:rFonts w:ascii="Garamond" w:hAnsi="Garamond" w:cs="Calibri"/>
                <w:color w:val="000000"/>
                <w:sz w:val="16"/>
                <w:szCs w:val="16"/>
                <w:vertAlign w:val="subscript"/>
              </w:rPr>
              <w:t>t-1</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0.00890</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0.00554</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0.00853</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0.00832</w:t>
            </w:r>
          </w:p>
        </w:tc>
        <w:tc>
          <w:tcPr>
            <w:tcW w:w="850"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0.00441</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0.0107</w:t>
            </w:r>
          </w:p>
        </w:tc>
      </w:tr>
      <w:tr w:rsidR="00583BD3" w:rsidRPr="000429AF" w:rsidTr="000727E8">
        <w:trPr>
          <w:trHeight w:hRule="exact" w:val="255"/>
        </w:trPr>
        <w:tc>
          <w:tcPr>
            <w:tcW w:w="2079" w:type="dxa"/>
            <w:shd w:val="clear" w:color="auto" w:fill="auto"/>
            <w:noWrap/>
            <w:hideMark/>
          </w:tcPr>
          <w:p w:rsidR="00583BD3" w:rsidRPr="00C64609" w:rsidRDefault="00583BD3" w:rsidP="000727E8">
            <w:pPr>
              <w:jc w:val="center"/>
              <w:rPr>
                <w:rFonts w:ascii="Garamond" w:hAnsi="Garamond" w:cs="Calibri"/>
                <w:color w:val="000000" w:themeColor="text1"/>
                <w:sz w:val="16"/>
                <w:szCs w:val="16"/>
              </w:rPr>
            </w:pPr>
          </w:p>
        </w:tc>
        <w:tc>
          <w:tcPr>
            <w:tcW w:w="899" w:type="dxa"/>
            <w:shd w:val="clear" w:color="auto" w:fill="auto"/>
          </w:tcPr>
          <w:p w:rsidR="00583BD3" w:rsidRPr="00C64609" w:rsidRDefault="00583BD3" w:rsidP="000727E8">
            <w:pPr>
              <w:jc w:val="center"/>
              <w:rPr>
                <w:rFonts w:ascii="Garamond" w:hAnsi="Garamond" w:cs="Calibri"/>
                <w:color w:val="000000" w:themeColor="text1"/>
                <w:sz w:val="16"/>
                <w:szCs w:val="16"/>
              </w:rPr>
            </w:pPr>
          </w:p>
        </w:tc>
        <w:tc>
          <w:tcPr>
            <w:tcW w:w="2126" w:type="dxa"/>
            <w:shd w:val="clear" w:color="auto" w:fill="auto"/>
          </w:tcPr>
          <w:p w:rsidR="00583BD3" w:rsidRPr="00DD0A30" w:rsidRDefault="00583BD3" w:rsidP="000727E8">
            <w:pPr>
              <w:jc w:val="center"/>
              <w:rPr>
                <w:rFonts w:ascii="Garamond" w:hAnsi="Garamond" w:cs="Calibri"/>
                <w:color w:val="000000"/>
                <w:sz w:val="16"/>
                <w:szCs w:val="16"/>
              </w:rPr>
            </w:pP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(0.88)</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(0.49)</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(0.87)</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(0.84)</w:t>
            </w:r>
          </w:p>
        </w:tc>
        <w:tc>
          <w:tcPr>
            <w:tcW w:w="850"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(0.40)</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(1.02)</w:t>
            </w:r>
          </w:p>
        </w:tc>
      </w:tr>
      <w:tr w:rsidR="00583BD3" w:rsidRPr="000429AF" w:rsidTr="000727E8">
        <w:trPr>
          <w:trHeight w:hRule="exact" w:val="255"/>
        </w:trPr>
        <w:tc>
          <w:tcPr>
            <w:tcW w:w="2079" w:type="dxa"/>
            <w:shd w:val="clear" w:color="auto" w:fill="auto"/>
            <w:noWrap/>
            <w:hideMark/>
          </w:tcPr>
          <w:p w:rsidR="00583BD3" w:rsidRPr="00C64609" w:rsidRDefault="00583BD3" w:rsidP="000727E8">
            <w:pPr>
              <w:jc w:val="center"/>
              <w:rPr>
                <w:rFonts w:ascii="Garamond" w:hAnsi="Garamond" w:cs="Calibri"/>
                <w:color w:val="000000" w:themeColor="text1"/>
                <w:sz w:val="16"/>
                <w:szCs w:val="16"/>
              </w:rPr>
            </w:pPr>
          </w:p>
        </w:tc>
        <w:tc>
          <w:tcPr>
            <w:tcW w:w="899" w:type="dxa"/>
            <w:shd w:val="clear" w:color="auto" w:fill="auto"/>
          </w:tcPr>
          <w:p w:rsidR="00583BD3" w:rsidRPr="00C64609" w:rsidRDefault="00583BD3" w:rsidP="000727E8">
            <w:pPr>
              <w:jc w:val="center"/>
              <w:rPr>
                <w:rFonts w:ascii="Garamond" w:hAnsi="Garamond" w:cs="Calibri"/>
                <w:color w:val="000000" w:themeColor="text1"/>
                <w:sz w:val="16"/>
                <w:szCs w:val="16"/>
              </w:rPr>
            </w:pPr>
          </w:p>
        </w:tc>
        <w:tc>
          <w:tcPr>
            <w:tcW w:w="2126" w:type="dxa"/>
            <w:shd w:val="clear" w:color="auto" w:fill="auto"/>
          </w:tcPr>
          <w:p w:rsidR="00583BD3" w:rsidRPr="00C64609" w:rsidRDefault="00583BD3" w:rsidP="000727E8">
            <w:pPr>
              <w:jc w:val="center"/>
              <w:rPr>
                <w:rFonts w:ascii="Garamond" w:hAnsi="Garamond" w:cs="Calibri"/>
                <w:color w:val="000000"/>
                <w:sz w:val="16"/>
                <w:szCs w:val="16"/>
                <w:vertAlign w:val="subscript"/>
              </w:rPr>
            </w:pPr>
            <w:r>
              <w:rPr>
                <w:rFonts w:ascii="Garamond" w:hAnsi="Garamond" w:cs="Calibri"/>
                <w:color w:val="000000"/>
                <w:sz w:val="16"/>
                <w:szCs w:val="16"/>
              </w:rPr>
              <w:t>IMR</w:t>
            </w:r>
            <w:r>
              <w:rPr>
                <w:rFonts w:ascii="Garamond" w:hAnsi="Garamond" w:cs="Calibri"/>
                <w:color w:val="000000"/>
                <w:sz w:val="16"/>
                <w:szCs w:val="16"/>
                <w:vertAlign w:val="subscript"/>
              </w:rPr>
              <w:t>t-1</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-0.00889*</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-0.00140</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-0.00898*</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-0.00931**</w:t>
            </w:r>
          </w:p>
        </w:tc>
        <w:tc>
          <w:tcPr>
            <w:tcW w:w="850"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-0.00179</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-0.0152**</w:t>
            </w:r>
          </w:p>
        </w:tc>
      </w:tr>
      <w:tr w:rsidR="00583BD3" w:rsidRPr="000429AF" w:rsidTr="000727E8">
        <w:trPr>
          <w:trHeight w:hRule="exact" w:val="255"/>
        </w:trPr>
        <w:tc>
          <w:tcPr>
            <w:tcW w:w="2079" w:type="dxa"/>
            <w:shd w:val="clear" w:color="auto" w:fill="auto"/>
            <w:noWrap/>
            <w:hideMark/>
          </w:tcPr>
          <w:p w:rsidR="00583BD3" w:rsidRPr="00C64609" w:rsidRDefault="00583BD3" w:rsidP="000727E8">
            <w:pPr>
              <w:jc w:val="center"/>
              <w:rPr>
                <w:rFonts w:ascii="Garamond" w:hAnsi="Garamond" w:cs="Calibri"/>
                <w:color w:val="000000" w:themeColor="text1"/>
                <w:sz w:val="16"/>
                <w:szCs w:val="16"/>
              </w:rPr>
            </w:pPr>
          </w:p>
        </w:tc>
        <w:tc>
          <w:tcPr>
            <w:tcW w:w="899" w:type="dxa"/>
            <w:shd w:val="clear" w:color="auto" w:fill="auto"/>
          </w:tcPr>
          <w:p w:rsidR="00583BD3" w:rsidRPr="00C64609" w:rsidRDefault="00583BD3" w:rsidP="000727E8">
            <w:pPr>
              <w:jc w:val="center"/>
              <w:rPr>
                <w:rFonts w:ascii="Garamond" w:hAnsi="Garamond" w:cs="Calibri"/>
                <w:color w:val="000000" w:themeColor="text1"/>
                <w:sz w:val="16"/>
                <w:szCs w:val="16"/>
              </w:rPr>
            </w:pPr>
          </w:p>
        </w:tc>
        <w:tc>
          <w:tcPr>
            <w:tcW w:w="2126" w:type="dxa"/>
            <w:shd w:val="clear" w:color="auto" w:fill="auto"/>
          </w:tcPr>
          <w:p w:rsidR="00583BD3" w:rsidRPr="00DD0A30" w:rsidRDefault="00583BD3" w:rsidP="000727E8">
            <w:pPr>
              <w:jc w:val="center"/>
              <w:rPr>
                <w:rFonts w:ascii="Garamond" w:hAnsi="Garamond" w:cs="Calibri"/>
                <w:color w:val="000000"/>
                <w:sz w:val="16"/>
                <w:szCs w:val="16"/>
              </w:rPr>
            </w:pP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(-1.90)</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(-0.09)</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(-1.92)</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(-1.99)</w:t>
            </w:r>
          </w:p>
        </w:tc>
        <w:tc>
          <w:tcPr>
            <w:tcW w:w="850"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(-0.12)</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(-2.12)</w:t>
            </w:r>
          </w:p>
        </w:tc>
      </w:tr>
      <w:tr w:rsidR="00583BD3" w:rsidRPr="000429AF" w:rsidTr="000727E8">
        <w:trPr>
          <w:trHeight w:hRule="exact" w:val="255"/>
        </w:trPr>
        <w:tc>
          <w:tcPr>
            <w:tcW w:w="2079" w:type="dxa"/>
            <w:shd w:val="clear" w:color="auto" w:fill="auto"/>
            <w:noWrap/>
            <w:hideMark/>
          </w:tcPr>
          <w:p w:rsidR="00583BD3" w:rsidRPr="00C64609" w:rsidRDefault="00583BD3" w:rsidP="000727E8">
            <w:pPr>
              <w:jc w:val="center"/>
              <w:rPr>
                <w:rFonts w:ascii="Garamond" w:hAnsi="Garamond" w:cs="Calibri"/>
                <w:color w:val="000000" w:themeColor="text1"/>
                <w:sz w:val="16"/>
                <w:szCs w:val="16"/>
              </w:rPr>
            </w:pPr>
          </w:p>
        </w:tc>
        <w:tc>
          <w:tcPr>
            <w:tcW w:w="899" w:type="dxa"/>
            <w:shd w:val="clear" w:color="auto" w:fill="auto"/>
          </w:tcPr>
          <w:p w:rsidR="00583BD3" w:rsidRPr="00C64609" w:rsidRDefault="00583BD3" w:rsidP="000727E8">
            <w:pPr>
              <w:jc w:val="center"/>
              <w:rPr>
                <w:rFonts w:ascii="Garamond" w:hAnsi="Garamond" w:cs="Calibri"/>
                <w:color w:val="000000" w:themeColor="text1"/>
                <w:sz w:val="16"/>
                <w:szCs w:val="16"/>
              </w:rPr>
            </w:pPr>
          </w:p>
        </w:tc>
        <w:tc>
          <w:tcPr>
            <w:tcW w:w="2126" w:type="dxa"/>
            <w:shd w:val="clear" w:color="auto" w:fill="auto"/>
          </w:tcPr>
          <w:p w:rsidR="00583BD3" w:rsidRPr="00DD0A30" w:rsidRDefault="00583BD3" w:rsidP="000727E8">
            <w:pPr>
              <w:jc w:val="center"/>
              <w:rPr>
                <w:rFonts w:ascii="Garamond" w:hAnsi="Garamond" w:cs="Calibri"/>
                <w:color w:val="000000"/>
                <w:sz w:val="16"/>
                <w:szCs w:val="16"/>
              </w:rPr>
            </w:pPr>
            <w:r w:rsidRPr="00DD0A30">
              <w:rPr>
                <w:rFonts w:ascii="Garamond" w:hAnsi="Garamond" w:cs="Calibri"/>
                <w:color w:val="000000"/>
                <w:sz w:val="16"/>
                <w:szCs w:val="16"/>
              </w:rPr>
              <w:t>Constant</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-0.442</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-0.401</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-0.449</w:t>
            </w:r>
          </w:p>
        </w:tc>
        <w:tc>
          <w:tcPr>
            <w:tcW w:w="992"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-0.443</w:t>
            </w:r>
          </w:p>
        </w:tc>
        <w:tc>
          <w:tcPr>
            <w:tcW w:w="850"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-0.408</w:t>
            </w:r>
          </w:p>
        </w:tc>
        <w:tc>
          <w:tcPr>
            <w:tcW w:w="993" w:type="dxa"/>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-0.389</w:t>
            </w:r>
          </w:p>
        </w:tc>
      </w:tr>
      <w:tr w:rsidR="00583BD3" w:rsidRPr="000429AF" w:rsidTr="000727E8">
        <w:trPr>
          <w:trHeight w:hRule="exact" w:val="255"/>
        </w:trPr>
        <w:tc>
          <w:tcPr>
            <w:tcW w:w="2079" w:type="dxa"/>
            <w:tcBorders>
              <w:bottom w:val="single" w:sz="4" w:space="0" w:color="auto"/>
            </w:tcBorders>
            <w:shd w:val="clear" w:color="auto" w:fill="auto"/>
            <w:noWrap/>
            <w:hideMark/>
          </w:tcPr>
          <w:p w:rsidR="00583BD3" w:rsidRPr="00C64609" w:rsidRDefault="00583BD3" w:rsidP="000727E8">
            <w:pPr>
              <w:jc w:val="center"/>
              <w:rPr>
                <w:rFonts w:ascii="Garamond" w:hAnsi="Garamond" w:cs="Calibri"/>
                <w:color w:val="000000" w:themeColor="text1"/>
                <w:sz w:val="16"/>
                <w:szCs w:val="16"/>
              </w:rPr>
            </w:pPr>
          </w:p>
        </w:tc>
        <w:tc>
          <w:tcPr>
            <w:tcW w:w="899" w:type="dxa"/>
            <w:tcBorders>
              <w:bottom w:val="single" w:sz="4" w:space="0" w:color="auto"/>
            </w:tcBorders>
            <w:shd w:val="clear" w:color="auto" w:fill="auto"/>
          </w:tcPr>
          <w:p w:rsidR="00583BD3" w:rsidRPr="00C64609" w:rsidRDefault="00583BD3" w:rsidP="000727E8">
            <w:pPr>
              <w:jc w:val="center"/>
              <w:rPr>
                <w:rFonts w:ascii="Garamond" w:hAnsi="Garamond" w:cs="Calibri"/>
                <w:color w:val="000000" w:themeColor="text1"/>
                <w:sz w:val="16"/>
                <w:szCs w:val="16"/>
              </w:rPr>
            </w:pPr>
          </w:p>
        </w:tc>
        <w:tc>
          <w:tcPr>
            <w:tcW w:w="2126" w:type="dxa"/>
            <w:tcBorders>
              <w:bottom w:val="single" w:sz="4" w:space="0" w:color="auto"/>
            </w:tcBorders>
            <w:shd w:val="clear" w:color="auto" w:fill="auto"/>
          </w:tcPr>
          <w:p w:rsidR="00583BD3" w:rsidRPr="00DD0A30" w:rsidRDefault="00583BD3" w:rsidP="000727E8">
            <w:pPr>
              <w:jc w:val="center"/>
              <w:rPr>
                <w:rFonts w:ascii="Garamond" w:hAnsi="Garamond" w:cs="Calibri"/>
                <w:color w:val="000000"/>
                <w:sz w:val="16"/>
                <w:szCs w:val="16"/>
              </w:rPr>
            </w:pPr>
          </w:p>
        </w:tc>
        <w:tc>
          <w:tcPr>
            <w:tcW w:w="992" w:type="dxa"/>
            <w:tcBorders>
              <w:bottom w:val="single" w:sz="4" w:space="0" w:color="auto"/>
            </w:tcBorders>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(-1.55)</w:t>
            </w:r>
          </w:p>
        </w:tc>
        <w:tc>
          <w:tcPr>
            <w:tcW w:w="992" w:type="dxa"/>
            <w:tcBorders>
              <w:bottom w:val="single" w:sz="4" w:space="0" w:color="auto"/>
            </w:tcBorders>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(-1.37)</w:t>
            </w:r>
          </w:p>
        </w:tc>
        <w:tc>
          <w:tcPr>
            <w:tcW w:w="993" w:type="dxa"/>
            <w:tcBorders>
              <w:bottom w:val="single" w:sz="4" w:space="0" w:color="auto"/>
            </w:tcBorders>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(-1.55)</w:t>
            </w:r>
          </w:p>
        </w:tc>
        <w:tc>
          <w:tcPr>
            <w:tcW w:w="992" w:type="dxa"/>
            <w:tcBorders>
              <w:bottom w:val="single" w:sz="4" w:space="0" w:color="auto"/>
            </w:tcBorders>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(-1.55)</w:t>
            </w:r>
          </w:p>
        </w:tc>
        <w:tc>
          <w:tcPr>
            <w:tcW w:w="850" w:type="dxa"/>
            <w:tcBorders>
              <w:bottom w:val="single" w:sz="4" w:space="0" w:color="auto"/>
            </w:tcBorders>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(-1.36)</w:t>
            </w:r>
          </w:p>
        </w:tc>
        <w:tc>
          <w:tcPr>
            <w:tcW w:w="993" w:type="dxa"/>
            <w:tcBorders>
              <w:bottom w:val="single" w:sz="4" w:space="0" w:color="auto"/>
            </w:tcBorders>
            <w:shd w:val="clear" w:color="auto" w:fill="auto"/>
            <w:noWrap/>
            <w:vAlign w:val="center"/>
            <w:hideMark/>
          </w:tcPr>
          <w:p w:rsidR="00583BD3" w:rsidRPr="000429AF" w:rsidRDefault="00583BD3" w:rsidP="000727E8">
            <w:pPr>
              <w:rPr>
                <w:rFonts w:ascii="Garamond" w:eastAsia="SimSun" w:hAnsi="Garamond" w:cs="SimSun"/>
                <w:color w:val="000000"/>
                <w:sz w:val="16"/>
                <w:szCs w:val="16"/>
              </w:rPr>
            </w:pPr>
            <w:r w:rsidRPr="000429AF">
              <w:rPr>
                <w:rFonts w:ascii="Garamond" w:hAnsi="Garamond"/>
                <w:color w:val="000000"/>
                <w:sz w:val="16"/>
                <w:szCs w:val="16"/>
              </w:rPr>
              <w:t>(-1.41)</w:t>
            </w:r>
          </w:p>
        </w:tc>
      </w:tr>
      <w:tr w:rsidR="00583BD3" w:rsidRPr="00DD0A30" w:rsidTr="000727E8">
        <w:trPr>
          <w:trHeight w:hRule="exact" w:val="255"/>
        </w:trPr>
        <w:tc>
          <w:tcPr>
            <w:tcW w:w="2079" w:type="dxa"/>
            <w:tcBorders>
              <w:top w:val="single" w:sz="4" w:space="0" w:color="auto"/>
            </w:tcBorders>
            <w:shd w:val="clear" w:color="auto" w:fill="auto"/>
            <w:noWrap/>
            <w:hideMark/>
          </w:tcPr>
          <w:p w:rsidR="00583BD3" w:rsidRPr="00DD0A30" w:rsidRDefault="00583BD3" w:rsidP="000727E8">
            <w:pPr>
              <w:jc w:val="center"/>
              <w:rPr>
                <w:rFonts w:ascii="Garamond" w:hAnsi="Garamond" w:cs="Calibri"/>
                <w:color w:val="000000"/>
                <w:sz w:val="16"/>
                <w:szCs w:val="16"/>
              </w:rPr>
            </w:pPr>
            <w:r w:rsidRPr="00DD0A30">
              <w:rPr>
                <w:rFonts w:ascii="Garamond" w:hAnsi="Garamond" w:cs="Calibri"/>
                <w:color w:val="000000"/>
                <w:sz w:val="16"/>
                <w:szCs w:val="16"/>
              </w:rPr>
              <w:t>Year Fixed Effects</w:t>
            </w:r>
          </w:p>
        </w:tc>
        <w:tc>
          <w:tcPr>
            <w:tcW w:w="899" w:type="dxa"/>
            <w:tcBorders>
              <w:top w:val="single" w:sz="4" w:space="0" w:color="auto"/>
            </w:tcBorders>
            <w:shd w:val="clear" w:color="auto" w:fill="auto"/>
            <w:vAlign w:val="bottom"/>
          </w:tcPr>
          <w:p w:rsidR="00583BD3" w:rsidRPr="007D286E" w:rsidRDefault="00583BD3" w:rsidP="000727E8">
            <w:pPr>
              <w:jc w:val="center"/>
              <w:rPr>
                <w:rFonts w:ascii="Garamond" w:hAnsi="Garamond" w:cs="Calibri"/>
                <w:color w:val="000000"/>
                <w:sz w:val="16"/>
                <w:szCs w:val="16"/>
              </w:rPr>
            </w:pPr>
            <w:r w:rsidRPr="007D286E">
              <w:rPr>
                <w:rFonts w:ascii="Garamond" w:hAnsi="Garamond" w:cs="Calibri" w:hint="eastAsia"/>
                <w:color w:val="000000"/>
                <w:sz w:val="16"/>
                <w:szCs w:val="16"/>
              </w:rPr>
              <w:t>Yes</w:t>
            </w:r>
          </w:p>
        </w:tc>
        <w:tc>
          <w:tcPr>
            <w:tcW w:w="2126" w:type="dxa"/>
            <w:tcBorders>
              <w:top w:val="single" w:sz="4" w:space="0" w:color="auto"/>
            </w:tcBorders>
            <w:shd w:val="clear" w:color="auto" w:fill="auto"/>
          </w:tcPr>
          <w:p w:rsidR="00583BD3" w:rsidRPr="00DD0A30" w:rsidRDefault="00583BD3" w:rsidP="000727E8">
            <w:pPr>
              <w:jc w:val="center"/>
              <w:rPr>
                <w:rFonts w:ascii="Garamond" w:hAnsi="Garamond" w:cs="Calibri"/>
                <w:color w:val="000000"/>
                <w:sz w:val="16"/>
                <w:szCs w:val="16"/>
              </w:rPr>
            </w:pPr>
            <w:r w:rsidRPr="00DD0A30">
              <w:rPr>
                <w:rFonts w:ascii="Garamond" w:hAnsi="Garamond" w:cs="Calibri"/>
                <w:color w:val="000000"/>
                <w:sz w:val="16"/>
                <w:szCs w:val="16"/>
              </w:rPr>
              <w:t>Year Fixed Effects</w:t>
            </w:r>
          </w:p>
        </w:tc>
        <w:tc>
          <w:tcPr>
            <w:tcW w:w="992" w:type="dxa"/>
            <w:tcBorders>
              <w:top w:val="single" w:sz="4" w:space="0" w:color="auto"/>
            </w:tcBorders>
            <w:shd w:val="clear" w:color="auto" w:fill="auto"/>
            <w:noWrap/>
            <w:hideMark/>
          </w:tcPr>
          <w:p w:rsidR="00583BD3" w:rsidRPr="00DD0A30" w:rsidRDefault="00583BD3" w:rsidP="000727E8">
            <w:pPr>
              <w:rPr>
                <w:rFonts w:ascii="Garamond" w:hAnsi="Garamond" w:cs="Calibri"/>
                <w:color w:val="000000"/>
                <w:sz w:val="16"/>
                <w:szCs w:val="16"/>
              </w:rPr>
            </w:pPr>
            <w:r w:rsidRPr="00DD0A30">
              <w:rPr>
                <w:rFonts w:ascii="Garamond" w:hAnsi="Garamond" w:cs="Calibri"/>
                <w:color w:val="000000"/>
                <w:sz w:val="16"/>
                <w:szCs w:val="16"/>
              </w:rPr>
              <w:t>Yes</w:t>
            </w:r>
          </w:p>
        </w:tc>
        <w:tc>
          <w:tcPr>
            <w:tcW w:w="992" w:type="dxa"/>
            <w:tcBorders>
              <w:top w:val="single" w:sz="4" w:space="0" w:color="auto"/>
            </w:tcBorders>
            <w:shd w:val="clear" w:color="auto" w:fill="auto"/>
            <w:noWrap/>
            <w:hideMark/>
          </w:tcPr>
          <w:p w:rsidR="00583BD3" w:rsidRPr="00DD0A30" w:rsidRDefault="00583BD3" w:rsidP="000727E8">
            <w:pPr>
              <w:rPr>
                <w:rFonts w:ascii="Garamond" w:hAnsi="Garamond" w:cs="Calibri"/>
                <w:color w:val="000000"/>
                <w:sz w:val="16"/>
                <w:szCs w:val="16"/>
              </w:rPr>
            </w:pPr>
            <w:r w:rsidRPr="00DD0A30">
              <w:rPr>
                <w:rFonts w:ascii="Garamond" w:hAnsi="Garamond" w:cs="Calibri"/>
                <w:color w:val="000000"/>
                <w:sz w:val="16"/>
                <w:szCs w:val="16"/>
              </w:rPr>
              <w:t>Yes</w:t>
            </w:r>
          </w:p>
        </w:tc>
        <w:tc>
          <w:tcPr>
            <w:tcW w:w="993" w:type="dxa"/>
            <w:tcBorders>
              <w:top w:val="single" w:sz="4" w:space="0" w:color="auto"/>
            </w:tcBorders>
            <w:shd w:val="clear" w:color="auto" w:fill="auto"/>
            <w:noWrap/>
            <w:hideMark/>
          </w:tcPr>
          <w:p w:rsidR="00583BD3" w:rsidRPr="00DD0A30" w:rsidRDefault="00583BD3" w:rsidP="000727E8">
            <w:pPr>
              <w:rPr>
                <w:rFonts w:ascii="Garamond" w:hAnsi="Garamond" w:cs="Calibri"/>
                <w:color w:val="000000"/>
                <w:sz w:val="16"/>
                <w:szCs w:val="16"/>
              </w:rPr>
            </w:pPr>
            <w:r w:rsidRPr="00DD0A30">
              <w:rPr>
                <w:rFonts w:ascii="Garamond" w:hAnsi="Garamond" w:cs="Calibri"/>
                <w:color w:val="000000"/>
                <w:sz w:val="16"/>
                <w:szCs w:val="16"/>
              </w:rPr>
              <w:t>Yes</w:t>
            </w:r>
          </w:p>
        </w:tc>
        <w:tc>
          <w:tcPr>
            <w:tcW w:w="992" w:type="dxa"/>
            <w:tcBorders>
              <w:top w:val="single" w:sz="4" w:space="0" w:color="auto"/>
            </w:tcBorders>
            <w:shd w:val="clear" w:color="auto" w:fill="auto"/>
            <w:noWrap/>
            <w:hideMark/>
          </w:tcPr>
          <w:p w:rsidR="00583BD3" w:rsidRPr="00DD0A30" w:rsidRDefault="00583BD3" w:rsidP="000727E8">
            <w:pPr>
              <w:rPr>
                <w:rFonts w:ascii="Garamond" w:hAnsi="Garamond" w:cs="Calibri"/>
                <w:color w:val="000000"/>
                <w:sz w:val="16"/>
                <w:szCs w:val="16"/>
              </w:rPr>
            </w:pPr>
            <w:r w:rsidRPr="00DD0A30">
              <w:rPr>
                <w:rFonts w:ascii="Garamond" w:hAnsi="Garamond" w:cs="Calibri"/>
                <w:color w:val="000000"/>
                <w:sz w:val="16"/>
                <w:szCs w:val="16"/>
              </w:rPr>
              <w:t>Yes</w:t>
            </w:r>
          </w:p>
        </w:tc>
        <w:tc>
          <w:tcPr>
            <w:tcW w:w="850" w:type="dxa"/>
            <w:tcBorders>
              <w:top w:val="single" w:sz="4" w:space="0" w:color="auto"/>
            </w:tcBorders>
            <w:shd w:val="clear" w:color="auto" w:fill="auto"/>
            <w:noWrap/>
            <w:hideMark/>
          </w:tcPr>
          <w:p w:rsidR="00583BD3" w:rsidRPr="00DD0A30" w:rsidRDefault="00583BD3" w:rsidP="000727E8">
            <w:pPr>
              <w:rPr>
                <w:rFonts w:ascii="Garamond" w:hAnsi="Garamond" w:cs="Calibri"/>
                <w:color w:val="000000"/>
                <w:sz w:val="16"/>
                <w:szCs w:val="16"/>
              </w:rPr>
            </w:pPr>
            <w:r w:rsidRPr="00DD0A30">
              <w:rPr>
                <w:rFonts w:ascii="Garamond" w:hAnsi="Garamond" w:cs="Calibri"/>
                <w:color w:val="000000"/>
                <w:sz w:val="16"/>
                <w:szCs w:val="16"/>
              </w:rPr>
              <w:t>Yes</w:t>
            </w:r>
          </w:p>
        </w:tc>
        <w:tc>
          <w:tcPr>
            <w:tcW w:w="993" w:type="dxa"/>
            <w:tcBorders>
              <w:top w:val="single" w:sz="4" w:space="0" w:color="auto"/>
            </w:tcBorders>
            <w:shd w:val="clear" w:color="auto" w:fill="auto"/>
            <w:noWrap/>
            <w:hideMark/>
          </w:tcPr>
          <w:p w:rsidR="00583BD3" w:rsidRPr="00DD0A30" w:rsidRDefault="00583BD3" w:rsidP="000727E8">
            <w:pPr>
              <w:rPr>
                <w:rFonts w:ascii="Garamond" w:hAnsi="Garamond" w:cs="Calibri"/>
                <w:color w:val="000000"/>
                <w:sz w:val="16"/>
                <w:szCs w:val="16"/>
              </w:rPr>
            </w:pPr>
            <w:r w:rsidRPr="00DD0A30">
              <w:rPr>
                <w:rFonts w:ascii="Garamond" w:hAnsi="Garamond" w:cs="Calibri"/>
                <w:color w:val="000000"/>
                <w:sz w:val="16"/>
                <w:szCs w:val="16"/>
              </w:rPr>
              <w:t>Yes</w:t>
            </w:r>
          </w:p>
        </w:tc>
      </w:tr>
      <w:tr w:rsidR="00583BD3" w:rsidRPr="00DD0A30" w:rsidTr="000727E8">
        <w:trPr>
          <w:trHeight w:hRule="exact" w:val="255"/>
        </w:trPr>
        <w:tc>
          <w:tcPr>
            <w:tcW w:w="2079" w:type="dxa"/>
            <w:shd w:val="clear" w:color="auto" w:fill="FFFFFF" w:themeFill="background1"/>
            <w:noWrap/>
            <w:hideMark/>
          </w:tcPr>
          <w:p w:rsidR="00583BD3" w:rsidRPr="00DD0A30" w:rsidRDefault="00583BD3" w:rsidP="000727E8">
            <w:pPr>
              <w:jc w:val="center"/>
              <w:rPr>
                <w:rFonts w:ascii="Garamond" w:hAnsi="Garamond" w:cs="Calibri"/>
                <w:color w:val="000000"/>
                <w:sz w:val="16"/>
                <w:szCs w:val="16"/>
              </w:rPr>
            </w:pPr>
            <w:r w:rsidRPr="00DD0A30">
              <w:rPr>
                <w:rFonts w:ascii="Garamond" w:hAnsi="Garamond" w:cs="Calibri"/>
                <w:color w:val="000000"/>
                <w:sz w:val="16"/>
                <w:szCs w:val="16"/>
              </w:rPr>
              <w:t>Firm Fixed Effects</w:t>
            </w:r>
          </w:p>
        </w:tc>
        <w:tc>
          <w:tcPr>
            <w:tcW w:w="899" w:type="dxa"/>
            <w:shd w:val="clear" w:color="auto" w:fill="FFFFFF" w:themeFill="background1"/>
            <w:vAlign w:val="bottom"/>
          </w:tcPr>
          <w:p w:rsidR="00583BD3" w:rsidRPr="007D286E" w:rsidRDefault="00583BD3" w:rsidP="000727E8">
            <w:pPr>
              <w:jc w:val="center"/>
              <w:rPr>
                <w:rFonts w:ascii="Garamond" w:hAnsi="Garamond" w:cs="Calibri"/>
                <w:color w:val="000000"/>
                <w:sz w:val="16"/>
                <w:szCs w:val="16"/>
              </w:rPr>
            </w:pPr>
            <w:r w:rsidRPr="007D286E">
              <w:rPr>
                <w:rFonts w:ascii="Garamond" w:hAnsi="Garamond" w:cs="Calibri" w:hint="eastAsia"/>
                <w:color w:val="000000"/>
                <w:sz w:val="16"/>
                <w:szCs w:val="16"/>
              </w:rPr>
              <w:t>Yes</w:t>
            </w:r>
          </w:p>
        </w:tc>
        <w:tc>
          <w:tcPr>
            <w:tcW w:w="2126" w:type="dxa"/>
            <w:shd w:val="clear" w:color="auto" w:fill="FFFFFF" w:themeFill="background1"/>
          </w:tcPr>
          <w:p w:rsidR="00583BD3" w:rsidRPr="00DD0A30" w:rsidRDefault="00583BD3" w:rsidP="000727E8">
            <w:pPr>
              <w:jc w:val="center"/>
              <w:rPr>
                <w:rFonts w:ascii="Garamond" w:hAnsi="Garamond" w:cs="Calibri"/>
                <w:color w:val="000000"/>
                <w:sz w:val="16"/>
                <w:szCs w:val="16"/>
              </w:rPr>
            </w:pPr>
            <w:r w:rsidRPr="00DD0A30">
              <w:rPr>
                <w:rFonts w:ascii="Garamond" w:hAnsi="Garamond" w:cs="Calibri"/>
                <w:color w:val="000000"/>
                <w:sz w:val="16"/>
                <w:szCs w:val="16"/>
              </w:rPr>
              <w:t>Firm Fixed Effects</w:t>
            </w:r>
          </w:p>
        </w:tc>
        <w:tc>
          <w:tcPr>
            <w:tcW w:w="992" w:type="dxa"/>
            <w:shd w:val="clear" w:color="auto" w:fill="auto"/>
            <w:noWrap/>
            <w:hideMark/>
          </w:tcPr>
          <w:p w:rsidR="00583BD3" w:rsidRPr="00DD0A30" w:rsidRDefault="00583BD3" w:rsidP="000727E8">
            <w:pPr>
              <w:rPr>
                <w:rFonts w:ascii="Garamond" w:hAnsi="Garamond" w:cs="Calibri"/>
                <w:color w:val="000000"/>
                <w:sz w:val="16"/>
                <w:szCs w:val="16"/>
              </w:rPr>
            </w:pPr>
            <w:r w:rsidRPr="00DD0A30">
              <w:rPr>
                <w:rFonts w:ascii="Garamond" w:hAnsi="Garamond" w:cs="Calibri"/>
                <w:color w:val="000000"/>
                <w:sz w:val="16"/>
                <w:szCs w:val="16"/>
              </w:rPr>
              <w:t>Yes</w:t>
            </w:r>
          </w:p>
        </w:tc>
        <w:tc>
          <w:tcPr>
            <w:tcW w:w="992" w:type="dxa"/>
            <w:shd w:val="clear" w:color="auto" w:fill="auto"/>
            <w:noWrap/>
            <w:hideMark/>
          </w:tcPr>
          <w:p w:rsidR="00583BD3" w:rsidRPr="00DD0A30" w:rsidRDefault="00583BD3" w:rsidP="000727E8">
            <w:pPr>
              <w:rPr>
                <w:rFonts w:ascii="Garamond" w:hAnsi="Garamond" w:cs="Calibri"/>
                <w:color w:val="000000"/>
                <w:sz w:val="16"/>
                <w:szCs w:val="16"/>
              </w:rPr>
            </w:pPr>
            <w:r w:rsidRPr="00DD0A30">
              <w:rPr>
                <w:rFonts w:ascii="Garamond" w:hAnsi="Garamond" w:cs="Calibri"/>
                <w:color w:val="000000"/>
                <w:sz w:val="16"/>
                <w:szCs w:val="16"/>
              </w:rPr>
              <w:t>Yes</w:t>
            </w:r>
          </w:p>
        </w:tc>
        <w:tc>
          <w:tcPr>
            <w:tcW w:w="993" w:type="dxa"/>
            <w:shd w:val="clear" w:color="auto" w:fill="auto"/>
            <w:noWrap/>
            <w:hideMark/>
          </w:tcPr>
          <w:p w:rsidR="00583BD3" w:rsidRPr="00DD0A30" w:rsidRDefault="00583BD3" w:rsidP="000727E8">
            <w:pPr>
              <w:rPr>
                <w:rFonts w:ascii="Garamond" w:hAnsi="Garamond" w:cs="Calibri"/>
                <w:color w:val="000000"/>
                <w:sz w:val="16"/>
                <w:szCs w:val="16"/>
              </w:rPr>
            </w:pPr>
            <w:r w:rsidRPr="00DD0A30">
              <w:rPr>
                <w:rFonts w:ascii="Garamond" w:hAnsi="Garamond" w:cs="Calibri"/>
                <w:color w:val="000000"/>
                <w:sz w:val="16"/>
                <w:szCs w:val="16"/>
              </w:rPr>
              <w:t>Yes</w:t>
            </w:r>
          </w:p>
        </w:tc>
        <w:tc>
          <w:tcPr>
            <w:tcW w:w="992" w:type="dxa"/>
            <w:shd w:val="clear" w:color="auto" w:fill="auto"/>
            <w:noWrap/>
            <w:hideMark/>
          </w:tcPr>
          <w:p w:rsidR="00583BD3" w:rsidRPr="00DD0A30" w:rsidRDefault="00583BD3" w:rsidP="000727E8">
            <w:pPr>
              <w:rPr>
                <w:rFonts w:ascii="Garamond" w:hAnsi="Garamond" w:cs="Calibri"/>
                <w:color w:val="000000"/>
                <w:sz w:val="16"/>
                <w:szCs w:val="16"/>
              </w:rPr>
            </w:pPr>
            <w:r w:rsidRPr="00DD0A30">
              <w:rPr>
                <w:rFonts w:ascii="Garamond" w:hAnsi="Garamond" w:cs="Calibri"/>
                <w:color w:val="000000"/>
                <w:sz w:val="16"/>
                <w:szCs w:val="16"/>
              </w:rPr>
              <w:t>Yes</w:t>
            </w:r>
          </w:p>
        </w:tc>
        <w:tc>
          <w:tcPr>
            <w:tcW w:w="850" w:type="dxa"/>
            <w:shd w:val="clear" w:color="auto" w:fill="auto"/>
            <w:noWrap/>
            <w:hideMark/>
          </w:tcPr>
          <w:p w:rsidR="00583BD3" w:rsidRPr="00DD0A30" w:rsidRDefault="00583BD3" w:rsidP="000727E8">
            <w:pPr>
              <w:rPr>
                <w:rFonts w:ascii="Garamond" w:hAnsi="Garamond" w:cs="Calibri"/>
                <w:color w:val="000000"/>
                <w:sz w:val="16"/>
                <w:szCs w:val="16"/>
              </w:rPr>
            </w:pPr>
            <w:r w:rsidRPr="00DD0A30">
              <w:rPr>
                <w:rFonts w:ascii="Garamond" w:hAnsi="Garamond" w:cs="Calibri"/>
                <w:color w:val="000000"/>
                <w:sz w:val="16"/>
                <w:szCs w:val="16"/>
              </w:rPr>
              <w:t>Yes</w:t>
            </w:r>
          </w:p>
        </w:tc>
        <w:tc>
          <w:tcPr>
            <w:tcW w:w="993" w:type="dxa"/>
            <w:shd w:val="clear" w:color="auto" w:fill="auto"/>
            <w:noWrap/>
            <w:hideMark/>
          </w:tcPr>
          <w:p w:rsidR="00583BD3" w:rsidRPr="00DD0A30" w:rsidRDefault="00583BD3" w:rsidP="000727E8">
            <w:pPr>
              <w:rPr>
                <w:rFonts w:ascii="Garamond" w:hAnsi="Garamond" w:cs="Calibri"/>
                <w:color w:val="000000"/>
                <w:sz w:val="16"/>
                <w:szCs w:val="16"/>
              </w:rPr>
            </w:pPr>
            <w:r w:rsidRPr="00DD0A30">
              <w:rPr>
                <w:rFonts w:ascii="Garamond" w:hAnsi="Garamond" w:cs="Calibri"/>
                <w:color w:val="000000"/>
                <w:sz w:val="16"/>
                <w:szCs w:val="16"/>
              </w:rPr>
              <w:t>Yes</w:t>
            </w:r>
          </w:p>
        </w:tc>
      </w:tr>
      <w:tr w:rsidR="00583BD3" w:rsidRPr="00DD0A30" w:rsidTr="000727E8">
        <w:trPr>
          <w:trHeight w:hRule="exact" w:val="255"/>
        </w:trPr>
        <w:tc>
          <w:tcPr>
            <w:tcW w:w="2079" w:type="dxa"/>
            <w:shd w:val="clear" w:color="auto" w:fill="auto"/>
            <w:noWrap/>
            <w:hideMark/>
          </w:tcPr>
          <w:p w:rsidR="00583BD3" w:rsidRPr="00DD0A30" w:rsidRDefault="00583BD3" w:rsidP="000727E8">
            <w:pPr>
              <w:jc w:val="center"/>
              <w:rPr>
                <w:rFonts w:ascii="Garamond" w:hAnsi="Garamond" w:cs="Calibri"/>
                <w:color w:val="000000"/>
                <w:sz w:val="16"/>
                <w:szCs w:val="16"/>
              </w:rPr>
            </w:pPr>
            <w:proofErr w:type="spellStart"/>
            <w:r w:rsidRPr="00DD0A30">
              <w:rPr>
                <w:rFonts w:ascii="Garamond" w:hAnsi="Garamond" w:cs="Calibri"/>
                <w:color w:val="000000"/>
                <w:sz w:val="16"/>
                <w:szCs w:val="16"/>
              </w:rPr>
              <w:t>Adj</w:t>
            </w:r>
            <w:proofErr w:type="spellEnd"/>
            <w:r w:rsidRPr="00DD0A30">
              <w:rPr>
                <w:rFonts w:ascii="Garamond" w:hAnsi="Garamond" w:cs="Calibri"/>
                <w:color w:val="000000"/>
                <w:sz w:val="16"/>
                <w:szCs w:val="16"/>
              </w:rPr>
              <w:t xml:space="preserve"> R-square</w:t>
            </w:r>
          </w:p>
        </w:tc>
        <w:tc>
          <w:tcPr>
            <w:tcW w:w="899" w:type="dxa"/>
            <w:shd w:val="clear" w:color="auto" w:fill="auto"/>
            <w:vAlign w:val="center"/>
          </w:tcPr>
          <w:p w:rsidR="00583BD3" w:rsidRPr="007D286E" w:rsidRDefault="00583BD3" w:rsidP="000727E8">
            <w:pPr>
              <w:jc w:val="center"/>
              <w:rPr>
                <w:rFonts w:ascii="Garamond" w:hAnsi="Garamond" w:cs="Calibri"/>
                <w:color w:val="000000"/>
                <w:sz w:val="16"/>
                <w:szCs w:val="16"/>
              </w:rPr>
            </w:pPr>
            <w:r w:rsidRPr="007D286E">
              <w:rPr>
                <w:rFonts w:ascii="Garamond" w:hAnsi="Garamond" w:cs="Calibri" w:hint="eastAsia"/>
                <w:color w:val="000000"/>
                <w:sz w:val="16"/>
                <w:szCs w:val="16"/>
              </w:rPr>
              <w:t>0.6665</w:t>
            </w:r>
          </w:p>
        </w:tc>
        <w:tc>
          <w:tcPr>
            <w:tcW w:w="2126" w:type="dxa"/>
            <w:shd w:val="clear" w:color="auto" w:fill="auto"/>
          </w:tcPr>
          <w:p w:rsidR="00583BD3" w:rsidRPr="00DD0A30" w:rsidRDefault="00583BD3" w:rsidP="000727E8">
            <w:pPr>
              <w:jc w:val="center"/>
              <w:rPr>
                <w:rFonts w:ascii="Garamond" w:hAnsi="Garamond" w:cs="Calibri"/>
                <w:color w:val="000000"/>
                <w:sz w:val="16"/>
                <w:szCs w:val="16"/>
              </w:rPr>
            </w:pPr>
            <w:proofErr w:type="spellStart"/>
            <w:r w:rsidRPr="00DD0A30">
              <w:rPr>
                <w:rFonts w:ascii="Garamond" w:hAnsi="Garamond" w:cs="Calibri"/>
                <w:color w:val="000000"/>
                <w:sz w:val="16"/>
                <w:szCs w:val="16"/>
              </w:rPr>
              <w:t>Adj</w:t>
            </w:r>
            <w:proofErr w:type="spellEnd"/>
            <w:r w:rsidRPr="00DD0A30">
              <w:rPr>
                <w:rFonts w:ascii="Garamond" w:hAnsi="Garamond" w:cs="Calibri"/>
                <w:color w:val="000000"/>
                <w:sz w:val="16"/>
                <w:szCs w:val="16"/>
              </w:rPr>
              <w:t xml:space="preserve"> R-square</w:t>
            </w:r>
          </w:p>
        </w:tc>
        <w:tc>
          <w:tcPr>
            <w:tcW w:w="992" w:type="dxa"/>
            <w:shd w:val="clear" w:color="auto" w:fill="auto"/>
            <w:noWrap/>
            <w:vAlign w:val="center"/>
            <w:hideMark/>
          </w:tcPr>
          <w:p w:rsidR="00583BD3" w:rsidRPr="00DD0A30" w:rsidRDefault="00583BD3" w:rsidP="000727E8">
            <w:pPr>
              <w:rPr>
                <w:rFonts w:ascii="Garamond" w:hAnsi="Garamond" w:cs="Calibri"/>
                <w:color w:val="000000"/>
                <w:sz w:val="16"/>
                <w:szCs w:val="16"/>
              </w:rPr>
            </w:pPr>
            <w:r w:rsidRPr="00DD0A30">
              <w:rPr>
                <w:rFonts w:ascii="Garamond" w:hAnsi="Garamond" w:cs="Calibri" w:hint="eastAsia"/>
                <w:color w:val="000000"/>
                <w:sz w:val="16"/>
                <w:szCs w:val="16"/>
              </w:rPr>
              <w:t>0.7569</w:t>
            </w:r>
          </w:p>
        </w:tc>
        <w:tc>
          <w:tcPr>
            <w:tcW w:w="992" w:type="dxa"/>
            <w:shd w:val="clear" w:color="auto" w:fill="auto"/>
            <w:noWrap/>
            <w:vAlign w:val="center"/>
            <w:hideMark/>
          </w:tcPr>
          <w:p w:rsidR="00583BD3" w:rsidRPr="00DD0A30" w:rsidRDefault="00583BD3" w:rsidP="000727E8">
            <w:pPr>
              <w:rPr>
                <w:rFonts w:ascii="Garamond" w:hAnsi="Garamond" w:cs="Calibri"/>
                <w:color w:val="000000"/>
                <w:sz w:val="16"/>
                <w:szCs w:val="16"/>
              </w:rPr>
            </w:pPr>
            <w:r w:rsidRPr="00DD0A30">
              <w:rPr>
                <w:rFonts w:ascii="Garamond" w:hAnsi="Garamond" w:cs="Calibri" w:hint="eastAsia"/>
                <w:color w:val="000000"/>
                <w:sz w:val="16"/>
                <w:szCs w:val="16"/>
              </w:rPr>
              <w:t>0.7583</w:t>
            </w:r>
          </w:p>
        </w:tc>
        <w:tc>
          <w:tcPr>
            <w:tcW w:w="993" w:type="dxa"/>
            <w:shd w:val="clear" w:color="auto" w:fill="auto"/>
            <w:noWrap/>
            <w:vAlign w:val="center"/>
            <w:hideMark/>
          </w:tcPr>
          <w:p w:rsidR="00583BD3" w:rsidRPr="00DD0A30" w:rsidRDefault="00583BD3" w:rsidP="000727E8">
            <w:pPr>
              <w:rPr>
                <w:rFonts w:ascii="Garamond" w:hAnsi="Garamond" w:cs="Calibri"/>
                <w:color w:val="000000"/>
                <w:sz w:val="16"/>
                <w:szCs w:val="16"/>
              </w:rPr>
            </w:pPr>
            <w:r w:rsidRPr="00DD0A30">
              <w:rPr>
                <w:rFonts w:ascii="Garamond" w:hAnsi="Garamond" w:cs="Calibri" w:hint="eastAsia"/>
                <w:color w:val="000000"/>
                <w:sz w:val="16"/>
                <w:szCs w:val="16"/>
              </w:rPr>
              <w:t>0.7575</w:t>
            </w:r>
          </w:p>
        </w:tc>
        <w:tc>
          <w:tcPr>
            <w:tcW w:w="992" w:type="dxa"/>
            <w:shd w:val="clear" w:color="auto" w:fill="auto"/>
            <w:noWrap/>
            <w:vAlign w:val="center"/>
            <w:hideMark/>
          </w:tcPr>
          <w:p w:rsidR="00583BD3" w:rsidRPr="00DD0A30" w:rsidRDefault="00583BD3" w:rsidP="000727E8">
            <w:pPr>
              <w:rPr>
                <w:rFonts w:ascii="Garamond" w:hAnsi="Garamond" w:cs="Calibri"/>
                <w:color w:val="000000"/>
                <w:sz w:val="16"/>
                <w:szCs w:val="16"/>
              </w:rPr>
            </w:pPr>
            <w:r w:rsidRPr="00DD0A30">
              <w:rPr>
                <w:rFonts w:ascii="Garamond" w:hAnsi="Garamond" w:cs="Calibri" w:hint="eastAsia"/>
                <w:color w:val="000000"/>
                <w:sz w:val="16"/>
                <w:szCs w:val="16"/>
              </w:rPr>
              <w:t>0.7572</w:t>
            </w:r>
          </w:p>
        </w:tc>
        <w:tc>
          <w:tcPr>
            <w:tcW w:w="850" w:type="dxa"/>
            <w:shd w:val="clear" w:color="auto" w:fill="auto"/>
            <w:noWrap/>
            <w:vAlign w:val="center"/>
            <w:hideMark/>
          </w:tcPr>
          <w:p w:rsidR="00583BD3" w:rsidRPr="00DD0A30" w:rsidRDefault="00583BD3" w:rsidP="000727E8">
            <w:pPr>
              <w:rPr>
                <w:rFonts w:ascii="Garamond" w:hAnsi="Garamond" w:cs="Calibri"/>
                <w:color w:val="000000"/>
                <w:sz w:val="16"/>
                <w:szCs w:val="16"/>
              </w:rPr>
            </w:pPr>
            <w:r w:rsidRPr="00DD0A30">
              <w:rPr>
                <w:rFonts w:ascii="Garamond" w:hAnsi="Garamond" w:cs="Calibri" w:hint="eastAsia"/>
                <w:color w:val="000000"/>
                <w:sz w:val="16"/>
                <w:szCs w:val="16"/>
              </w:rPr>
              <w:t>0.7595</w:t>
            </w:r>
          </w:p>
        </w:tc>
        <w:tc>
          <w:tcPr>
            <w:tcW w:w="993" w:type="dxa"/>
            <w:shd w:val="clear" w:color="auto" w:fill="auto"/>
            <w:noWrap/>
            <w:vAlign w:val="center"/>
            <w:hideMark/>
          </w:tcPr>
          <w:p w:rsidR="00583BD3" w:rsidRPr="00DD0A30" w:rsidRDefault="00583BD3" w:rsidP="000727E8">
            <w:pPr>
              <w:rPr>
                <w:rFonts w:ascii="Garamond" w:hAnsi="Garamond" w:cs="Calibri"/>
                <w:color w:val="000000"/>
                <w:sz w:val="16"/>
                <w:szCs w:val="16"/>
              </w:rPr>
            </w:pPr>
            <w:r w:rsidRPr="00DD0A30">
              <w:rPr>
                <w:rFonts w:ascii="Garamond" w:hAnsi="Garamond" w:cs="Calibri" w:hint="eastAsia"/>
                <w:color w:val="000000"/>
                <w:sz w:val="16"/>
                <w:szCs w:val="16"/>
              </w:rPr>
              <w:t>0.7566</w:t>
            </w:r>
          </w:p>
        </w:tc>
      </w:tr>
      <w:tr w:rsidR="00583BD3" w:rsidRPr="00DD0A30" w:rsidTr="000727E8">
        <w:trPr>
          <w:trHeight w:hRule="exact" w:val="255"/>
        </w:trPr>
        <w:tc>
          <w:tcPr>
            <w:tcW w:w="2079" w:type="dxa"/>
            <w:shd w:val="clear" w:color="auto" w:fill="auto"/>
            <w:noWrap/>
            <w:hideMark/>
          </w:tcPr>
          <w:p w:rsidR="00583BD3" w:rsidRPr="00DD0A30" w:rsidRDefault="00583BD3" w:rsidP="000727E8">
            <w:pPr>
              <w:jc w:val="center"/>
              <w:rPr>
                <w:rFonts w:ascii="Garamond" w:hAnsi="Garamond" w:cs="Calibri"/>
                <w:color w:val="000000"/>
                <w:sz w:val="16"/>
                <w:szCs w:val="16"/>
              </w:rPr>
            </w:pPr>
            <w:r w:rsidRPr="00DD0A30">
              <w:rPr>
                <w:rFonts w:ascii="Garamond" w:hAnsi="Garamond" w:cs="Calibri"/>
                <w:color w:val="000000"/>
                <w:sz w:val="16"/>
                <w:szCs w:val="16"/>
              </w:rPr>
              <w:t>No. of Observation</w:t>
            </w:r>
          </w:p>
        </w:tc>
        <w:tc>
          <w:tcPr>
            <w:tcW w:w="899" w:type="dxa"/>
            <w:shd w:val="clear" w:color="auto" w:fill="auto"/>
            <w:vAlign w:val="bottom"/>
          </w:tcPr>
          <w:p w:rsidR="00583BD3" w:rsidRPr="007D286E" w:rsidRDefault="00583BD3" w:rsidP="000727E8">
            <w:pPr>
              <w:jc w:val="center"/>
              <w:rPr>
                <w:rFonts w:ascii="Garamond" w:hAnsi="Garamond" w:cs="Calibri"/>
                <w:color w:val="000000"/>
                <w:sz w:val="16"/>
                <w:szCs w:val="16"/>
              </w:rPr>
            </w:pPr>
            <w:r w:rsidRPr="007D286E">
              <w:rPr>
                <w:rFonts w:ascii="Garamond" w:hAnsi="Garamond" w:cs="Calibri" w:hint="eastAsia"/>
                <w:color w:val="000000"/>
                <w:sz w:val="16"/>
                <w:szCs w:val="16"/>
              </w:rPr>
              <w:t>1,051</w:t>
            </w:r>
          </w:p>
        </w:tc>
        <w:tc>
          <w:tcPr>
            <w:tcW w:w="2126" w:type="dxa"/>
            <w:shd w:val="clear" w:color="auto" w:fill="auto"/>
          </w:tcPr>
          <w:p w:rsidR="00583BD3" w:rsidRPr="00DD0A30" w:rsidRDefault="00583BD3" w:rsidP="000727E8">
            <w:pPr>
              <w:jc w:val="center"/>
              <w:rPr>
                <w:rFonts w:ascii="Garamond" w:hAnsi="Garamond" w:cs="Calibri"/>
                <w:color w:val="000000"/>
                <w:sz w:val="16"/>
                <w:szCs w:val="16"/>
              </w:rPr>
            </w:pPr>
            <w:r w:rsidRPr="00DD0A30">
              <w:rPr>
                <w:rFonts w:ascii="Garamond" w:hAnsi="Garamond" w:cs="Calibri"/>
                <w:color w:val="000000"/>
                <w:sz w:val="16"/>
                <w:szCs w:val="16"/>
              </w:rPr>
              <w:t>No. of Observation</w:t>
            </w:r>
          </w:p>
        </w:tc>
        <w:tc>
          <w:tcPr>
            <w:tcW w:w="992" w:type="dxa"/>
            <w:shd w:val="clear" w:color="auto" w:fill="auto"/>
            <w:noWrap/>
            <w:vAlign w:val="bottom"/>
            <w:hideMark/>
          </w:tcPr>
          <w:p w:rsidR="00583BD3" w:rsidRPr="00DD0A30" w:rsidRDefault="00583BD3" w:rsidP="000727E8">
            <w:pPr>
              <w:rPr>
                <w:rFonts w:ascii="Garamond" w:hAnsi="Garamond" w:cs="Calibri"/>
                <w:color w:val="000000"/>
                <w:sz w:val="16"/>
                <w:szCs w:val="16"/>
              </w:rPr>
            </w:pPr>
            <w:r w:rsidRPr="00DD0A30">
              <w:rPr>
                <w:rFonts w:ascii="Garamond" w:hAnsi="Garamond" w:cs="Calibri" w:hint="eastAsia"/>
                <w:color w:val="000000"/>
                <w:sz w:val="16"/>
                <w:szCs w:val="16"/>
              </w:rPr>
              <w:t>882</w:t>
            </w:r>
          </w:p>
        </w:tc>
        <w:tc>
          <w:tcPr>
            <w:tcW w:w="992" w:type="dxa"/>
            <w:shd w:val="clear" w:color="auto" w:fill="auto"/>
            <w:noWrap/>
            <w:vAlign w:val="bottom"/>
            <w:hideMark/>
          </w:tcPr>
          <w:p w:rsidR="00583BD3" w:rsidRPr="00DD0A30" w:rsidRDefault="00583BD3" w:rsidP="000727E8">
            <w:pPr>
              <w:rPr>
                <w:rFonts w:ascii="Garamond" w:hAnsi="Garamond" w:cs="Calibri"/>
                <w:color w:val="000000"/>
                <w:sz w:val="16"/>
                <w:szCs w:val="16"/>
              </w:rPr>
            </w:pPr>
            <w:r w:rsidRPr="00DD0A30">
              <w:rPr>
                <w:rFonts w:ascii="Garamond" w:hAnsi="Garamond" w:cs="Calibri" w:hint="eastAsia"/>
                <w:color w:val="000000"/>
                <w:sz w:val="16"/>
                <w:szCs w:val="16"/>
              </w:rPr>
              <w:t>882</w:t>
            </w:r>
          </w:p>
        </w:tc>
        <w:tc>
          <w:tcPr>
            <w:tcW w:w="993" w:type="dxa"/>
            <w:shd w:val="clear" w:color="auto" w:fill="auto"/>
            <w:noWrap/>
            <w:vAlign w:val="bottom"/>
            <w:hideMark/>
          </w:tcPr>
          <w:p w:rsidR="00583BD3" w:rsidRPr="00DD0A30" w:rsidRDefault="00583BD3" w:rsidP="000727E8">
            <w:pPr>
              <w:rPr>
                <w:rFonts w:ascii="Garamond" w:hAnsi="Garamond" w:cs="Calibri"/>
                <w:color w:val="000000"/>
                <w:sz w:val="16"/>
                <w:szCs w:val="16"/>
              </w:rPr>
            </w:pPr>
            <w:r w:rsidRPr="00DD0A30">
              <w:rPr>
                <w:rFonts w:ascii="Garamond" w:hAnsi="Garamond" w:cs="Calibri" w:hint="eastAsia"/>
                <w:color w:val="000000"/>
                <w:sz w:val="16"/>
                <w:szCs w:val="16"/>
              </w:rPr>
              <w:t>882</w:t>
            </w:r>
          </w:p>
        </w:tc>
        <w:tc>
          <w:tcPr>
            <w:tcW w:w="992" w:type="dxa"/>
            <w:shd w:val="clear" w:color="auto" w:fill="auto"/>
            <w:noWrap/>
            <w:vAlign w:val="bottom"/>
            <w:hideMark/>
          </w:tcPr>
          <w:p w:rsidR="00583BD3" w:rsidRPr="00DD0A30" w:rsidRDefault="00583BD3" w:rsidP="000727E8">
            <w:pPr>
              <w:rPr>
                <w:rFonts w:ascii="Garamond" w:hAnsi="Garamond" w:cs="Calibri"/>
                <w:color w:val="000000"/>
                <w:sz w:val="16"/>
                <w:szCs w:val="16"/>
              </w:rPr>
            </w:pPr>
            <w:r w:rsidRPr="00DD0A30">
              <w:rPr>
                <w:rFonts w:ascii="Garamond" w:hAnsi="Garamond" w:cs="Calibri" w:hint="eastAsia"/>
                <w:color w:val="000000"/>
                <w:sz w:val="16"/>
                <w:szCs w:val="16"/>
              </w:rPr>
              <w:t>882</w:t>
            </w:r>
          </w:p>
        </w:tc>
        <w:tc>
          <w:tcPr>
            <w:tcW w:w="850" w:type="dxa"/>
            <w:shd w:val="clear" w:color="auto" w:fill="auto"/>
            <w:noWrap/>
            <w:vAlign w:val="bottom"/>
            <w:hideMark/>
          </w:tcPr>
          <w:p w:rsidR="00583BD3" w:rsidRPr="00DD0A30" w:rsidRDefault="00583BD3" w:rsidP="000727E8">
            <w:pPr>
              <w:rPr>
                <w:rFonts w:ascii="Garamond" w:hAnsi="Garamond" w:cs="Calibri"/>
                <w:color w:val="000000"/>
                <w:sz w:val="16"/>
                <w:szCs w:val="16"/>
              </w:rPr>
            </w:pPr>
            <w:r w:rsidRPr="00DD0A30">
              <w:rPr>
                <w:rFonts w:ascii="Garamond" w:hAnsi="Garamond" w:cs="Calibri" w:hint="eastAsia"/>
                <w:color w:val="000000"/>
                <w:sz w:val="16"/>
                <w:szCs w:val="16"/>
              </w:rPr>
              <w:t>882</w:t>
            </w:r>
          </w:p>
        </w:tc>
        <w:tc>
          <w:tcPr>
            <w:tcW w:w="993" w:type="dxa"/>
            <w:shd w:val="clear" w:color="auto" w:fill="auto"/>
            <w:noWrap/>
            <w:vAlign w:val="bottom"/>
            <w:hideMark/>
          </w:tcPr>
          <w:p w:rsidR="00583BD3" w:rsidRPr="00DD0A30" w:rsidRDefault="00583BD3" w:rsidP="000727E8">
            <w:pPr>
              <w:rPr>
                <w:rFonts w:ascii="Garamond" w:hAnsi="Garamond" w:cs="Calibri"/>
                <w:color w:val="000000"/>
                <w:sz w:val="16"/>
                <w:szCs w:val="16"/>
              </w:rPr>
            </w:pPr>
            <w:r w:rsidRPr="00DD0A30">
              <w:rPr>
                <w:rFonts w:ascii="Garamond" w:hAnsi="Garamond" w:cs="Calibri" w:hint="eastAsia"/>
                <w:color w:val="000000"/>
                <w:sz w:val="16"/>
                <w:szCs w:val="16"/>
              </w:rPr>
              <w:t>882</w:t>
            </w:r>
          </w:p>
        </w:tc>
      </w:tr>
      <w:tr w:rsidR="00583BD3" w:rsidRPr="00DD0A30" w:rsidTr="000727E8">
        <w:trPr>
          <w:trHeight w:hRule="exact" w:val="255"/>
        </w:trPr>
        <w:tc>
          <w:tcPr>
            <w:tcW w:w="2079" w:type="dxa"/>
            <w:shd w:val="clear" w:color="auto" w:fill="auto"/>
            <w:noWrap/>
            <w:hideMark/>
          </w:tcPr>
          <w:p w:rsidR="00583BD3" w:rsidRPr="00DD0A30" w:rsidRDefault="00583BD3" w:rsidP="000727E8">
            <w:pPr>
              <w:jc w:val="center"/>
              <w:rPr>
                <w:rFonts w:ascii="Garamond" w:hAnsi="Garamond" w:cs="Calibri"/>
                <w:color w:val="000000"/>
                <w:sz w:val="16"/>
                <w:szCs w:val="16"/>
              </w:rPr>
            </w:pPr>
          </w:p>
        </w:tc>
        <w:tc>
          <w:tcPr>
            <w:tcW w:w="899" w:type="dxa"/>
            <w:shd w:val="clear" w:color="auto" w:fill="auto"/>
          </w:tcPr>
          <w:p w:rsidR="00583BD3" w:rsidRPr="00DD0A30" w:rsidRDefault="00583BD3" w:rsidP="000727E8">
            <w:pPr>
              <w:jc w:val="center"/>
              <w:rPr>
                <w:rFonts w:ascii="Garamond" w:hAnsi="Garamond" w:cs="Calibri"/>
                <w:color w:val="000000"/>
                <w:sz w:val="16"/>
                <w:szCs w:val="16"/>
              </w:rPr>
            </w:pPr>
          </w:p>
        </w:tc>
        <w:tc>
          <w:tcPr>
            <w:tcW w:w="2126" w:type="dxa"/>
            <w:shd w:val="clear" w:color="auto" w:fill="auto"/>
          </w:tcPr>
          <w:p w:rsidR="00583BD3" w:rsidRPr="00DD0A30" w:rsidRDefault="00583BD3" w:rsidP="000727E8">
            <w:pPr>
              <w:jc w:val="center"/>
              <w:rPr>
                <w:rFonts w:ascii="Garamond" w:hAnsi="Garamond" w:cs="Calibri"/>
                <w:color w:val="000000"/>
                <w:sz w:val="16"/>
                <w:szCs w:val="16"/>
              </w:rPr>
            </w:pPr>
            <w:r w:rsidRPr="00DD0A30">
              <w:rPr>
                <w:rFonts w:ascii="Garamond" w:hAnsi="Garamond" w:cs="Calibri"/>
                <w:color w:val="000000"/>
                <w:sz w:val="16"/>
                <w:szCs w:val="16"/>
              </w:rPr>
              <w:t>No. of Female CFO</w:t>
            </w:r>
          </w:p>
        </w:tc>
        <w:tc>
          <w:tcPr>
            <w:tcW w:w="992" w:type="dxa"/>
            <w:shd w:val="clear" w:color="auto" w:fill="auto"/>
            <w:noWrap/>
            <w:vAlign w:val="center"/>
            <w:hideMark/>
          </w:tcPr>
          <w:p w:rsidR="00583BD3" w:rsidRPr="00DD0A30" w:rsidRDefault="00583BD3" w:rsidP="000727E8">
            <w:pPr>
              <w:rPr>
                <w:rFonts w:ascii="Garamond" w:hAnsi="Garamond" w:cs="Calibri"/>
                <w:color w:val="000000"/>
                <w:sz w:val="16"/>
                <w:szCs w:val="16"/>
              </w:rPr>
            </w:pPr>
            <w:r w:rsidRPr="00DD0A30">
              <w:rPr>
                <w:rFonts w:ascii="Garamond" w:hAnsi="Garamond" w:cs="Calibri" w:hint="eastAsia"/>
                <w:color w:val="000000"/>
                <w:sz w:val="16"/>
                <w:szCs w:val="16"/>
              </w:rPr>
              <w:t>245</w:t>
            </w:r>
          </w:p>
        </w:tc>
        <w:tc>
          <w:tcPr>
            <w:tcW w:w="992" w:type="dxa"/>
            <w:shd w:val="clear" w:color="auto" w:fill="auto"/>
            <w:noWrap/>
            <w:vAlign w:val="center"/>
            <w:hideMark/>
          </w:tcPr>
          <w:p w:rsidR="00583BD3" w:rsidRPr="00DD0A30" w:rsidRDefault="00583BD3" w:rsidP="000727E8">
            <w:pPr>
              <w:rPr>
                <w:rFonts w:ascii="Garamond" w:hAnsi="Garamond" w:cs="Calibri"/>
                <w:color w:val="000000"/>
                <w:sz w:val="16"/>
                <w:szCs w:val="16"/>
              </w:rPr>
            </w:pPr>
            <w:r w:rsidRPr="00DD0A30">
              <w:rPr>
                <w:rFonts w:ascii="Garamond" w:hAnsi="Garamond" w:cs="Calibri" w:hint="eastAsia"/>
                <w:color w:val="000000"/>
                <w:sz w:val="16"/>
                <w:szCs w:val="16"/>
              </w:rPr>
              <w:t>245</w:t>
            </w:r>
          </w:p>
        </w:tc>
        <w:tc>
          <w:tcPr>
            <w:tcW w:w="993" w:type="dxa"/>
            <w:shd w:val="clear" w:color="auto" w:fill="auto"/>
            <w:noWrap/>
            <w:vAlign w:val="center"/>
            <w:hideMark/>
          </w:tcPr>
          <w:p w:rsidR="00583BD3" w:rsidRPr="00DD0A30" w:rsidRDefault="00583BD3" w:rsidP="000727E8">
            <w:pPr>
              <w:rPr>
                <w:rFonts w:ascii="Garamond" w:hAnsi="Garamond" w:cs="Calibri"/>
                <w:color w:val="000000"/>
                <w:sz w:val="16"/>
                <w:szCs w:val="16"/>
              </w:rPr>
            </w:pPr>
            <w:r w:rsidRPr="00DD0A30">
              <w:rPr>
                <w:rFonts w:ascii="Garamond" w:hAnsi="Garamond" w:cs="Calibri" w:hint="eastAsia"/>
                <w:color w:val="000000"/>
                <w:sz w:val="16"/>
                <w:szCs w:val="16"/>
              </w:rPr>
              <w:t>245</w:t>
            </w:r>
          </w:p>
        </w:tc>
        <w:tc>
          <w:tcPr>
            <w:tcW w:w="992" w:type="dxa"/>
            <w:shd w:val="clear" w:color="auto" w:fill="auto"/>
            <w:noWrap/>
            <w:vAlign w:val="center"/>
            <w:hideMark/>
          </w:tcPr>
          <w:p w:rsidR="00583BD3" w:rsidRPr="00DD0A30" w:rsidRDefault="00583BD3" w:rsidP="000727E8">
            <w:pPr>
              <w:rPr>
                <w:rFonts w:ascii="Garamond" w:hAnsi="Garamond" w:cs="Calibri"/>
                <w:color w:val="000000"/>
                <w:sz w:val="16"/>
                <w:szCs w:val="16"/>
              </w:rPr>
            </w:pPr>
            <w:r w:rsidRPr="00DD0A30">
              <w:rPr>
                <w:rFonts w:ascii="Garamond" w:hAnsi="Garamond" w:cs="Calibri" w:hint="eastAsia"/>
                <w:color w:val="000000"/>
                <w:sz w:val="16"/>
                <w:szCs w:val="16"/>
              </w:rPr>
              <w:t>245</w:t>
            </w:r>
          </w:p>
        </w:tc>
        <w:tc>
          <w:tcPr>
            <w:tcW w:w="850" w:type="dxa"/>
            <w:shd w:val="clear" w:color="auto" w:fill="auto"/>
            <w:noWrap/>
            <w:vAlign w:val="center"/>
            <w:hideMark/>
          </w:tcPr>
          <w:p w:rsidR="00583BD3" w:rsidRPr="00DD0A30" w:rsidRDefault="00583BD3" w:rsidP="000727E8">
            <w:pPr>
              <w:rPr>
                <w:rFonts w:ascii="Garamond" w:hAnsi="Garamond" w:cs="Calibri"/>
                <w:color w:val="000000"/>
                <w:sz w:val="16"/>
                <w:szCs w:val="16"/>
              </w:rPr>
            </w:pPr>
            <w:r w:rsidRPr="00DD0A30">
              <w:rPr>
                <w:rFonts w:ascii="Garamond" w:hAnsi="Garamond" w:cs="Calibri" w:hint="eastAsia"/>
                <w:color w:val="000000"/>
                <w:sz w:val="16"/>
                <w:szCs w:val="16"/>
              </w:rPr>
              <w:t>245</w:t>
            </w:r>
          </w:p>
        </w:tc>
        <w:tc>
          <w:tcPr>
            <w:tcW w:w="993" w:type="dxa"/>
            <w:shd w:val="clear" w:color="auto" w:fill="auto"/>
            <w:noWrap/>
            <w:vAlign w:val="center"/>
            <w:hideMark/>
          </w:tcPr>
          <w:p w:rsidR="00583BD3" w:rsidRPr="00DD0A30" w:rsidRDefault="00583BD3" w:rsidP="000727E8">
            <w:pPr>
              <w:rPr>
                <w:rFonts w:ascii="Garamond" w:hAnsi="Garamond" w:cs="Calibri"/>
                <w:color w:val="000000"/>
                <w:sz w:val="16"/>
                <w:szCs w:val="16"/>
              </w:rPr>
            </w:pPr>
            <w:r w:rsidRPr="00DD0A30">
              <w:rPr>
                <w:rFonts w:ascii="Garamond" w:hAnsi="Garamond" w:cs="Calibri" w:hint="eastAsia"/>
                <w:color w:val="000000"/>
                <w:sz w:val="16"/>
                <w:szCs w:val="16"/>
              </w:rPr>
              <w:t>245</w:t>
            </w:r>
          </w:p>
        </w:tc>
      </w:tr>
      <w:tr w:rsidR="00583BD3" w:rsidRPr="000429AF" w:rsidTr="000727E8">
        <w:trPr>
          <w:trHeight w:hRule="exact" w:val="255"/>
        </w:trPr>
        <w:tc>
          <w:tcPr>
            <w:tcW w:w="2079" w:type="dxa"/>
            <w:tcBorders>
              <w:bottom w:val="single" w:sz="4" w:space="0" w:color="auto"/>
            </w:tcBorders>
            <w:shd w:val="clear" w:color="auto" w:fill="auto"/>
            <w:noWrap/>
            <w:hideMark/>
          </w:tcPr>
          <w:p w:rsidR="00583BD3" w:rsidRPr="00DD0A30" w:rsidRDefault="00583BD3" w:rsidP="000727E8">
            <w:pPr>
              <w:jc w:val="center"/>
              <w:rPr>
                <w:rFonts w:ascii="Garamond" w:hAnsi="Garamond" w:cs="Calibri"/>
                <w:color w:val="000000"/>
                <w:sz w:val="16"/>
                <w:szCs w:val="16"/>
              </w:rPr>
            </w:pPr>
          </w:p>
        </w:tc>
        <w:tc>
          <w:tcPr>
            <w:tcW w:w="899" w:type="dxa"/>
            <w:tcBorders>
              <w:bottom w:val="single" w:sz="4" w:space="0" w:color="auto"/>
            </w:tcBorders>
            <w:shd w:val="clear" w:color="auto" w:fill="auto"/>
          </w:tcPr>
          <w:p w:rsidR="00583BD3" w:rsidRPr="00DD0A30" w:rsidRDefault="00583BD3" w:rsidP="000727E8">
            <w:pPr>
              <w:jc w:val="center"/>
              <w:rPr>
                <w:rFonts w:ascii="Garamond" w:hAnsi="Garamond" w:cs="Calibri"/>
                <w:color w:val="000000"/>
                <w:sz w:val="16"/>
                <w:szCs w:val="16"/>
              </w:rPr>
            </w:pPr>
          </w:p>
        </w:tc>
        <w:tc>
          <w:tcPr>
            <w:tcW w:w="2126" w:type="dxa"/>
            <w:tcBorders>
              <w:bottom w:val="single" w:sz="4" w:space="0" w:color="auto"/>
            </w:tcBorders>
            <w:shd w:val="clear" w:color="auto" w:fill="auto"/>
          </w:tcPr>
          <w:p w:rsidR="00583BD3" w:rsidRPr="00DD0A30" w:rsidRDefault="00583BD3" w:rsidP="000727E8">
            <w:pPr>
              <w:jc w:val="center"/>
              <w:rPr>
                <w:rFonts w:ascii="Garamond" w:hAnsi="Garamond" w:cs="Calibri"/>
                <w:color w:val="000000"/>
                <w:sz w:val="16"/>
                <w:szCs w:val="16"/>
              </w:rPr>
            </w:pPr>
            <w:r w:rsidRPr="00DD0A30">
              <w:rPr>
                <w:rFonts w:ascii="Garamond" w:hAnsi="Garamond" w:cs="Calibri"/>
                <w:color w:val="000000"/>
                <w:sz w:val="16"/>
                <w:szCs w:val="16"/>
              </w:rPr>
              <w:t>Average Leverage</w:t>
            </w:r>
          </w:p>
        </w:tc>
        <w:tc>
          <w:tcPr>
            <w:tcW w:w="992" w:type="dxa"/>
            <w:tcBorders>
              <w:bottom w:val="single" w:sz="4" w:space="0" w:color="auto"/>
            </w:tcBorders>
            <w:shd w:val="clear" w:color="auto" w:fill="auto"/>
            <w:noWrap/>
            <w:hideMark/>
          </w:tcPr>
          <w:p w:rsidR="00583BD3" w:rsidRPr="00DD0A30" w:rsidRDefault="00583BD3" w:rsidP="000727E8">
            <w:pPr>
              <w:rPr>
                <w:rFonts w:ascii="Garamond" w:hAnsi="Garamond" w:cs="Calibri"/>
                <w:color w:val="000000"/>
                <w:sz w:val="16"/>
                <w:szCs w:val="16"/>
              </w:rPr>
            </w:pPr>
            <w:r w:rsidRPr="00DD0A30">
              <w:rPr>
                <w:rFonts w:ascii="Garamond" w:hAnsi="Garamond" w:cs="Calibri"/>
                <w:color w:val="000000"/>
                <w:sz w:val="16"/>
                <w:szCs w:val="16"/>
              </w:rPr>
              <w:t>0.2624</w:t>
            </w:r>
          </w:p>
        </w:tc>
        <w:tc>
          <w:tcPr>
            <w:tcW w:w="992" w:type="dxa"/>
            <w:tcBorders>
              <w:bottom w:val="single" w:sz="4" w:space="0" w:color="auto"/>
            </w:tcBorders>
            <w:shd w:val="clear" w:color="auto" w:fill="auto"/>
            <w:noWrap/>
            <w:hideMark/>
          </w:tcPr>
          <w:p w:rsidR="00583BD3" w:rsidRPr="00DD0A30" w:rsidRDefault="00583BD3" w:rsidP="000727E8">
            <w:pPr>
              <w:rPr>
                <w:rFonts w:ascii="Garamond" w:hAnsi="Garamond" w:cs="Calibri"/>
                <w:color w:val="000000"/>
                <w:sz w:val="16"/>
                <w:szCs w:val="16"/>
              </w:rPr>
            </w:pPr>
            <w:r w:rsidRPr="00DD0A30">
              <w:rPr>
                <w:rFonts w:ascii="Garamond" w:hAnsi="Garamond" w:cs="Calibri"/>
                <w:color w:val="000000"/>
                <w:sz w:val="16"/>
                <w:szCs w:val="16"/>
              </w:rPr>
              <w:t>0.2624</w:t>
            </w:r>
          </w:p>
        </w:tc>
        <w:tc>
          <w:tcPr>
            <w:tcW w:w="993" w:type="dxa"/>
            <w:tcBorders>
              <w:bottom w:val="single" w:sz="4" w:space="0" w:color="auto"/>
            </w:tcBorders>
            <w:shd w:val="clear" w:color="auto" w:fill="auto"/>
            <w:noWrap/>
            <w:hideMark/>
          </w:tcPr>
          <w:p w:rsidR="00583BD3" w:rsidRPr="00DD0A30" w:rsidRDefault="00583BD3" w:rsidP="000727E8">
            <w:pPr>
              <w:rPr>
                <w:rFonts w:ascii="Garamond" w:hAnsi="Garamond" w:cs="Calibri"/>
                <w:color w:val="000000"/>
                <w:sz w:val="16"/>
                <w:szCs w:val="16"/>
              </w:rPr>
            </w:pPr>
            <w:r>
              <w:rPr>
                <w:rFonts w:ascii="Garamond" w:hAnsi="Garamond" w:cs="Calibri"/>
                <w:color w:val="000000"/>
                <w:sz w:val="16"/>
                <w:szCs w:val="16"/>
              </w:rPr>
              <w:t>0</w:t>
            </w:r>
            <w:r w:rsidRPr="00DD0A30">
              <w:rPr>
                <w:rFonts w:ascii="Garamond" w:hAnsi="Garamond" w:cs="Calibri"/>
                <w:color w:val="000000"/>
                <w:sz w:val="16"/>
                <w:szCs w:val="16"/>
              </w:rPr>
              <w:t>2624</w:t>
            </w:r>
          </w:p>
        </w:tc>
        <w:tc>
          <w:tcPr>
            <w:tcW w:w="992" w:type="dxa"/>
            <w:tcBorders>
              <w:bottom w:val="single" w:sz="4" w:space="0" w:color="auto"/>
            </w:tcBorders>
            <w:shd w:val="clear" w:color="auto" w:fill="auto"/>
            <w:noWrap/>
            <w:hideMark/>
          </w:tcPr>
          <w:p w:rsidR="00583BD3" w:rsidRPr="00DD0A30" w:rsidRDefault="00583BD3" w:rsidP="000727E8">
            <w:pPr>
              <w:rPr>
                <w:rFonts w:ascii="Garamond" w:hAnsi="Garamond" w:cs="Calibri"/>
                <w:color w:val="000000"/>
                <w:sz w:val="16"/>
                <w:szCs w:val="16"/>
              </w:rPr>
            </w:pPr>
            <w:r w:rsidRPr="00DD0A30">
              <w:rPr>
                <w:rFonts w:ascii="Garamond" w:hAnsi="Garamond" w:cs="Calibri"/>
                <w:color w:val="000000"/>
                <w:sz w:val="16"/>
                <w:szCs w:val="16"/>
              </w:rPr>
              <w:t>0.2624</w:t>
            </w:r>
          </w:p>
        </w:tc>
        <w:tc>
          <w:tcPr>
            <w:tcW w:w="850" w:type="dxa"/>
            <w:tcBorders>
              <w:bottom w:val="single" w:sz="4" w:space="0" w:color="auto"/>
            </w:tcBorders>
            <w:shd w:val="clear" w:color="auto" w:fill="auto"/>
            <w:noWrap/>
            <w:hideMark/>
          </w:tcPr>
          <w:p w:rsidR="00583BD3" w:rsidRPr="00DD0A30" w:rsidRDefault="00583BD3" w:rsidP="000727E8">
            <w:pPr>
              <w:rPr>
                <w:rFonts w:ascii="Garamond" w:hAnsi="Garamond" w:cs="Calibri"/>
                <w:color w:val="000000"/>
                <w:sz w:val="16"/>
                <w:szCs w:val="16"/>
              </w:rPr>
            </w:pPr>
            <w:r w:rsidRPr="00DD0A30">
              <w:rPr>
                <w:rFonts w:ascii="Garamond" w:hAnsi="Garamond" w:cs="Calibri"/>
                <w:color w:val="000000"/>
                <w:sz w:val="16"/>
                <w:szCs w:val="16"/>
              </w:rPr>
              <w:t>0.2624</w:t>
            </w:r>
          </w:p>
        </w:tc>
        <w:tc>
          <w:tcPr>
            <w:tcW w:w="993" w:type="dxa"/>
            <w:tcBorders>
              <w:bottom w:val="single" w:sz="4" w:space="0" w:color="auto"/>
            </w:tcBorders>
            <w:shd w:val="clear" w:color="auto" w:fill="auto"/>
            <w:noWrap/>
            <w:hideMark/>
          </w:tcPr>
          <w:p w:rsidR="00583BD3" w:rsidRPr="00DD0A30" w:rsidRDefault="00583BD3" w:rsidP="000727E8">
            <w:pPr>
              <w:rPr>
                <w:rFonts w:ascii="Garamond" w:hAnsi="Garamond" w:cs="Calibri"/>
                <w:color w:val="000000"/>
                <w:sz w:val="16"/>
                <w:szCs w:val="16"/>
              </w:rPr>
            </w:pPr>
            <w:r w:rsidRPr="00DD0A30">
              <w:rPr>
                <w:rFonts w:ascii="Garamond" w:hAnsi="Garamond" w:cs="Calibri"/>
                <w:color w:val="000000"/>
                <w:sz w:val="16"/>
                <w:szCs w:val="16"/>
              </w:rPr>
              <w:t>0.2624</w:t>
            </w:r>
          </w:p>
        </w:tc>
      </w:tr>
    </w:tbl>
    <w:p w:rsidR="00583BD3" w:rsidRDefault="00583BD3" w:rsidP="00583BD3">
      <w:pPr>
        <w:jc w:val="both"/>
        <w:rPr>
          <w:rFonts w:ascii="Garamond" w:hAnsi="Garamond"/>
          <w:b/>
          <w:color w:val="000000" w:themeColor="text1"/>
          <w:sz w:val="20"/>
        </w:rPr>
      </w:pPr>
    </w:p>
    <w:p w:rsidR="00583BD3" w:rsidRDefault="00583BD3" w:rsidP="00583BD3">
      <w:pPr>
        <w:jc w:val="both"/>
        <w:rPr>
          <w:rFonts w:ascii="Garamond" w:hAnsi="Garamond"/>
          <w:color w:val="000000" w:themeColor="text1"/>
          <w:sz w:val="20"/>
        </w:rPr>
      </w:pPr>
      <w:r w:rsidRPr="0027464C">
        <w:rPr>
          <w:rFonts w:ascii="Garamond" w:hAnsi="Garamond"/>
          <w:b/>
          <w:color w:val="000000" w:themeColor="text1"/>
          <w:sz w:val="20"/>
        </w:rPr>
        <w:t xml:space="preserve">Table </w:t>
      </w:r>
      <w:r>
        <w:rPr>
          <w:rFonts w:ascii="Garamond" w:hAnsi="Garamond"/>
          <w:b/>
          <w:color w:val="000000" w:themeColor="text1"/>
          <w:sz w:val="20"/>
        </w:rPr>
        <w:t>14</w:t>
      </w:r>
      <w:r w:rsidRPr="0027464C">
        <w:rPr>
          <w:rFonts w:ascii="Garamond" w:hAnsi="Garamond"/>
          <w:b/>
          <w:color w:val="000000" w:themeColor="text1"/>
          <w:sz w:val="20"/>
        </w:rPr>
        <w:t>:</w:t>
      </w:r>
      <w:r w:rsidRPr="0027464C">
        <w:rPr>
          <w:rFonts w:ascii="Garamond" w:hAnsi="Garamond"/>
          <w:color w:val="000000" w:themeColor="text1"/>
          <w:sz w:val="20"/>
        </w:rPr>
        <w:t xml:space="preserve"> </w:t>
      </w:r>
      <w:r>
        <w:rPr>
          <w:rFonts w:ascii="Garamond" w:hAnsi="Garamond"/>
          <w:b/>
          <w:color w:val="000000" w:themeColor="text1"/>
          <w:sz w:val="20"/>
        </w:rPr>
        <w:t>Market Leverage</w:t>
      </w:r>
      <w:r w:rsidRPr="00D0508D">
        <w:rPr>
          <w:rFonts w:ascii="Garamond" w:hAnsi="Garamond"/>
          <w:b/>
          <w:color w:val="000000" w:themeColor="text1"/>
          <w:sz w:val="20"/>
        </w:rPr>
        <w:t>.</w:t>
      </w:r>
      <w:r w:rsidRPr="0027464C">
        <w:rPr>
          <w:rFonts w:ascii="Garamond" w:hAnsi="Garamond"/>
          <w:color w:val="000000" w:themeColor="text1"/>
          <w:sz w:val="20"/>
        </w:rPr>
        <w:t xml:space="preserve">  </w:t>
      </w:r>
    </w:p>
    <w:p w:rsidR="00583BD3" w:rsidRDefault="00583BD3" w:rsidP="00583BD3">
      <w:pPr>
        <w:jc w:val="both"/>
      </w:pPr>
      <w:r>
        <w:rPr>
          <w:rFonts w:ascii="Garamond" w:hAnsi="Garamond"/>
          <w:color w:val="000000" w:themeColor="text1"/>
          <w:sz w:val="20"/>
        </w:rPr>
        <w:t>This table</w:t>
      </w:r>
      <w:r w:rsidRPr="0027464C">
        <w:rPr>
          <w:rFonts w:ascii="Garamond" w:hAnsi="Garamond"/>
          <w:color w:val="000000" w:themeColor="text1"/>
          <w:sz w:val="20"/>
        </w:rPr>
        <w:t xml:space="preserve"> presents the regression results for female </w:t>
      </w:r>
      <w:proofErr w:type="spellStart"/>
      <w:r w:rsidRPr="0027464C">
        <w:rPr>
          <w:rFonts w:ascii="Garamond" w:hAnsi="Garamond"/>
          <w:color w:val="000000" w:themeColor="text1"/>
          <w:sz w:val="20"/>
        </w:rPr>
        <w:t>CFO</w:t>
      </w:r>
      <w:r>
        <w:rPr>
          <w:rFonts w:ascii="Garamond" w:hAnsi="Garamond"/>
          <w:color w:val="000000" w:themeColor="text1"/>
          <w:sz w:val="20"/>
        </w:rPr>
        <w:t>s’</w:t>
      </w:r>
      <w:proofErr w:type="spellEnd"/>
      <w:r w:rsidRPr="0027464C">
        <w:rPr>
          <w:rFonts w:ascii="Garamond" w:hAnsi="Garamond"/>
          <w:color w:val="000000" w:themeColor="text1"/>
          <w:sz w:val="20"/>
        </w:rPr>
        <w:t xml:space="preserve"> influence on leverage </w:t>
      </w:r>
      <w:r>
        <w:rPr>
          <w:rFonts w:ascii="Garamond" w:hAnsi="Garamond"/>
          <w:color w:val="000000" w:themeColor="text1"/>
          <w:sz w:val="20"/>
        </w:rPr>
        <w:t>over the period 1999-</w:t>
      </w:r>
      <w:r w:rsidR="00501547">
        <w:rPr>
          <w:rFonts w:ascii="Garamond" w:hAnsi="Garamond"/>
          <w:color w:val="000000" w:themeColor="text1"/>
          <w:sz w:val="20"/>
        </w:rPr>
        <w:t>2017</w:t>
      </w:r>
      <w:r>
        <w:rPr>
          <w:rFonts w:ascii="Garamond" w:hAnsi="Garamond"/>
          <w:color w:val="000000" w:themeColor="text1"/>
          <w:sz w:val="20"/>
        </w:rPr>
        <w:t>. The dependent variable is market leverage defined as the sum of short-term and long-term debt over the sum of short-term and long-term debt and the market value of equity</w:t>
      </w:r>
      <w:r w:rsidRPr="0027464C">
        <w:rPr>
          <w:rFonts w:ascii="Garamond" w:hAnsi="Garamond"/>
          <w:color w:val="000000" w:themeColor="text1"/>
          <w:sz w:val="20"/>
        </w:rPr>
        <w:t xml:space="preserve">. </w:t>
      </w:r>
      <w:proofErr w:type="gramStart"/>
      <w:r w:rsidRPr="00D0508D">
        <w:rPr>
          <w:rFonts w:ascii="Garamond" w:hAnsi="Garamond"/>
          <w:i/>
          <w:color w:val="000000" w:themeColor="text1"/>
          <w:sz w:val="20"/>
        </w:rPr>
        <w:t>t</w:t>
      </w:r>
      <w:r w:rsidRPr="0027464C">
        <w:rPr>
          <w:rFonts w:ascii="Garamond" w:hAnsi="Garamond"/>
          <w:color w:val="000000" w:themeColor="text1"/>
          <w:sz w:val="20"/>
        </w:rPr>
        <w:t>-statistics</w:t>
      </w:r>
      <w:proofErr w:type="gramEnd"/>
      <w:r w:rsidRPr="0027464C">
        <w:rPr>
          <w:rFonts w:ascii="Garamond" w:hAnsi="Garamond"/>
          <w:color w:val="000000" w:themeColor="text1"/>
          <w:sz w:val="20"/>
        </w:rPr>
        <w:t xml:space="preserve"> are reported in parentheses and ***, ** and * indicate significance at the 1%, 5% and 10% level respectively. Standard errors are clustered at firm level.</w:t>
      </w:r>
    </w:p>
    <w:tbl>
      <w:tblPr>
        <w:tblW w:w="0" w:type="auto"/>
        <w:tblInd w:w="-885" w:type="dxa"/>
        <w:tblBorders>
          <w:top w:val="single" w:sz="4" w:space="0" w:color="auto"/>
          <w:bottom w:val="single" w:sz="4" w:space="0" w:color="auto"/>
        </w:tblBorders>
        <w:tblLook w:val="04A0"/>
      </w:tblPr>
      <w:tblGrid>
        <w:gridCol w:w="2357"/>
        <w:gridCol w:w="1250"/>
        <w:gridCol w:w="1248"/>
        <w:gridCol w:w="1249"/>
        <w:gridCol w:w="1249"/>
        <w:gridCol w:w="1249"/>
        <w:gridCol w:w="1309"/>
      </w:tblGrid>
      <w:tr w:rsidR="00583BD3" w:rsidRPr="009F5309" w:rsidTr="000727E8">
        <w:trPr>
          <w:trHeight w:hRule="exact" w:val="255"/>
        </w:trPr>
        <w:tc>
          <w:tcPr>
            <w:tcW w:w="2357" w:type="dxa"/>
            <w:tcBorders>
              <w:top w:val="single" w:sz="4" w:space="0" w:color="auto"/>
              <w:bottom w:val="single" w:sz="4" w:space="0" w:color="auto"/>
            </w:tcBorders>
            <w:shd w:val="clear" w:color="auto" w:fill="auto"/>
            <w:noWrap/>
            <w:hideMark/>
          </w:tcPr>
          <w:p w:rsidR="00583BD3" w:rsidRPr="009F5309" w:rsidRDefault="00583BD3" w:rsidP="000727E8">
            <w:pPr>
              <w:jc w:val="center"/>
              <w:rPr>
                <w:rFonts w:ascii="Garamond" w:hAnsi="Garamond"/>
                <w:color w:val="000000" w:themeColor="text1"/>
                <w:sz w:val="20"/>
                <w:szCs w:val="20"/>
              </w:rPr>
            </w:pPr>
          </w:p>
        </w:tc>
        <w:tc>
          <w:tcPr>
            <w:tcW w:w="1250" w:type="dxa"/>
            <w:tcBorders>
              <w:top w:val="single" w:sz="4" w:space="0" w:color="auto"/>
              <w:bottom w:val="single" w:sz="4" w:space="0" w:color="auto"/>
            </w:tcBorders>
            <w:shd w:val="clear" w:color="auto" w:fill="auto"/>
            <w:noWrap/>
            <w:hideMark/>
          </w:tcPr>
          <w:p w:rsidR="00583BD3" w:rsidRPr="009F5309" w:rsidRDefault="00583BD3" w:rsidP="000727E8">
            <w:pPr>
              <w:jc w:val="center"/>
              <w:rPr>
                <w:rFonts w:ascii="Garamond" w:hAnsi="Garamond" w:cs="Calibri"/>
                <w:color w:val="000000" w:themeColor="text1"/>
                <w:sz w:val="20"/>
                <w:szCs w:val="20"/>
              </w:rPr>
            </w:pPr>
            <w:r w:rsidRPr="00B454FC">
              <w:rPr>
                <w:rFonts w:ascii="Garamond" w:hAnsi="Garamond" w:cs="Calibri"/>
                <w:color w:val="000000" w:themeColor="text1"/>
                <w:sz w:val="20"/>
                <w:szCs w:val="20"/>
              </w:rPr>
              <w:t>(1)</w:t>
            </w:r>
          </w:p>
        </w:tc>
        <w:tc>
          <w:tcPr>
            <w:tcW w:w="1248" w:type="dxa"/>
            <w:tcBorders>
              <w:top w:val="single" w:sz="4" w:space="0" w:color="auto"/>
              <w:bottom w:val="single" w:sz="4" w:space="0" w:color="auto"/>
            </w:tcBorders>
            <w:shd w:val="clear" w:color="auto" w:fill="auto"/>
            <w:noWrap/>
            <w:hideMark/>
          </w:tcPr>
          <w:p w:rsidR="00583BD3" w:rsidRPr="009F5309" w:rsidRDefault="00583BD3" w:rsidP="000727E8">
            <w:pPr>
              <w:jc w:val="center"/>
              <w:rPr>
                <w:rFonts w:ascii="Garamond" w:hAnsi="Garamond" w:cs="Calibri"/>
                <w:color w:val="000000" w:themeColor="text1"/>
                <w:sz w:val="20"/>
                <w:szCs w:val="20"/>
              </w:rPr>
            </w:pPr>
            <w:r w:rsidRPr="00B454FC">
              <w:rPr>
                <w:rFonts w:ascii="Garamond" w:hAnsi="Garamond" w:cs="Calibri"/>
                <w:color w:val="000000" w:themeColor="text1"/>
                <w:sz w:val="20"/>
                <w:szCs w:val="20"/>
              </w:rPr>
              <w:t>(2)</w:t>
            </w:r>
          </w:p>
        </w:tc>
        <w:tc>
          <w:tcPr>
            <w:tcW w:w="1249" w:type="dxa"/>
            <w:tcBorders>
              <w:top w:val="single" w:sz="4" w:space="0" w:color="auto"/>
              <w:bottom w:val="single" w:sz="4" w:space="0" w:color="auto"/>
            </w:tcBorders>
            <w:shd w:val="clear" w:color="auto" w:fill="auto"/>
            <w:noWrap/>
            <w:hideMark/>
          </w:tcPr>
          <w:p w:rsidR="00583BD3" w:rsidRPr="009F5309" w:rsidRDefault="00583BD3" w:rsidP="000727E8">
            <w:pPr>
              <w:jc w:val="center"/>
              <w:rPr>
                <w:rFonts w:ascii="Garamond" w:hAnsi="Garamond" w:cs="Calibri"/>
                <w:color w:val="000000" w:themeColor="text1"/>
                <w:sz w:val="20"/>
                <w:szCs w:val="20"/>
              </w:rPr>
            </w:pPr>
            <w:r w:rsidRPr="00B454FC">
              <w:rPr>
                <w:rFonts w:ascii="Garamond" w:hAnsi="Garamond" w:cs="Calibri"/>
                <w:color w:val="000000" w:themeColor="text1"/>
                <w:sz w:val="20"/>
                <w:szCs w:val="20"/>
              </w:rPr>
              <w:t>(3)</w:t>
            </w:r>
          </w:p>
        </w:tc>
        <w:tc>
          <w:tcPr>
            <w:tcW w:w="1249" w:type="dxa"/>
            <w:tcBorders>
              <w:top w:val="single" w:sz="4" w:space="0" w:color="auto"/>
              <w:bottom w:val="single" w:sz="4" w:space="0" w:color="auto"/>
            </w:tcBorders>
            <w:shd w:val="clear" w:color="auto" w:fill="auto"/>
            <w:noWrap/>
            <w:hideMark/>
          </w:tcPr>
          <w:p w:rsidR="00583BD3" w:rsidRPr="009F5309" w:rsidRDefault="00583BD3" w:rsidP="000727E8">
            <w:pPr>
              <w:jc w:val="center"/>
              <w:rPr>
                <w:rFonts w:ascii="Garamond" w:hAnsi="Garamond" w:cs="Calibri"/>
                <w:color w:val="000000" w:themeColor="text1"/>
                <w:sz w:val="20"/>
                <w:szCs w:val="20"/>
              </w:rPr>
            </w:pPr>
            <w:r w:rsidRPr="00B454FC">
              <w:rPr>
                <w:rFonts w:ascii="Garamond" w:hAnsi="Garamond" w:cs="Calibri"/>
                <w:color w:val="000000" w:themeColor="text1"/>
                <w:sz w:val="20"/>
                <w:szCs w:val="20"/>
              </w:rPr>
              <w:t>(4)</w:t>
            </w:r>
          </w:p>
        </w:tc>
        <w:tc>
          <w:tcPr>
            <w:tcW w:w="1249" w:type="dxa"/>
            <w:tcBorders>
              <w:top w:val="single" w:sz="4" w:space="0" w:color="auto"/>
              <w:bottom w:val="single" w:sz="4" w:space="0" w:color="auto"/>
            </w:tcBorders>
            <w:shd w:val="clear" w:color="auto" w:fill="auto"/>
            <w:noWrap/>
            <w:hideMark/>
          </w:tcPr>
          <w:p w:rsidR="00583BD3" w:rsidRPr="009F5309" w:rsidRDefault="00583BD3" w:rsidP="000727E8">
            <w:pPr>
              <w:jc w:val="center"/>
              <w:rPr>
                <w:rFonts w:ascii="Garamond" w:hAnsi="Garamond" w:cs="Calibri"/>
                <w:color w:val="000000" w:themeColor="text1"/>
                <w:sz w:val="20"/>
                <w:szCs w:val="20"/>
              </w:rPr>
            </w:pPr>
            <w:r w:rsidRPr="00B454FC">
              <w:rPr>
                <w:rFonts w:ascii="Garamond" w:hAnsi="Garamond" w:cs="Calibri"/>
                <w:color w:val="000000" w:themeColor="text1"/>
                <w:sz w:val="20"/>
                <w:szCs w:val="20"/>
              </w:rPr>
              <w:t>(5)</w:t>
            </w:r>
          </w:p>
        </w:tc>
        <w:tc>
          <w:tcPr>
            <w:tcW w:w="1309" w:type="dxa"/>
            <w:tcBorders>
              <w:top w:val="single" w:sz="4" w:space="0" w:color="auto"/>
              <w:bottom w:val="single" w:sz="4" w:space="0" w:color="auto"/>
            </w:tcBorders>
            <w:shd w:val="clear" w:color="auto" w:fill="auto"/>
            <w:noWrap/>
            <w:hideMark/>
          </w:tcPr>
          <w:p w:rsidR="00583BD3" w:rsidRPr="009F5309" w:rsidRDefault="00583BD3" w:rsidP="000727E8">
            <w:pPr>
              <w:jc w:val="center"/>
              <w:rPr>
                <w:rFonts w:ascii="Garamond" w:hAnsi="Garamond" w:cs="Calibri"/>
                <w:color w:val="000000" w:themeColor="text1"/>
                <w:sz w:val="20"/>
                <w:szCs w:val="20"/>
              </w:rPr>
            </w:pPr>
            <w:r w:rsidRPr="00B454FC">
              <w:rPr>
                <w:rFonts w:ascii="Garamond" w:hAnsi="Garamond" w:cs="Calibri"/>
                <w:color w:val="000000" w:themeColor="text1"/>
                <w:sz w:val="20"/>
                <w:szCs w:val="20"/>
              </w:rPr>
              <w:t>(6)</w:t>
            </w:r>
          </w:p>
        </w:tc>
      </w:tr>
      <w:tr w:rsidR="00583BD3" w:rsidRPr="00B32919" w:rsidTr="000727E8">
        <w:trPr>
          <w:trHeight w:hRule="exact" w:val="255"/>
        </w:trPr>
        <w:tc>
          <w:tcPr>
            <w:tcW w:w="2357" w:type="dxa"/>
            <w:tcBorders>
              <w:top w:val="single" w:sz="4" w:space="0" w:color="auto"/>
            </w:tcBorders>
            <w:shd w:val="clear" w:color="auto" w:fill="auto"/>
            <w:noWrap/>
            <w:hideMark/>
          </w:tcPr>
          <w:p w:rsidR="00583BD3" w:rsidRPr="009E5260" w:rsidRDefault="00583BD3" w:rsidP="000727E8">
            <w:pPr>
              <w:jc w:val="center"/>
              <w:rPr>
                <w:rFonts w:ascii="Garamond" w:hAnsi="Garamond" w:cs="Calibri"/>
                <w:color w:val="FF0000"/>
                <w:sz w:val="20"/>
                <w:szCs w:val="20"/>
                <w:vertAlign w:val="subscript"/>
              </w:rPr>
            </w:pPr>
            <w:r w:rsidRPr="009E5260">
              <w:rPr>
                <w:rFonts w:ascii="Garamond" w:hAnsi="Garamond" w:cs="Calibri"/>
                <w:color w:val="000000"/>
                <w:sz w:val="20"/>
                <w:szCs w:val="20"/>
              </w:rPr>
              <w:t>CFO Female Dummy</w:t>
            </w:r>
            <w:r w:rsidRPr="009E5260">
              <w:rPr>
                <w:rFonts w:ascii="Garamond" w:hAnsi="Garamond" w:cs="Calibri"/>
                <w:color w:val="000000"/>
                <w:sz w:val="20"/>
                <w:szCs w:val="20"/>
                <w:vertAlign w:val="subscript"/>
              </w:rPr>
              <w:t>t-1</w:t>
            </w:r>
          </w:p>
        </w:tc>
        <w:tc>
          <w:tcPr>
            <w:tcW w:w="1250" w:type="dxa"/>
            <w:tcBorders>
              <w:top w:val="single" w:sz="4" w:space="0" w:color="auto"/>
            </w:tcBorders>
            <w:shd w:val="clear" w:color="auto" w:fill="auto"/>
            <w:noWrap/>
            <w:vAlign w:val="center"/>
            <w:hideMark/>
          </w:tcPr>
          <w:p w:rsidR="00583BD3" w:rsidRPr="00B32919" w:rsidRDefault="00583BD3" w:rsidP="000727E8">
            <w:pPr>
              <w:jc w:val="center"/>
              <w:rPr>
                <w:rFonts w:ascii="Garamond" w:hAnsi="Garamond"/>
                <w:color w:val="000000"/>
                <w:sz w:val="20"/>
                <w:szCs w:val="20"/>
              </w:rPr>
            </w:pPr>
            <w:r w:rsidRPr="00B32919">
              <w:rPr>
                <w:rFonts w:ascii="Garamond" w:hAnsi="Garamond" w:hint="eastAsia"/>
                <w:color w:val="000000"/>
                <w:sz w:val="20"/>
                <w:szCs w:val="20"/>
              </w:rPr>
              <w:t>-0.0322**</w:t>
            </w:r>
          </w:p>
        </w:tc>
        <w:tc>
          <w:tcPr>
            <w:tcW w:w="1248" w:type="dxa"/>
            <w:tcBorders>
              <w:top w:val="single" w:sz="4" w:space="0" w:color="auto"/>
            </w:tcBorders>
            <w:shd w:val="clear" w:color="auto" w:fill="auto"/>
            <w:noWrap/>
            <w:vAlign w:val="center"/>
            <w:hideMark/>
          </w:tcPr>
          <w:p w:rsidR="00583BD3" w:rsidRPr="00B32919" w:rsidRDefault="00583BD3" w:rsidP="000727E8">
            <w:pPr>
              <w:jc w:val="center"/>
              <w:rPr>
                <w:rFonts w:ascii="Garamond" w:hAnsi="Garamond"/>
                <w:color w:val="000000"/>
                <w:sz w:val="20"/>
                <w:szCs w:val="20"/>
              </w:rPr>
            </w:pPr>
            <w:r w:rsidRPr="00B32919">
              <w:rPr>
                <w:rFonts w:ascii="Garamond" w:hAnsi="Garamond" w:hint="eastAsia"/>
                <w:color w:val="000000"/>
                <w:sz w:val="20"/>
                <w:szCs w:val="20"/>
              </w:rPr>
              <w:t>-0.0320**</w:t>
            </w:r>
          </w:p>
        </w:tc>
        <w:tc>
          <w:tcPr>
            <w:tcW w:w="1249" w:type="dxa"/>
            <w:tcBorders>
              <w:top w:val="single" w:sz="4" w:space="0" w:color="auto"/>
            </w:tcBorders>
            <w:shd w:val="clear" w:color="auto" w:fill="auto"/>
            <w:noWrap/>
            <w:vAlign w:val="center"/>
            <w:hideMark/>
          </w:tcPr>
          <w:p w:rsidR="00583BD3" w:rsidRPr="00B32919" w:rsidRDefault="00583BD3" w:rsidP="000727E8">
            <w:pPr>
              <w:jc w:val="center"/>
              <w:rPr>
                <w:rFonts w:ascii="Garamond" w:hAnsi="Garamond"/>
                <w:color w:val="000000"/>
                <w:sz w:val="20"/>
                <w:szCs w:val="20"/>
              </w:rPr>
            </w:pPr>
            <w:r w:rsidRPr="00B32919">
              <w:rPr>
                <w:rFonts w:ascii="Garamond" w:hAnsi="Garamond" w:hint="eastAsia"/>
                <w:color w:val="000000"/>
                <w:sz w:val="20"/>
                <w:szCs w:val="20"/>
              </w:rPr>
              <w:t>-0.0326**</w:t>
            </w:r>
          </w:p>
        </w:tc>
        <w:tc>
          <w:tcPr>
            <w:tcW w:w="1249" w:type="dxa"/>
            <w:tcBorders>
              <w:top w:val="single" w:sz="4" w:space="0" w:color="auto"/>
            </w:tcBorders>
            <w:shd w:val="clear" w:color="auto" w:fill="auto"/>
            <w:noWrap/>
            <w:vAlign w:val="center"/>
            <w:hideMark/>
          </w:tcPr>
          <w:p w:rsidR="00583BD3" w:rsidRPr="00B32919" w:rsidRDefault="00583BD3" w:rsidP="000727E8">
            <w:pPr>
              <w:jc w:val="center"/>
              <w:rPr>
                <w:rFonts w:ascii="Garamond" w:hAnsi="Garamond"/>
                <w:color w:val="000000"/>
                <w:sz w:val="20"/>
                <w:szCs w:val="20"/>
              </w:rPr>
            </w:pPr>
            <w:r w:rsidRPr="00B32919">
              <w:rPr>
                <w:rFonts w:ascii="Garamond" w:hAnsi="Garamond" w:hint="eastAsia"/>
                <w:color w:val="000000"/>
                <w:sz w:val="20"/>
                <w:szCs w:val="20"/>
              </w:rPr>
              <w:t>-0.0323**</w:t>
            </w:r>
          </w:p>
        </w:tc>
        <w:tc>
          <w:tcPr>
            <w:tcW w:w="1249" w:type="dxa"/>
            <w:tcBorders>
              <w:top w:val="single" w:sz="4" w:space="0" w:color="auto"/>
            </w:tcBorders>
            <w:shd w:val="clear" w:color="auto" w:fill="auto"/>
            <w:noWrap/>
            <w:vAlign w:val="center"/>
            <w:hideMark/>
          </w:tcPr>
          <w:p w:rsidR="00583BD3" w:rsidRPr="00B32919" w:rsidRDefault="00583BD3" w:rsidP="000727E8">
            <w:pPr>
              <w:jc w:val="center"/>
              <w:rPr>
                <w:rFonts w:ascii="Garamond" w:hAnsi="Garamond"/>
                <w:color w:val="000000"/>
                <w:sz w:val="20"/>
                <w:szCs w:val="20"/>
              </w:rPr>
            </w:pPr>
            <w:r w:rsidRPr="00B32919">
              <w:rPr>
                <w:rFonts w:ascii="Garamond" w:hAnsi="Garamond" w:hint="eastAsia"/>
                <w:color w:val="000000"/>
                <w:sz w:val="20"/>
                <w:szCs w:val="20"/>
              </w:rPr>
              <w:t>-0.0324**</w:t>
            </w:r>
          </w:p>
        </w:tc>
        <w:tc>
          <w:tcPr>
            <w:tcW w:w="1309" w:type="dxa"/>
            <w:tcBorders>
              <w:top w:val="single" w:sz="4" w:space="0" w:color="auto"/>
            </w:tcBorders>
            <w:shd w:val="clear" w:color="auto" w:fill="auto"/>
            <w:noWrap/>
            <w:vAlign w:val="center"/>
            <w:hideMark/>
          </w:tcPr>
          <w:p w:rsidR="00583BD3" w:rsidRPr="00B32919" w:rsidRDefault="00583BD3" w:rsidP="000727E8">
            <w:pPr>
              <w:jc w:val="center"/>
              <w:rPr>
                <w:rFonts w:ascii="Garamond" w:hAnsi="Garamond"/>
                <w:color w:val="000000"/>
                <w:sz w:val="20"/>
                <w:szCs w:val="20"/>
              </w:rPr>
            </w:pPr>
            <w:r w:rsidRPr="00B32919">
              <w:rPr>
                <w:rFonts w:ascii="Garamond" w:hAnsi="Garamond" w:hint="eastAsia"/>
                <w:color w:val="000000"/>
                <w:sz w:val="20"/>
                <w:szCs w:val="20"/>
              </w:rPr>
              <w:t>-0.0348**</w:t>
            </w:r>
          </w:p>
        </w:tc>
      </w:tr>
      <w:tr w:rsidR="00583BD3" w:rsidRPr="00B32919" w:rsidTr="000727E8">
        <w:trPr>
          <w:trHeight w:hRule="exact" w:val="255"/>
        </w:trPr>
        <w:tc>
          <w:tcPr>
            <w:tcW w:w="2357" w:type="dxa"/>
            <w:shd w:val="clear" w:color="auto" w:fill="auto"/>
            <w:noWrap/>
            <w:hideMark/>
          </w:tcPr>
          <w:p w:rsidR="00583BD3" w:rsidRPr="009E5260" w:rsidRDefault="00583BD3" w:rsidP="000727E8">
            <w:pPr>
              <w:jc w:val="center"/>
              <w:rPr>
                <w:rFonts w:ascii="Garamond" w:hAnsi="Garamond" w:cs="Calibri"/>
                <w:color w:val="000000"/>
                <w:sz w:val="20"/>
                <w:szCs w:val="20"/>
              </w:rPr>
            </w:pPr>
          </w:p>
        </w:tc>
        <w:tc>
          <w:tcPr>
            <w:tcW w:w="1250" w:type="dxa"/>
            <w:shd w:val="clear" w:color="auto" w:fill="auto"/>
            <w:noWrap/>
            <w:vAlign w:val="center"/>
            <w:hideMark/>
          </w:tcPr>
          <w:p w:rsidR="00583BD3" w:rsidRPr="00B32919" w:rsidRDefault="00583BD3" w:rsidP="000727E8">
            <w:pPr>
              <w:jc w:val="center"/>
              <w:rPr>
                <w:rFonts w:ascii="Garamond" w:hAnsi="Garamond"/>
                <w:color w:val="000000"/>
                <w:sz w:val="20"/>
                <w:szCs w:val="20"/>
              </w:rPr>
            </w:pPr>
            <w:r w:rsidRPr="00B32919">
              <w:rPr>
                <w:rFonts w:ascii="Garamond" w:hAnsi="Garamond" w:hint="eastAsia"/>
                <w:color w:val="000000"/>
                <w:sz w:val="20"/>
                <w:szCs w:val="20"/>
              </w:rPr>
              <w:t>(-2.01)</w:t>
            </w:r>
          </w:p>
        </w:tc>
        <w:tc>
          <w:tcPr>
            <w:tcW w:w="1248" w:type="dxa"/>
            <w:shd w:val="clear" w:color="auto" w:fill="auto"/>
            <w:noWrap/>
            <w:vAlign w:val="center"/>
            <w:hideMark/>
          </w:tcPr>
          <w:p w:rsidR="00583BD3" w:rsidRPr="00B32919" w:rsidRDefault="00583BD3" w:rsidP="000727E8">
            <w:pPr>
              <w:jc w:val="center"/>
              <w:rPr>
                <w:rFonts w:ascii="Garamond" w:hAnsi="Garamond"/>
                <w:color w:val="000000"/>
                <w:sz w:val="20"/>
                <w:szCs w:val="20"/>
              </w:rPr>
            </w:pPr>
            <w:r w:rsidRPr="00B32919">
              <w:rPr>
                <w:rFonts w:ascii="Garamond" w:hAnsi="Garamond" w:hint="eastAsia"/>
                <w:color w:val="000000"/>
                <w:sz w:val="20"/>
                <w:szCs w:val="20"/>
              </w:rPr>
              <w:t>(-2.02)</w:t>
            </w:r>
          </w:p>
        </w:tc>
        <w:tc>
          <w:tcPr>
            <w:tcW w:w="1249" w:type="dxa"/>
            <w:shd w:val="clear" w:color="auto" w:fill="auto"/>
            <w:noWrap/>
            <w:vAlign w:val="center"/>
            <w:hideMark/>
          </w:tcPr>
          <w:p w:rsidR="00583BD3" w:rsidRPr="00B32919" w:rsidRDefault="00583BD3" w:rsidP="000727E8">
            <w:pPr>
              <w:jc w:val="center"/>
              <w:rPr>
                <w:rFonts w:ascii="Garamond" w:hAnsi="Garamond"/>
                <w:color w:val="000000"/>
                <w:sz w:val="20"/>
                <w:szCs w:val="20"/>
              </w:rPr>
            </w:pPr>
            <w:r w:rsidRPr="00B32919">
              <w:rPr>
                <w:rFonts w:ascii="Garamond" w:hAnsi="Garamond" w:hint="eastAsia"/>
                <w:color w:val="000000"/>
                <w:sz w:val="20"/>
                <w:szCs w:val="20"/>
              </w:rPr>
              <w:t>(-2.02)</w:t>
            </w:r>
          </w:p>
        </w:tc>
        <w:tc>
          <w:tcPr>
            <w:tcW w:w="1249" w:type="dxa"/>
            <w:shd w:val="clear" w:color="auto" w:fill="auto"/>
            <w:noWrap/>
            <w:vAlign w:val="center"/>
            <w:hideMark/>
          </w:tcPr>
          <w:p w:rsidR="00583BD3" w:rsidRPr="00B32919" w:rsidRDefault="00583BD3" w:rsidP="000727E8">
            <w:pPr>
              <w:jc w:val="center"/>
              <w:rPr>
                <w:rFonts w:ascii="Garamond" w:hAnsi="Garamond"/>
                <w:color w:val="000000"/>
                <w:sz w:val="20"/>
                <w:szCs w:val="20"/>
              </w:rPr>
            </w:pPr>
            <w:r w:rsidRPr="00B32919">
              <w:rPr>
                <w:rFonts w:ascii="Garamond" w:hAnsi="Garamond" w:hint="eastAsia"/>
                <w:color w:val="000000"/>
                <w:sz w:val="20"/>
                <w:szCs w:val="20"/>
              </w:rPr>
              <w:t>(-2.01)</w:t>
            </w:r>
          </w:p>
        </w:tc>
        <w:tc>
          <w:tcPr>
            <w:tcW w:w="1249" w:type="dxa"/>
            <w:shd w:val="clear" w:color="auto" w:fill="auto"/>
            <w:noWrap/>
            <w:vAlign w:val="center"/>
            <w:hideMark/>
          </w:tcPr>
          <w:p w:rsidR="00583BD3" w:rsidRPr="00B32919" w:rsidRDefault="00583BD3" w:rsidP="000727E8">
            <w:pPr>
              <w:jc w:val="center"/>
              <w:rPr>
                <w:rFonts w:ascii="Garamond" w:hAnsi="Garamond"/>
                <w:color w:val="000000"/>
                <w:sz w:val="20"/>
                <w:szCs w:val="20"/>
              </w:rPr>
            </w:pPr>
            <w:r w:rsidRPr="00B32919">
              <w:rPr>
                <w:rFonts w:ascii="Garamond" w:hAnsi="Garamond" w:hint="eastAsia"/>
                <w:color w:val="000000"/>
                <w:sz w:val="20"/>
                <w:szCs w:val="20"/>
              </w:rPr>
              <w:t>(-2.03)</w:t>
            </w:r>
          </w:p>
        </w:tc>
        <w:tc>
          <w:tcPr>
            <w:tcW w:w="1309" w:type="dxa"/>
            <w:shd w:val="clear" w:color="auto" w:fill="auto"/>
            <w:noWrap/>
            <w:vAlign w:val="center"/>
            <w:hideMark/>
          </w:tcPr>
          <w:p w:rsidR="00583BD3" w:rsidRPr="00B32919" w:rsidRDefault="00583BD3" w:rsidP="000727E8">
            <w:pPr>
              <w:jc w:val="center"/>
              <w:rPr>
                <w:rFonts w:ascii="Garamond" w:hAnsi="Garamond"/>
                <w:color w:val="000000"/>
                <w:sz w:val="20"/>
                <w:szCs w:val="20"/>
              </w:rPr>
            </w:pPr>
            <w:r w:rsidRPr="00B32919">
              <w:rPr>
                <w:rFonts w:ascii="Garamond" w:hAnsi="Garamond" w:hint="eastAsia"/>
                <w:color w:val="000000"/>
                <w:sz w:val="20"/>
                <w:szCs w:val="20"/>
              </w:rPr>
              <w:t>(-2.10)</w:t>
            </w:r>
          </w:p>
        </w:tc>
      </w:tr>
      <w:tr w:rsidR="00583BD3" w:rsidRPr="00B32919" w:rsidTr="000727E8">
        <w:trPr>
          <w:trHeight w:hRule="exact" w:val="255"/>
        </w:trPr>
        <w:tc>
          <w:tcPr>
            <w:tcW w:w="2357" w:type="dxa"/>
            <w:shd w:val="clear" w:color="auto" w:fill="auto"/>
            <w:noWrap/>
            <w:hideMark/>
          </w:tcPr>
          <w:p w:rsidR="00583BD3" w:rsidRPr="009E5260" w:rsidRDefault="00583BD3" w:rsidP="0072457D">
            <w:pPr>
              <w:jc w:val="center"/>
              <w:rPr>
                <w:rFonts w:ascii="Garamond" w:hAnsi="Garamond" w:cs="Calibri"/>
                <w:color w:val="000000" w:themeColor="text1"/>
                <w:sz w:val="20"/>
                <w:szCs w:val="20"/>
              </w:rPr>
            </w:pPr>
            <w:r w:rsidRPr="009E5260">
              <w:rPr>
                <w:rFonts w:ascii="Garamond" w:hAnsi="Garamond" w:cs="Calibri"/>
                <w:color w:val="000000" w:themeColor="text1"/>
                <w:sz w:val="20"/>
                <w:szCs w:val="20"/>
              </w:rPr>
              <w:t>Board Gender Diversity</w:t>
            </w:r>
            <w:r w:rsidRPr="009E5260">
              <w:rPr>
                <w:rFonts w:ascii="Garamond" w:hAnsi="Garamond" w:cs="Calibri"/>
                <w:color w:val="000000"/>
                <w:sz w:val="20"/>
                <w:szCs w:val="20"/>
                <w:vertAlign w:val="subscript"/>
              </w:rPr>
              <w:t>t-1</w:t>
            </w:r>
          </w:p>
        </w:tc>
        <w:tc>
          <w:tcPr>
            <w:tcW w:w="1250" w:type="dxa"/>
            <w:shd w:val="clear" w:color="auto" w:fill="auto"/>
            <w:noWrap/>
            <w:vAlign w:val="center"/>
            <w:hideMark/>
          </w:tcPr>
          <w:p w:rsidR="00583BD3" w:rsidRPr="00B32919" w:rsidRDefault="00583BD3" w:rsidP="000727E8">
            <w:pPr>
              <w:jc w:val="center"/>
              <w:rPr>
                <w:rFonts w:ascii="Garamond" w:hAnsi="Garamond"/>
                <w:color w:val="000000"/>
                <w:sz w:val="20"/>
                <w:szCs w:val="20"/>
              </w:rPr>
            </w:pPr>
          </w:p>
        </w:tc>
        <w:tc>
          <w:tcPr>
            <w:tcW w:w="1248" w:type="dxa"/>
            <w:shd w:val="clear" w:color="auto" w:fill="auto"/>
            <w:noWrap/>
            <w:vAlign w:val="center"/>
            <w:hideMark/>
          </w:tcPr>
          <w:p w:rsidR="00583BD3" w:rsidRPr="00B32919" w:rsidRDefault="00583BD3" w:rsidP="000727E8">
            <w:pPr>
              <w:jc w:val="center"/>
              <w:rPr>
                <w:rFonts w:ascii="Garamond" w:hAnsi="Garamond"/>
                <w:color w:val="000000"/>
                <w:sz w:val="20"/>
                <w:szCs w:val="20"/>
              </w:rPr>
            </w:pPr>
            <w:r w:rsidRPr="00B32919">
              <w:rPr>
                <w:rFonts w:ascii="Garamond" w:hAnsi="Garamond" w:hint="eastAsia"/>
                <w:color w:val="000000"/>
                <w:sz w:val="20"/>
                <w:szCs w:val="20"/>
              </w:rPr>
              <w:t>0.0265</w:t>
            </w:r>
          </w:p>
        </w:tc>
        <w:tc>
          <w:tcPr>
            <w:tcW w:w="1249" w:type="dxa"/>
            <w:shd w:val="clear" w:color="auto" w:fill="auto"/>
            <w:noWrap/>
            <w:vAlign w:val="center"/>
            <w:hideMark/>
          </w:tcPr>
          <w:p w:rsidR="00583BD3" w:rsidRPr="00B32919" w:rsidRDefault="00583BD3" w:rsidP="000727E8">
            <w:pPr>
              <w:jc w:val="center"/>
              <w:rPr>
                <w:rFonts w:ascii="Garamond" w:hAnsi="Garamond"/>
                <w:color w:val="000000"/>
                <w:sz w:val="20"/>
                <w:szCs w:val="20"/>
              </w:rPr>
            </w:pPr>
          </w:p>
        </w:tc>
        <w:tc>
          <w:tcPr>
            <w:tcW w:w="1249" w:type="dxa"/>
            <w:shd w:val="clear" w:color="auto" w:fill="auto"/>
            <w:noWrap/>
            <w:vAlign w:val="center"/>
            <w:hideMark/>
          </w:tcPr>
          <w:p w:rsidR="00583BD3" w:rsidRPr="00B32919" w:rsidRDefault="00583BD3" w:rsidP="000727E8">
            <w:pPr>
              <w:jc w:val="center"/>
              <w:rPr>
                <w:rFonts w:ascii="Garamond" w:hAnsi="Garamond"/>
                <w:color w:val="000000"/>
                <w:sz w:val="20"/>
                <w:szCs w:val="20"/>
              </w:rPr>
            </w:pPr>
          </w:p>
        </w:tc>
        <w:tc>
          <w:tcPr>
            <w:tcW w:w="1249" w:type="dxa"/>
            <w:shd w:val="clear" w:color="auto" w:fill="auto"/>
            <w:noWrap/>
            <w:vAlign w:val="center"/>
            <w:hideMark/>
          </w:tcPr>
          <w:p w:rsidR="00583BD3" w:rsidRPr="00B32919" w:rsidRDefault="00583BD3" w:rsidP="000727E8">
            <w:pPr>
              <w:jc w:val="center"/>
              <w:rPr>
                <w:rFonts w:ascii="Garamond" w:hAnsi="Garamond"/>
                <w:color w:val="000000"/>
                <w:sz w:val="20"/>
                <w:szCs w:val="20"/>
              </w:rPr>
            </w:pPr>
            <w:r w:rsidRPr="00B32919">
              <w:rPr>
                <w:rFonts w:ascii="Garamond" w:hAnsi="Garamond" w:hint="eastAsia"/>
                <w:color w:val="000000"/>
                <w:sz w:val="20"/>
                <w:szCs w:val="20"/>
              </w:rPr>
              <w:t>0.0217</w:t>
            </w:r>
          </w:p>
        </w:tc>
        <w:tc>
          <w:tcPr>
            <w:tcW w:w="1309" w:type="dxa"/>
            <w:shd w:val="clear" w:color="auto" w:fill="auto"/>
            <w:noWrap/>
            <w:vAlign w:val="center"/>
            <w:hideMark/>
          </w:tcPr>
          <w:p w:rsidR="00583BD3" w:rsidRPr="00B32919" w:rsidRDefault="00583BD3" w:rsidP="000727E8">
            <w:pPr>
              <w:jc w:val="center"/>
              <w:rPr>
                <w:rFonts w:ascii="Garamond" w:hAnsi="Garamond"/>
                <w:color w:val="000000"/>
                <w:sz w:val="20"/>
                <w:szCs w:val="20"/>
              </w:rPr>
            </w:pPr>
          </w:p>
        </w:tc>
      </w:tr>
      <w:tr w:rsidR="00583BD3" w:rsidRPr="00B32919" w:rsidTr="000727E8">
        <w:trPr>
          <w:trHeight w:hRule="exact" w:val="255"/>
        </w:trPr>
        <w:tc>
          <w:tcPr>
            <w:tcW w:w="2357" w:type="dxa"/>
            <w:shd w:val="clear" w:color="auto" w:fill="auto"/>
            <w:noWrap/>
            <w:hideMark/>
          </w:tcPr>
          <w:p w:rsidR="00583BD3" w:rsidRPr="009E5260" w:rsidRDefault="00583BD3" w:rsidP="000727E8">
            <w:pPr>
              <w:jc w:val="center"/>
              <w:rPr>
                <w:rFonts w:ascii="Garamond" w:hAnsi="Garamond" w:cs="Calibri"/>
                <w:color w:val="000000" w:themeColor="text1"/>
                <w:sz w:val="20"/>
                <w:szCs w:val="20"/>
              </w:rPr>
            </w:pPr>
          </w:p>
        </w:tc>
        <w:tc>
          <w:tcPr>
            <w:tcW w:w="1250" w:type="dxa"/>
            <w:shd w:val="clear" w:color="auto" w:fill="auto"/>
            <w:noWrap/>
            <w:vAlign w:val="center"/>
            <w:hideMark/>
          </w:tcPr>
          <w:p w:rsidR="00583BD3" w:rsidRPr="00B32919" w:rsidRDefault="00583BD3" w:rsidP="000727E8">
            <w:pPr>
              <w:jc w:val="center"/>
              <w:rPr>
                <w:rFonts w:ascii="Garamond" w:hAnsi="Garamond"/>
                <w:color w:val="000000"/>
                <w:sz w:val="20"/>
                <w:szCs w:val="20"/>
              </w:rPr>
            </w:pPr>
          </w:p>
        </w:tc>
        <w:tc>
          <w:tcPr>
            <w:tcW w:w="1248" w:type="dxa"/>
            <w:shd w:val="clear" w:color="auto" w:fill="auto"/>
            <w:noWrap/>
            <w:vAlign w:val="center"/>
            <w:hideMark/>
          </w:tcPr>
          <w:p w:rsidR="00583BD3" w:rsidRPr="00B32919" w:rsidRDefault="00583BD3" w:rsidP="000727E8">
            <w:pPr>
              <w:jc w:val="center"/>
              <w:rPr>
                <w:rFonts w:ascii="Garamond" w:hAnsi="Garamond"/>
                <w:color w:val="000000"/>
                <w:sz w:val="20"/>
                <w:szCs w:val="20"/>
              </w:rPr>
            </w:pPr>
            <w:r w:rsidRPr="00B32919">
              <w:rPr>
                <w:rFonts w:ascii="Garamond" w:hAnsi="Garamond" w:hint="eastAsia"/>
                <w:color w:val="000000"/>
                <w:sz w:val="20"/>
                <w:szCs w:val="20"/>
              </w:rPr>
              <w:t>(0.59)</w:t>
            </w:r>
          </w:p>
        </w:tc>
        <w:tc>
          <w:tcPr>
            <w:tcW w:w="1249" w:type="dxa"/>
            <w:shd w:val="clear" w:color="auto" w:fill="auto"/>
            <w:noWrap/>
            <w:vAlign w:val="center"/>
            <w:hideMark/>
          </w:tcPr>
          <w:p w:rsidR="00583BD3" w:rsidRPr="00B32919" w:rsidRDefault="00583BD3" w:rsidP="000727E8">
            <w:pPr>
              <w:jc w:val="center"/>
              <w:rPr>
                <w:rFonts w:ascii="Garamond" w:hAnsi="Garamond"/>
                <w:color w:val="000000"/>
                <w:sz w:val="20"/>
                <w:szCs w:val="20"/>
              </w:rPr>
            </w:pPr>
          </w:p>
        </w:tc>
        <w:tc>
          <w:tcPr>
            <w:tcW w:w="1249" w:type="dxa"/>
            <w:shd w:val="clear" w:color="auto" w:fill="auto"/>
            <w:noWrap/>
            <w:vAlign w:val="center"/>
            <w:hideMark/>
          </w:tcPr>
          <w:p w:rsidR="00583BD3" w:rsidRPr="00B32919" w:rsidRDefault="00583BD3" w:rsidP="000727E8">
            <w:pPr>
              <w:jc w:val="center"/>
              <w:rPr>
                <w:rFonts w:ascii="Garamond" w:hAnsi="Garamond"/>
                <w:color w:val="000000"/>
                <w:sz w:val="20"/>
                <w:szCs w:val="20"/>
              </w:rPr>
            </w:pPr>
          </w:p>
        </w:tc>
        <w:tc>
          <w:tcPr>
            <w:tcW w:w="1249" w:type="dxa"/>
            <w:shd w:val="clear" w:color="auto" w:fill="auto"/>
            <w:noWrap/>
            <w:vAlign w:val="center"/>
            <w:hideMark/>
          </w:tcPr>
          <w:p w:rsidR="00583BD3" w:rsidRPr="00B32919" w:rsidRDefault="00583BD3" w:rsidP="000727E8">
            <w:pPr>
              <w:jc w:val="center"/>
              <w:rPr>
                <w:rFonts w:ascii="Garamond" w:hAnsi="Garamond"/>
                <w:color w:val="000000"/>
                <w:sz w:val="20"/>
                <w:szCs w:val="20"/>
              </w:rPr>
            </w:pPr>
            <w:r w:rsidRPr="00B32919">
              <w:rPr>
                <w:rFonts w:ascii="Garamond" w:hAnsi="Garamond" w:hint="eastAsia"/>
                <w:color w:val="000000"/>
                <w:sz w:val="20"/>
                <w:szCs w:val="20"/>
              </w:rPr>
              <w:t>(0.48)</w:t>
            </w:r>
          </w:p>
        </w:tc>
        <w:tc>
          <w:tcPr>
            <w:tcW w:w="1309" w:type="dxa"/>
            <w:shd w:val="clear" w:color="auto" w:fill="auto"/>
            <w:noWrap/>
            <w:vAlign w:val="center"/>
            <w:hideMark/>
          </w:tcPr>
          <w:p w:rsidR="00583BD3" w:rsidRPr="00B32919" w:rsidRDefault="00583BD3" w:rsidP="000727E8">
            <w:pPr>
              <w:jc w:val="center"/>
              <w:rPr>
                <w:rFonts w:ascii="Garamond" w:hAnsi="Garamond"/>
                <w:color w:val="000000"/>
                <w:sz w:val="20"/>
                <w:szCs w:val="20"/>
              </w:rPr>
            </w:pPr>
          </w:p>
        </w:tc>
      </w:tr>
      <w:tr w:rsidR="00583BD3" w:rsidRPr="00B32919" w:rsidTr="000727E8">
        <w:trPr>
          <w:trHeight w:hRule="exact" w:val="255"/>
        </w:trPr>
        <w:tc>
          <w:tcPr>
            <w:tcW w:w="2357" w:type="dxa"/>
            <w:shd w:val="clear" w:color="auto" w:fill="auto"/>
            <w:noWrap/>
            <w:hideMark/>
          </w:tcPr>
          <w:p w:rsidR="00583BD3" w:rsidRPr="009E5260" w:rsidRDefault="00583BD3" w:rsidP="000727E8">
            <w:pPr>
              <w:jc w:val="center"/>
              <w:rPr>
                <w:rFonts w:ascii="Garamond" w:hAnsi="Garamond" w:cs="Calibri"/>
                <w:color w:val="000000" w:themeColor="text1"/>
                <w:sz w:val="20"/>
                <w:szCs w:val="20"/>
              </w:rPr>
            </w:pPr>
            <w:r w:rsidRPr="009E5260">
              <w:rPr>
                <w:rFonts w:ascii="Garamond" w:hAnsi="Garamond" w:cs="Calibri"/>
                <w:color w:val="000000" w:themeColor="text1"/>
                <w:sz w:val="20"/>
                <w:szCs w:val="20"/>
              </w:rPr>
              <w:t>Board Nationality</w:t>
            </w:r>
            <w:r w:rsidRPr="009E5260">
              <w:rPr>
                <w:rFonts w:ascii="Garamond" w:hAnsi="Garamond" w:cs="Calibri"/>
                <w:color w:val="000000"/>
                <w:sz w:val="20"/>
                <w:szCs w:val="20"/>
                <w:vertAlign w:val="subscript"/>
              </w:rPr>
              <w:t>t-1</w:t>
            </w:r>
            <w:r w:rsidRPr="009E5260">
              <w:rPr>
                <w:rFonts w:ascii="Garamond" w:hAnsi="Garamond" w:cs="Calibri"/>
                <w:color w:val="000000" w:themeColor="text1"/>
                <w:sz w:val="20"/>
                <w:szCs w:val="20"/>
              </w:rPr>
              <w:t xml:space="preserve"> Diversity</w:t>
            </w:r>
            <w:r w:rsidRPr="009E5260">
              <w:rPr>
                <w:rFonts w:ascii="Garamond" w:hAnsi="Garamond" w:cs="Calibri"/>
                <w:color w:val="000000"/>
                <w:sz w:val="20"/>
                <w:szCs w:val="20"/>
                <w:vertAlign w:val="subscript"/>
              </w:rPr>
              <w:t>t-1</w:t>
            </w:r>
          </w:p>
        </w:tc>
        <w:tc>
          <w:tcPr>
            <w:tcW w:w="1250" w:type="dxa"/>
            <w:shd w:val="clear" w:color="auto" w:fill="auto"/>
            <w:noWrap/>
            <w:vAlign w:val="center"/>
            <w:hideMark/>
          </w:tcPr>
          <w:p w:rsidR="00583BD3" w:rsidRPr="00B32919" w:rsidRDefault="00583BD3" w:rsidP="000727E8">
            <w:pPr>
              <w:jc w:val="center"/>
              <w:rPr>
                <w:rFonts w:ascii="Garamond" w:hAnsi="Garamond"/>
                <w:color w:val="000000"/>
                <w:sz w:val="20"/>
                <w:szCs w:val="20"/>
              </w:rPr>
            </w:pPr>
          </w:p>
        </w:tc>
        <w:tc>
          <w:tcPr>
            <w:tcW w:w="1248" w:type="dxa"/>
            <w:shd w:val="clear" w:color="auto" w:fill="auto"/>
            <w:noWrap/>
            <w:vAlign w:val="center"/>
            <w:hideMark/>
          </w:tcPr>
          <w:p w:rsidR="00583BD3" w:rsidRPr="00B32919" w:rsidRDefault="00583BD3" w:rsidP="000727E8">
            <w:pPr>
              <w:jc w:val="center"/>
              <w:rPr>
                <w:rFonts w:ascii="Garamond" w:hAnsi="Garamond"/>
                <w:color w:val="000000"/>
                <w:sz w:val="20"/>
                <w:szCs w:val="20"/>
              </w:rPr>
            </w:pPr>
          </w:p>
        </w:tc>
        <w:tc>
          <w:tcPr>
            <w:tcW w:w="1249" w:type="dxa"/>
            <w:shd w:val="clear" w:color="auto" w:fill="auto"/>
            <w:noWrap/>
            <w:vAlign w:val="center"/>
            <w:hideMark/>
          </w:tcPr>
          <w:p w:rsidR="00583BD3" w:rsidRPr="00B32919" w:rsidRDefault="00583BD3" w:rsidP="000727E8">
            <w:pPr>
              <w:jc w:val="center"/>
              <w:rPr>
                <w:rFonts w:ascii="Garamond" w:hAnsi="Garamond"/>
                <w:color w:val="000000"/>
                <w:sz w:val="20"/>
                <w:szCs w:val="20"/>
              </w:rPr>
            </w:pPr>
            <w:r w:rsidRPr="00B32919">
              <w:rPr>
                <w:rFonts w:ascii="Garamond" w:hAnsi="Garamond" w:hint="eastAsia"/>
                <w:color w:val="000000"/>
                <w:sz w:val="20"/>
                <w:szCs w:val="20"/>
              </w:rPr>
              <w:t>0.0433</w:t>
            </w:r>
          </w:p>
        </w:tc>
        <w:tc>
          <w:tcPr>
            <w:tcW w:w="1249" w:type="dxa"/>
            <w:shd w:val="clear" w:color="auto" w:fill="auto"/>
            <w:noWrap/>
            <w:vAlign w:val="center"/>
            <w:hideMark/>
          </w:tcPr>
          <w:p w:rsidR="00583BD3" w:rsidRPr="00B32919" w:rsidRDefault="00583BD3" w:rsidP="000727E8">
            <w:pPr>
              <w:jc w:val="center"/>
              <w:rPr>
                <w:rFonts w:ascii="Garamond" w:hAnsi="Garamond"/>
                <w:color w:val="000000"/>
                <w:sz w:val="20"/>
                <w:szCs w:val="20"/>
              </w:rPr>
            </w:pPr>
          </w:p>
        </w:tc>
        <w:tc>
          <w:tcPr>
            <w:tcW w:w="1249" w:type="dxa"/>
            <w:shd w:val="clear" w:color="auto" w:fill="auto"/>
            <w:noWrap/>
            <w:vAlign w:val="center"/>
            <w:hideMark/>
          </w:tcPr>
          <w:p w:rsidR="00583BD3" w:rsidRPr="00B32919" w:rsidRDefault="00583BD3" w:rsidP="000727E8">
            <w:pPr>
              <w:jc w:val="center"/>
              <w:rPr>
                <w:rFonts w:ascii="Garamond" w:hAnsi="Garamond"/>
                <w:color w:val="000000"/>
                <w:sz w:val="20"/>
                <w:szCs w:val="20"/>
              </w:rPr>
            </w:pPr>
            <w:r w:rsidRPr="00B32919">
              <w:rPr>
                <w:rFonts w:ascii="Garamond" w:hAnsi="Garamond" w:hint="eastAsia"/>
                <w:color w:val="000000"/>
                <w:sz w:val="20"/>
                <w:szCs w:val="20"/>
              </w:rPr>
              <w:t>0.0421</w:t>
            </w:r>
          </w:p>
        </w:tc>
        <w:tc>
          <w:tcPr>
            <w:tcW w:w="1309" w:type="dxa"/>
            <w:shd w:val="clear" w:color="auto" w:fill="auto"/>
            <w:noWrap/>
            <w:vAlign w:val="center"/>
            <w:hideMark/>
          </w:tcPr>
          <w:p w:rsidR="00583BD3" w:rsidRPr="00B32919" w:rsidRDefault="00583BD3" w:rsidP="000727E8">
            <w:pPr>
              <w:jc w:val="center"/>
              <w:rPr>
                <w:rFonts w:ascii="Garamond" w:hAnsi="Garamond"/>
                <w:color w:val="000000"/>
                <w:sz w:val="20"/>
                <w:szCs w:val="20"/>
              </w:rPr>
            </w:pPr>
          </w:p>
        </w:tc>
      </w:tr>
      <w:tr w:rsidR="00583BD3" w:rsidRPr="00B32919" w:rsidTr="000727E8">
        <w:trPr>
          <w:trHeight w:hRule="exact" w:val="255"/>
        </w:trPr>
        <w:tc>
          <w:tcPr>
            <w:tcW w:w="2357" w:type="dxa"/>
            <w:shd w:val="clear" w:color="auto" w:fill="auto"/>
            <w:noWrap/>
            <w:hideMark/>
          </w:tcPr>
          <w:p w:rsidR="00583BD3" w:rsidRPr="009E5260" w:rsidRDefault="00583BD3" w:rsidP="000727E8">
            <w:pPr>
              <w:jc w:val="center"/>
              <w:rPr>
                <w:rFonts w:ascii="Garamond" w:hAnsi="Garamond" w:cs="Calibri"/>
                <w:color w:val="000000" w:themeColor="text1"/>
                <w:sz w:val="20"/>
                <w:szCs w:val="20"/>
              </w:rPr>
            </w:pPr>
          </w:p>
        </w:tc>
        <w:tc>
          <w:tcPr>
            <w:tcW w:w="1250" w:type="dxa"/>
            <w:shd w:val="clear" w:color="auto" w:fill="auto"/>
            <w:noWrap/>
            <w:vAlign w:val="center"/>
            <w:hideMark/>
          </w:tcPr>
          <w:p w:rsidR="00583BD3" w:rsidRPr="00B32919" w:rsidRDefault="00583BD3" w:rsidP="000727E8">
            <w:pPr>
              <w:jc w:val="center"/>
              <w:rPr>
                <w:rFonts w:ascii="Garamond" w:hAnsi="Garamond"/>
                <w:color w:val="000000"/>
                <w:sz w:val="20"/>
                <w:szCs w:val="20"/>
              </w:rPr>
            </w:pPr>
          </w:p>
        </w:tc>
        <w:tc>
          <w:tcPr>
            <w:tcW w:w="1248" w:type="dxa"/>
            <w:shd w:val="clear" w:color="auto" w:fill="auto"/>
            <w:noWrap/>
            <w:vAlign w:val="center"/>
            <w:hideMark/>
          </w:tcPr>
          <w:p w:rsidR="00583BD3" w:rsidRPr="00B32919" w:rsidRDefault="00583BD3" w:rsidP="000727E8">
            <w:pPr>
              <w:jc w:val="center"/>
              <w:rPr>
                <w:rFonts w:ascii="Garamond" w:hAnsi="Garamond"/>
                <w:color w:val="000000"/>
                <w:sz w:val="20"/>
                <w:szCs w:val="20"/>
              </w:rPr>
            </w:pPr>
          </w:p>
        </w:tc>
        <w:tc>
          <w:tcPr>
            <w:tcW w:w="1249" w:type="dxa"/>
            <w:shd w:val="clear" w:color="auto" w:fill="auto"/>
            <w:noWrap/>
            <w:vAlign w:val="center"/>
            <w:hideMark/>
          </w:tcPr>
          <w:p w:rsidR="00583BD3" w:rsidRPr="00B32919" w:rsidRDefault="00583BD3" w:rsidP="000727E8">
            <w:pPr>
              <w:jc w:val="center"/>
              <w:rPr>
                <w:rFonts w:ascii="Garamond" w:hAnsi="Garamond"/>
                <w:color w:val="000000"/>
                <w:sz w:val="20"/>
                <w:szCs w:val="20"/>
              </w:rPr>
            </w:pPr>
            <w:r w:rsidRPr="00B32919">
              <w:rPr>
                <w:rFonts w:ascii="Garamond" w:hAnsi="Garamond" w:hint="eastAsia"/>
                <w:color w:val="000000"/>
                <w:sz w:val="20"/>
                <w:szCs w:val="20"/>
              </w:rPr>
              <w:t>(1.33)</w:t>
            </w:r>
          </w:p>
        </w:tc>
        <w:tc>
          <w:tcPr>
            <w:tcW w:w="1249" w:type="dxa"/>
            <w:shd w:val="clear" w:color="auto" w:fill="auto"/>
            <w:noWrap/>
            <w:vAlign w:val="center"/>
            <w:hideMark/>
          </w:tcPr>
          <w:p w:rsidR="00583BD3" w:rsidRPr="00B32919" w:rsidRDefault="00583BD3" w:rsidP="000727E8">
            <w:pPr>
              <w:jc w:val="center"/>
              <w:rPr>
                <w:rFonts w:ascii="Garamond" w:hAnsi="Garamond"/>
                <w:color w:val="000000"/>
                <w:sz w:val="20"/>
                <w:szCs w:val="20"/>
              </w:rPr>
            </w:pPr>
          </w:p>
        </w:tc>
        <w:tc>
          <w:tcPr>
            <w:tcW w:w="1249" w:type="dxa"/>
            <w:shd w:val="clear" w:color="auto" w:fill="auto"/>
            <w:noWrap/>
            <w:vAlign w:val="center"/>
            <w:hideMark/>
          </w:tcPr>
          <w:p w:rsidR="00583BD3" w:rsidRPr="00B32919" w:rsidRDefault="00583BD3" w:rsidP="000727E8">
            <w:pPr>
              <w:jc w:val="center"/>
              <w:rPr>
                <w:rFonts w:ascii="Garamond" w:hAnsi="Garamond"/>
                <w:color w:val="000000"/>
                <w:sz w:val="20"/>
                <w:szCs w:val="20"/>
              </w:rPr>
            </w:pPr>
            <w:r w:rsidRPr="00B32919">
              <w:rPr>
                <w:rFonts w:ascii="Garamond" w:hAnsi="Garamond" w:hint="eastAsia"/>
                <w:color w:val="000000"/>
                <w:sz w:val="20"/>
                <w:szCs w:val="20"/>
              </w:rPr>
              <w:t>(1.29)</w:t>
            </w:r>
          </w:p>
        </w:tc>
        <w:tc>
          <w:tcPr>
            <w:tcW w:w="1309" w:type="dxa"/>
            <w:shd w:val="clear" w:color="auto" w:fill="auto"/>
            <w:noWrap/>
            <w:vAlign w:val="center"/>
            <w:hideMark/>
          </w:tcPr>
          <w:p w:rsidR="00583BD3" w:rsidRPr="00B32919" w:rsidRDefault="00583BD3" w:rsidP="000727E8">
            <w:pPr>
              <w:jc w:val="center"/>
              <w:rPr>
                <w:rFonts w:ascii="Garamond" w:hAnsi="Garamond"/>
                <w:color w:val="000000"/>
                <w:sz w:val="20"/>
                <w:szCs w:val="20"/>
              </w:rPr>
            </w:pPr>
          </w:p>
        </w:tc>
      </w:tr>
      <w:tr w:rsidR="00583BD3" w:rsidRPr="00B32919" w:rsidTr="000727E8">
        <w:trPr>
          <w:trHeight w:hRule="exact" w:val="255"/>
        </w:trPr>
        <w:tc>
          <w:tcPr>
            <w:tcW w:w="2357" w:type="dxa"/>
            <w:shd w:val="clear" w:color="auto" w:fill="auto"/>
            <w:noWrap/>
            <w:hideMark/>
          </w:tcPr>
          <w:p w:rsidR="00583BD3" w:rsidRPr="009E5260" w:rsidRDefault="00583BD3" w:rsidP="000727E8">
            <w:pPr>
              <w:jc w:val="center"/>
              <w:rPr>
                <w:rFonts w:ascii="Garamond" w:hAnsi="Garamond" w:cs="Calibri"/>
                <w:color w:val="000000" w:themeColor="text1"/>
                <w:sz w:val="20"/>
                <w:szCs w:val="20"/>
              </w:rPr>
            </w:pPr>
            <w:r w:rsidRPr="009E5260">
              <w:rPr>
                <w:rFonts w:ascii="Garamond" w:hAnsi="Garamond" w:cs="Calibri"/>
                <w:color w:val="000000" w:themeColor="text1"/>
                <w:sz w:val="20"/>
                <w:szCs w:val="20"/>
              </w:rPr>
              <w:t>Board Age Diversity</w:t>
            </w:r>
            <w:r w:rsidRPr="009E5260">
              <w:rPr>
                <w:rFonts w:ascii="Garamond" w:hAnsi="Garamond" w:cs="Calibri"/>
                <w:color w:val="000000"/>
                <w:sz w:val="20"/>
                <w:szCs w:val="20"/>
                <w:vertAlign w:val="subscript"/>
              </w:rPr>
              <w:t>t-1</w:t>
            </w:r>
          </w:p>
        </w:tc>
        <w:tc>
          <w:tcPr>
            <w:tcW w:w="1250" w:type="dxa"/>
            <w:shd w:val="clear" w:color="auto" w:fill="auto"/>
            <w:noWrap/>
            <w:vAlign w:val="center"/>
            <w:hideMark/>
          </w:tcPr>
          <w:p w:rsidR="00583BD3" w:rsidRPr="00B32919" w:rsidRDefault="00583BD3" w:rsidP="000727E8">
            <w:pPr>
              <w:jc w:val="center"/>
              <w:rPr>
                <w:rFonts w:ascii="Garamond" w:hAnsi="Garamond"/>
                <w:color w:val="000000"/>
                <w:sz w:val="20"/>
                <w:szCs w:val="20"/>
              </w:rPr>
            </w:pPr>
          </w:p>
        </w:tc>
        <w:tc>
          <w:tcPr>
            <w:tcW w:w="1248" w:type="dxa"/>
            <w:shd w:val="clear" w:color="auto" w:fill="auto"/>
            <w:noWrap/>
            <w:vAlign w:val="center"/>
            <w:hideMark/>
          </w:tcPr>
          <w:p w:rsidR="00583BD3" w:rsidRPr="00B32919" w:rsidRDefault="00583BD3" w:rsidP="000727E8">
            <w:pPr>
              <w:jc w:val="center"/>
              <w:rPr>
                <w:rFonts w:ascii="Garamond" w:hAnsi="Garamond"/>
                <w:color w:val="000000"/>
                <w:sz w:val="20"/>
                <w:szCs w:val="20"/>
              </w:rPr>
            </w:pPr>
          </w:p>
        </w:tc>
        <w:tc>
          <w:tcPr>
            <w:tcW w:w="1249" w:type="dxa"/>
            <w:shd w:val="clear" w:color="auto" w:fill="auto"/>
            <w:noWrap/>
            <w:vAlign w:val="center"/>
            <w:hideMark/>
          </w:tcPr>
          <w:p w:rsidR="00583BD3" w:rsidRPr="00B32919" w:rsidRDefault="00583BD3" w:rsidP="000727E8">
            <w:pPr>
              <w:jc w:val="center"/>
              <w:rPr>
                <w:rFonts w:ascii="Garamond" w:hAnsi="Garamond"/>
                <w:color w:val="000000"/>
                <w:sz w:val="20"/>
                <w:szCs w:val="20"/>
              </w:rPr>
            </w:pPr>
          </w:p>
        </w:tc>
        <w:tc>
          <w:tcPr>
            <w:tcW w:w="1249" w:type="dxa"/>
            <w:shd w:val="clear" w:color="auto" w:fill="auto"/>
            <w:noWrap/>
            <w:vAlign w:val="center"/>
            <w:hideMark/>
          </w:tcPr>
          <w:p w:rsidR="00583BD3" w:rsidRPr="00B32919" w:rsidRDefault="00583BD3" w:rsidP="000727E8">
            <w:pPr>
              <w:jc w:val="center"/>
              <w:rPr>
                <w:rFonts w:ascii="Garamond" w:hAnsi="Garamond"/>
                <w:color w:val="000000"/>
                <w:sz w:val="20"/>
                <w:szCs w:val="20"/>
              </w:rPr>
            </w:pPr>
            <w:r w:rsidRPr="00B32919">
              <w:rPr>
                <w:rFonts w:ascii="Garamond" w:hAnsi="Garamond" w:hint="eastAsia"/>
                <w:color w:val="000000"/>
                <w:sz w:val="20"/>
                <w:szCs w:val="20"/>
              </w:rPr>
              <w:t>-0.000825</w:t>
            </w:r>
          </w:p>
        </w:tc>
        <w:tc>
          <w:tcPr>
            <w:tcW w:w="1249" w:type="dxa"/>
            <w:shd w:val="clear" w:color="auto" w:fill="auto"/>
            <w:noWrap/>
            <w:vAlign w:val="center"/>
            <w:hideMark/>
          </w:tcPr>
          <w:p w:rsidR="00583BD3" w:rsidRPr="00B32919" w:rsidRDefault="00583BD3" w:rsidP="000727E8">
            <w:pPr>
              <w:jc w:val="center"/>
              <w:rPr>
                <w:rFonts w:ascii="Garamond" w:hAnsi="Garamond"/>
                <w:color w:val="000000"/>
                <w:sz w:val="20"/>
                <w:szCs w:val="20"/>
              </w:rPr>
            </w:pPr>
            <w:r w:rsidRPr="00B32919">
              <w:rPr>
                <w:rFonts w:ascii="Garamond" w:hAnsi="Garamond" w:hint="eastAsia"/>
                <w:color w:val="000000"/>
                <w:sz w:val="20"/>
                <w:szCs w:val="20"/>
              </w:rPr>
              <w:t>-0.000176</w:t>
            </w:r>
          </w:p>
        </w:tc>
        <w:tc>
          <w:tcPr>
            <w:tcW w:w="1309" w:type="dxa"/>
            <w:shd w:val="clear" w:color="auto" w:fill="auto"/>
            <w:noWrap/>
            <w:vAlign w:val="center"/>
            <w:hideMark/>
          </w:tcPr>
          <w:p w:rsidR="00583BD3" w:rsidRPr="00B32919" w:rsidRDefault="00583BD3" w:rsidP="000727E8">
            <w:pPr>
              <w:jc w:val="center"/>
              <w:rPr>
                <w:rFonts w:ascii="Garamond" w:hAnsi="Garamond"/>
                <w:color w:val="000000"/>
                <w:sz w:val="20"/>
                <w:szCs w:val="20"/>
              </w:rPr>
            </w:pPr>
          </w:p>
        </w:tc>
      </w:tr>
      <w:tr w:rsidR="00583BD3" w:rsidRPr="00B32919" w:rsidTr="000727E8">
        <w:trPr>
          <w:trHeight w:hRule="exact" w:val="255"/>
        </w:trPr>
        <w:tc>
          <w:tcPr>
            <w:tcW w:w="2357" w:type="dxa"/>
            <w:shd w:val="clear" w:color="auto" w:fill="auto"/>
            <w:noWrap/>
            <w:hideMark/>
          </w:tcPr>
          <w:p w:rsidR="00583BD3" w:rsidRPr="009E5260" w:rsidRDefault="00583BD3" w:rsidP="000727E8">
            <w:pPr>
              <w:jc w:val="center"/>
              <w:rPr>
                <w:rFonts w:ascii="Garamond" w:hAnsi="Garamond" w:cs="Calibri"/>
                <w:color w:val="000000" w:themeColor="text1"/>
                <w:sz w:val="20"/>
                <w:szCs w:val="20"/>
              </w:rPr>
            </w:pPr>
          </w:p>
        </w:tc>
        <w:tc>
          <w:tcPr>
            <w:tcW w:w="1250" w:type="dxa"/>
            <w:shd w:val="clear" w:color="auto" w:fill="auto"/>
            <w:noWrap/>
            <w:vAlign w:val="center"/>
            <w:hideMark/>
          </w:tcPr>
          <w:p w:rsidR="00583BD3" w:rsidRPr="00B32919" w:rsidRDefault="00583BD3" w:rsidP="000727E8">
            <w:pPr>
              <w:jc w:val="center"/>
              <w:rPr>
                <w:rFonts w:ascii="Garamond" w:hAnsi="Garamond"/>
                <w:color w:val="000000"/>
                <w:sz w:val="20"/>
                <w:szCs w:val="20"/>
              </w:rPr>
            </w:pPr>
          </w:p>
        </w:tc>
        <w:tc>
          <w:tcPr>
            <w:tcW w:w="1248" w:type="dxa"/>
            <w:shd w:val="clear" w:color="auto" w:fill="auto"/>
            <w:noWrap/>
            <w:vAlign w:val="center"/>
            <w:hideMark/>
          </w:tcPr>
          <w:p w:rsidR="00583BD3" w:rsidRPr="00B32919" w:rsidRDefault="00583BD3" w:rsidP="000727E8">
            <w:pPr>
              <w:jc w:val="center"/>
              <w:rPr>
                <w:rFonts w:ascii="Garamond" w:hAnsi="Garamond"/>
                <w:color w:val="000000"/>
                <w:sz w:val="20"/>
                <w:szCs w:val="20"/>
              </w:rPr>
            </w:pPr>
          </w:p>
        </w:tc>
        <w:tc>
          <w:tcPr>
            <w:tcW w:w="1249" w:type="dxa"/>
            <w:shd w:val="clear" w:color="auto" w:fill="auto"/>
            <w:noWrap/>
            <w:vAlign w:val="center"/>
            <w:hideMark/>
          </w:tcPr>
          <w:p w:rsidR="00583BD3" w:rsidRPr="00B32919" w:rsidRDefault="00583BD3" w:rsidP="000727E8">
            <w:pPr>
              <w:jc w:val="center"/>
              <w:rPr>
                <w:rFonts w:ascii="Garamond" w:hAnsi="Garamond"/>
                <w:color w:val="000000"/>
                <w:sz w:val="20"/>
                <w:szCs w:val="20"/>
              </w:rPr>
            </w:pPr>
          </w:p>
        </w:tc>
        <w:tc>
          <w:tcPr>
            <w:tcW w:w="1249" w:type="dxa"/>
            <w:shd w:val="clear" w:color="auto" w:fill="auto"/>
            <w:noWrap/>
            <w:vAlign w:val="center"/>
            <w:hideMark/>
          </w:tcPr>
          <w:p w:rsidR="00583BD3" w:rsidRPr="00B32919" w:rsidRDefault="00583BD3" w:rsidP="000727E8">
            <w:pPr>
              <w:jc w:val="center"/>
              <w:rPr>
                <w:rFonts w:ascii="Garamond" w:hAnsi="Garamond"/>
                <w:color w:val="000000"/>
                <w:sz w:val="20"/>
                <w:szCs w:val="20"/>
              </w:rPr>
            </w:pPr>
            <w:r w:rsidRPr="00B32919">
              <w:rPr>
                <w:rFonts w:ascii="Garamond" w:hAnsi="Garamond" w:hint="eastAsia"/>
                <w:color w:val="000000"/>
                <w:sz w:val="20"/>
                <w:szCs w:val="20"/>
              </w:rPr>
              <w:t>(-0.06)</w:t>
            </w:r>
          </w:p>
        </w:tc>
        <w:tc>
          <w:tcPr>
            <w:tcW w:w="1249" w:type="dxa"/>
            <w:shd w:val="clear" w:color="auto" w:fill="auto"/>
            <w:noWrap/>
            <w:vAlign w:val="center"/>
            <w:hideMark/>
          </w:tcPr>
          <w:p w:rsidR="00583BD3" w:rsidRPr="00B32919" w:rsidRDefault="00583BD3" w:rsidP="000727E8">
            <w:pPr>
              <w:jc w:val="center"/>
              <w:rPr>
                <w:rFonts w:ascii="Garamond" w:hAnsi="Garamond"/>
                <w:color w:val="000000"/>
                <w:sz w:val="20"/>
                <w:szCs w:val="20"/>
              </w:rPr>
            </w:pPr>
            <w:r w:rsidRPr="00B32919">
              <w:rPr>
                <w:rFonts w:ascii="Garamond" w:hAnsi="Garamond" w:hint="eastAsia"/>
                <w:color w:val="000000"/>
                <w:sz w:val="20"/>
                <w:szCs w:val="20"/>
              </w:rPr>
              <w:t>(-0.01)</w:t>
            </w:r>
          </w:p>
        </w:tc>
        <w:tc>
          <w:tcPr>
            <w:tcW w:w="1309" w:type="dxa"/>
            <w:shd w:val="clear" w:color="auto" w:fill="auto"/>
            <w:noWrap/>
            <w:vAlign w:val="center"/>
            <w:hideMark/>
          </w:tcPr>
          <w:p w:rsidR="00583BD3" w:rsidRPr="00B32919" w:rsidRDefault="00583BD3" w:rsidP="000727E8">
            <w:pPr>
              <w:jc w:val="center"/>
              <w:rPr>
                <w:rFonts w:ascii="Garamond" w:hAnsi="Garamond"/>
                <w:color w:val="000000"/>
                <w:sz w:val="20"/>
                <w:szCs w:val="20"/>
              </w:rPr>
            </w:pPr>
          </w:p>
        </w:tc>
      </w:tr>
      <w:tr w:rsidR="00583BD3" w:rsidRPr="00B32919" w:rsidTr="000727E8">
        <w:trPr>
          <w:trHeight w:hRule="exact" w:val="255"/>
        </w:trPr>
        <w:tc>
          <w:tcPr>
            <w:tcW w:w="2357" w:type="dxa"/>
            <w:shd w:val="clear" w:color="auto" w:fill="auto"/>
            <w:noWrap/>
            <w:hideMark/>
          </w:tcPr>
          <w:p w:rsidR="00583BD3" w:rsidRPr="009E5260" w:rsidRDefault="00583BD3" w:rsidP="000727E8">
            <w:pPr>
              <w:jc w:val="center"/>
              <w:rPr>
                <w:rFonts w:ascii="Garamond" w:hAnsi="Garamond" w:cs="Calibri"/>
                <w:color w:val="000000" w:themeColor="text1"/>
                <w:sz w:val="20"/>
                <w:szCs w:val="20"/>
              </w:rPr>
            </w:pPr>
            <w:r w:rsidRPr="009E5260">
              <w:rPr>
                <w:rFonts w:ascii="Garamond" w:hAnsi="Garamond" w:cs="Calibri"/>
                <w:color w:val="000000" w:themeColor="text1"/>
                <w:sz w:val="20"/>
                <w:szCs w:val="20"/>
              </w:rPr>
              <w:t>Board Aggregate</w:t>
            </w:r>
            <w:r w:rsidRPr="009E5260">
              <w:rPr>
                <w:rFonts w:ascii="Garamond" w:hAnsi="Garamond" w:cs="Calibri"/>
                <w:color w:val="000000"/>
                <w:sz w:val="20"/>
                <w:szCs w:val="20"/>
                <w:vertAlign w:val="subscript"/>
              </w:rPr>
              <w:t>t-1</w:t>
            </w:r>
            <w:r w:rsidRPr="009E5260">
              <w:rPr>
                <w:rFonts w:ascii="Garamond" w:hAnsi="Garamond" w:cs="Calibri"/>
                <w:color w:val="000000" w:themeColor="text1"/>
                <w:sz w:val="20"/>
                <w:szCs w:val="20"/>
              </w:rPr>
              <w:t xml:space="preserve"> Diversity</w:t>
            </w:r>
            <w:r w:rsidRPr="009E5260">
              <w:rPr>
                <w:rFonts w:ascii="Garamond" w:hAnsi="Garamond" w:cs="Calibri"/>
                <w:color w:val="000000"/>
                <w:sz w:val="20"/>
                <w:szCs w:val="20"/>
                <w:vertAlign w:val="subscript"/>
              </w:rPr>
              <w:t>t-1</w:t>
            </w:r>
          </w:p>
        </w:tc>
        <w:tc>
          <w:tcPr>
            <w:tcW w:w="1250" w:type="dxa"/>
            <w:shd w:val="clear" w:color="auto" w:fill="auto"/>
            <w:noWrap/>
            <w:vAlign w:val="center"/>
            <w:hideMark/>
          </w:tcPr>
          <w:p w:rsidR="00583BD3" w:rsidRPr="00B32919" w:rsidRDefault="00583BD3" w:rsidP="000727E8">
            <w:pPr>
              <w:jc w:val="center"/>
              <w:rPr>
                <w:rFonts w:ascii="Garamond" w:hAnsi="Garamond"/>
                <w:color w:val="000000"/>
                <w:sz w:val="20"/>
                <w:szCs w:val="20"/>
              </w:rPr>
            </w:pPr>
          </w:p>
        </w:tc>
        <w:tc>
          <w:tcPr>
            <w:tcW w:w="1248" w:type="dxa"/>
            <w:shd w:val="clear" w:color="auto" w:fill="auto"/>
            <w:noWrap/>
            <w:vAlign w:val="center"/>
            <w:hideMark/>
          </w:tcPr>
          <w:p w:rsidR="00583BD3" w:rsidRPr="00B32919" w:rsidRDefault="00583BD3" w:rsidP="000727E8">
            <w:pPr>
              <w:jc w:val="center"/>
              <w:rPr>
                <w:rFonts w:ascii="Garamond" w:hAnsi="Garamond"/>
                <w:color w:val="000000"/>
                <w:sz w:val="20"/>
                <w:szCs w:val="20"/>
              </w:rPr>
            </w:pPr>
          </w:p>
        </w:tc>
        <w:tc>
          <w:tcPr>
            <w:tcW w:w="1249" w:type="dxa"/>
            <w:shd w:val="clear" w:color="auto" w:fill="auto"/>
            <w:noWrap/>
            <w:vAlign w:val="center"/>
            <w:hideMark/>
          </w:tcPr>
          <w:p w:rsidR="00583BD3" w:rsidRPr="00B32919" w:rsidRDefault="00583BD3" w:rsidP="000727E8">
            <w:pPr>
              <w:jc w:val="center"/>
              <w:rPr>
                <w:rFonts w:ascii="Garamond" w:hAnsi="Garamond"/>
                <w:color w:val="000000"/>
                <w:sz w:val="20"/>
                <w:szCs w:val="20"/>
              </w:rPr>
            </w:pPr>
          </w:p>
        </w:tc>
        <w:tc>
          <w:tcPr>
            <w:tcW w:w="1249" w:type="dxa"/>
            <w:shd w:val="clear" w:color="auto" w:fill="auto"/>
            <w:noWrap/>
            <w:vAlign w:val="center"/>
            <w:hideMark/>
          </w:tcPr>
          <w:p w:rsidR="00583BD3" w:rsidRPr="00B32919" w:rsidRDefault="00583BD3" w:rsidP="000727E8">
            <w:pPr>
              <w:jc w:val="center"/>
              <w:rPr>
                <w:rFonts w:ascii="Garamond" w:hAnsi="Garamond"/>
                <w:color w:val="000000"/>
                <w:sz w:val="20"/>
                <w:szCs w:val="20"/>
              </w:rPr>
            </w:pPr>
          </w:p>
        </w:tc>
        <w:tc>
          <w:tcPr>
            <w:tcW w:w="1249" w:type="dxa"/>
            <w:shd w:val="clear" w:color="auto" w:fill="auto"/>
            <w:noWrap/>
            <w:vAlign w:val="center"/>
            <w:hideMark/>
          </w:tcPr>
          <w:p w:rsidR="00583BD3" w:rsidRPr="00B32919" w:rsidRDefault="00583BD3" w:rsidP="000727E8">
            <w:pPr>
              <w:jc w:val="center"/>
              <w:rPr>
                <w:rFonts w:ascii="Garamond" w:hAnsi="Garamond"/>
                <w:color w:val="000000"/>
                <w:sz w:val="20"/>
                <w:szCs w:val="20"/>
              </w:rPr>
            </w:pPr>
          </w:p>
        </w:tc>
        <w:tc>
          <w:tcPr>
            <w:tcW w:w="1309" w:type="dxa"/>
            <w:shd w:val="clear" w:color="auto" w:fill="auto"/>
            <w:noWrap/>
            <w:vAlign w:val="center"/>
            <w:hideMark/>
          </w:tcPr>
          <w:p w:rsidR="00583BD3" w:rsidRPr="00B32919" w:rsidRDefault="00583BD3" w:rsidP="000727E8">
            <w:pPr>
              <w:jc w:val="center"/>
              <w:rPr>
                <w:rFonts w:ascii="Garamond" w:hAnsi="Garamond"/>
                <w:color w:val="000000"/>
                <w:sz w:val="20"/>
                <w:szCs w:val="20"/>
              </w:rPr>
            </w:pPr>
            <w:r w:rsidRPr="00B32919">
              <w:rPr>
                <w:rFonts w:ascii="Garamond" w:hAnsi="Garamond" w:hint="eastAsia"/>
                <w:color w:val="000000"/>
                <w:sz w:val="20"/>
                <w:szCs w:val="20"/>
              </w:rPr>
              <w:t>0.00215</w:t>
            </w:r>
          </w:p>
        </w:tc>
      </w:tr>
      <w:tr w:rsidR="00583BD3" w:rsidRPr="00B32919" w:rsidTr="000727E8">
        <w:trPr>
          <w:trHeight w:hRule="exact" w:val="255"/>
        </w:trPr>
        <w:tc>
          <w:tcPr>
            <w:tcW w:w="2357" w:type="dxa"/>
            <w:shd w:val="clear" w:color="auto" w:fill="auto"/>
            <w:noWrap/>
            <w:hideMark/>
          </w:tcPr>
          <w:p w:rsidR="00583BD3" w:rsidRPr="009E5260" w:rsidRDefault="00583BD3" w:rsidP="000727E8">
            <w:pPr>
              <w:jc w:val="center"/>
              <w:rPr>
                <w:rFonts w:ascii="Garamond" w:hAnsi="Garamond" w:cs="Calibri"/>
                <w:color w:val="000000"/>
                <w:sz w:val="20"/>
                <w:szCs w:val="20"/>
              </w:rPr>
            </w:pPr>
          </w:p>
        </w:tc>
        <w:tc>
          <w:tcPr>
            <w:tcW w:w="1250" w:type="dxa"/>
            <w:shd w:val="clear" w:color="auto" w:fill="auto"/>
            <w:noWrap/>
            <w:vAlign w:val="center"/>
            <w:hideMark/>
          </w:tcPr>
          <w:p w:rsidR="00583BD3" w:rsidRPr="00B32919" w:rsidRDefault="00583BD3" w:rsidP="000727E8">
            <w:pPr>
              <w:jc w:val="center"/>
              <w:rPr>
                <w:rFonts w:ascii="Garamond" w:hAnsi="Garamond"/>
                <w:color w:val="000000"/>
                <w:sz w:val="20"/>
                <w:szCs w:val="20"/>
              </w:rPr>
            </w:pPr>
          </w:p>
        </w:tc>
        <w:tc>
          <w:tcPr>
            <w:tcW w:w="1248" w:type="dxa"/>
            <w:shd w:val="clear" w:color="auto" w:fill="auto"/>
            <w:noWrap/>
            <w:vAlign w:val="center"/>
            <w:hideMark/>
          </w:tcPr>
          <w:p w:rsidR="00583BD3" w:rsidRPr="00B32919" w:rsidRDefault="00583BD3" w:rsidP="000727E8">
            <w:pPr>
              <w:jc w:val="center"/>
              <w:rPr>
                <w:rFonts w:ascii="Garamond" w:hAnsi="Garamond"/>
                <w:color w:val="000000"/>
                <w:sz w:val="20"/>
                <w:szCs w:val="20"/>
              </w:rPr>
            </w:pPr>
          </w:p>
        </w:tc>
        <w:tc>
          <w:tcPr>
            <w:tcW w:w="1249" w:type="dxa"/>
            <w:shd w:val="clear" w:color="auto" w:fill="auto"/>
            <w:noWrap/>
            <w:vAlign w:val="center"/>
            <w:hideMark/>
          </w:tcPr>
          <w:p w:rsidR="00583BD3" w:rsidRPr="00B32919" w:rsidRDefault="00583BD3" w:rsidP="000727E8">
            <w:pPr>
              <w:jc w:val="center"/>
              <w:rPr>
                <w:rFonts w:ascii="Garamond" w:hAnsi="Garamond"/>
                <w:color w:val="000000"/>
                <w:sz w:val="20"/>
                <w:szCs w:val="20"/>
              </w:rPr>
            </w:pPr>
          </w:p>
        </w:tc>
        <w:tc>
          <w:tcPr>
            <w:tcW w:w="1249" w:type="dxa"/>
            <w:shd w:val="clear" w:color="auto" w:fill="auto"/>
            <w:noWrap/>
            <w:vAlign w:val="center"/>
            <w:hideMark/>
          </w:tcPr>
          <w:p w:rsidR="00583BD3" w:rsidRPr="00B32919" w:rsidRDefault="00583BD3" w:rsidP="000727E8">
            <w:pPr>
              <w:jc w:val="center"/>
              <w:rPr>
                <w:rFonts w:ascii="Garamond" w:hAnsi="Garamond"/>
                <w:color w:val="000000"/>
                <w:sz w:val="20"/>
                <w:szCs w:val="20"/>
              </w:rPr>
            </w:pPr>
          </w:p>
        </w:tc>
        <w:tc>
          <w:tcPr>
            <w:tcW w:w="1249" w:type="dxa"/>
            <w:shd w:val="clear" w:color="auto" w:fill="auto"/>
            <w:noWrap/>
            <w:vAlign w:val="center"/>
            <w:hideMark/>
          </w:tcPr>
          <w:p w:rsidR="00583BD3" w:rsidRPr="00B32919" w:rsidRDefault="00583BD3" w:rsidP="000727E8">
            <w:pPr>
              <w:jc w:val="center"/>
              <w:rPr>
                <w:rFonts w:ascii="Garamond" w:hAnsi="Garamond"/>
                <w:color w:val="000000"/>
                <w:sz w:val="20"/>
                <w:szCs w:val="20"/>
              </w:rPr>
            </w:pPr>
          </w:p>
        </w:tc>
        <w:tc>
          <w:tcPr>
            <w:tcW w:w="1309" w:type="dxa"/>
            <w:shd w:val="clear" w:color="auto" w:fill="auto"/>
            <w:noWrap/>
            <w:vAlign w:val="center"/>
            <w:hideMark/>
          </w:tcPr>
          <w:p w:rsidR="00583BD3" w:rsidRPr="00B32919" w:rsidRDefault="00583BD3" w:rsidP="000727E8">
            <w:pPr>
              <w:jc w:val="center"/>
              <w:rPr>
                <w:rFonts w:ascii="Garamond" w:hAnsi="Garamond"/>
                <w:color w:val="000000"/>
                <w:sz w:val="20"/>
                <w:szCs w:val="20"/>
              </w:rPr>
            </w:pPr>
            <w:r w:rsidRPr="00B32919">
              <w:rPr>
                <w:rFonts w:ascii="Garamond" w:hAnsi="Garamond" w:hint="eastAsia"/>
                <w:color w:val="000000"/>
                <w:sz w:val="20"/>
                <w:szCs w:val="20"/>
              </w:rPr>
              <w:t>(0.76)</w:t>
            </w:r>
          </w:p>
        </w:tc>
      </w:tr>
      <w:tr w:rsidR="00583BD3" w:rsidRPr="00B32919" w:rsidTr="000727E8">
        <w:trPr>
          <w:trHeight w:hRule="exact" w:val="255"/>
        </w:trPr>
        <w:tc>
          <w:tcPr>
            <w:tcW w:w="2357" w:type="dxa"/>
            <w:shd w:val="clear" w:color="auto" w:fill="auto"/>
            <w:noWrap/>
            <w:hideMark/>
          </w:tcPr>
          <w:p w:rsidR="00583BD3" w:rsidRPr="009E5260" w:rsidRDefault="00583BD3" w:rsidP="000727E8">
            <w:pPr>
              <w:jc w:val="center"/>
              <w:rPr>
                <w:rFonts w:ascii="Garamond" w:hAnsi="Garamond" w:cs="Calibri"/>
                <w:color w:val="000000" w:themeColor="text1"/>
                <w:sz w:val="20"/>
                <w:szCs w:val="20"/>
              </w:rPr>
            </w:pPr>
            <w:r w:rsidRPr="009E5260">
              <w:rPr>
                <w:rFonts w:ascii="Garamond" w:hAnsi="Garamond" w:cs="Calibri"/>
                <w:color w:val="000000" w:themeColor="text1"/>
                <w:sz w:val="20"/>
                <w:szCs w:val="20"/>
              </w:rPr>
              <w:t>Constant</w:t>
            </w:r>
          </w:p>
        </w:tc>
        <w:tc>
          <w:tcPr>
            <w:tcW w:w="1250" w:type="dxa"/>
            <w:shd w:val="clear" w:color="auto" w:fill="auto"/>
            <w:noWrap/>
            <w:vAlign w:val="center"/>
            <w:hideMark/>
          </w:tcPr>
          <w:p w:rsidR="00583BD3" w:rsidRPr="00B32919" w:rsidRDefault="00583BD3" w:rsidP="000727E8">
            <w:pPr>
              <w:jc w:val="center"/>
              <w:rPr>
                <w:rFonts w:ascii="Garamond" w:hAnsi="Garamond"/>
                <w:color w:val="000000"/>
                <w:sz w:val="20"/>
                <w:szCs w:val="20"/>
              </w:rPr>
            </w:pPr>
            <w:r w:rsidRPr="00B32919">
              <w:rPr>
                <w:rFonts w:ascii="Garamond" w:hAnsi="Garamond" w:hint="eastAsia"/>
                <w:color w:val="000000"/>
                <w:sz w:val="20"/>
                <w:szCs w:val="20"/>
              </w:rPr>
              <w:t>-0.533***</w:t>
            </w:r>
          </w:p>
        </w:tc>
        <w:tc>
          <w:tcPr>
            <w:tcW w:w="1248" w:type="dxa"/>
            <w:shd w:val="clear" w:color="auto" w:fill="auto"/>
            <w:noWrap/>
            <w:vAlign w:val="center"/>
            <w:hideMark/>
          </w:tcPr>
          <w:p w:rsidR="00583BD3" w:rsidRPr="00B32919" w:rsidRDefault="00583BD3" w:rsidP="000727E8">
            <w:pPr>
              <w:jc w:val="center"/>
              <w:rPr>
                <w:rFonts w:ascii="Garamond" w:hAnsi="Garamond"/>
                <w:color w:val="000000"/>
                <w:sz w:val="20"/>
                <w:szCs w:val="20"/>
              </w:rPr>
            </w:pPr>
            <w:r w:rsidRPr="00B32919">
              <w:rPr>
                <w:rFonts w:ascii="Garamond" w:hAnsi="Garamond" w:hint="eastAsia"/>
                <w:color w:val="000000"/>
                <w:sz w:val="20"/>
                <w:szCs w:val="20"/>
              </w:rPr>
              <w:t>-0.532***</w:t>
            </w:r>
          </w:p>
        </w:tc>
        <w:tc>
          <w:tcPr>
            <w:tcW w:w="1249" w:type="dxa"/>
            <w:shd w:val="clear" w:color="auto" w:fill="auto"/>
            <w:noWrap/>
            <w:vAlign w:val="center"/>
            <w:hideMark/>
          </w:tcPr>
          <w:p w:rsidR="00583BD3" w:rsidRPr="00B32919" w:rsidRDefault="00583BD3" w:rsidP="000727E8">
            <w:pPr>
              <w:jc w:val="center"/>
              <w:rPr>
                <w:rFonts w:ascii="Garamond" w:hAnsi="Garamond"/>
                <w:color w:val="000000"/>
                <w:sz w:val="20"/>
                <w:szCs w:val="20"/>
              </w:rPr>
            </w:pPr>
            <w:r w:rsidRPr="00B32919">
              <w:rPr>
                <w:rFonts w:ascii="Garamond" w:hAnsi="Garamond" w:hint="eastAsia"/>
                <w:color w:val="000000"/>
                <w:sz w:val="20"/>
                <w:szCs w:val="20"/>
              </w:rPr>
              <w:t>-0.526***</w:t>
            </w:r>
          </w:p>
        </w:tc>
        <w:tc>
          <w:tcPr>
            <w:tcW w:w="1249" w:type="dxa"/>
            <w:shd w:val="clear" w:color="auto" w:fill="auto"/>
            <w:noWrap/>
            <w:vAlign w:val="center"/>
            <w:hideMark/>
          </w:tcPr>
          <w:p w:rsidR="00583BD3" w:rsidRPr="00B32919" w:rsidRDefault="00583BD3" w:rsidP="000727E8">
            <w:pPr>
              <w:jc w:val="center"/>
              <w:rPr>
                <w:rFonts w:ascii="Garamond" w:hAnsi="Garamond"/>
                <w:color w:val="000000"/>
                <w:sz w:val="20"/>
                <w:szCs w:val="20"/>
              </w:rPr>
            </w:pPr>
            <w:r w:rsidRPr="00B32919">
              <w:rPr>
                <w:rFonts w:ascii="Garamond" w:hAnsi="Garamond" w:hint="eastAsia"/>
                <w:color w:val="000000"/>
                <w:sz w:val="20"/>
                <w:szCs w:val="20"/>
              </w:rPr>
              <w:t>-0.533***</w:t>
            </w:r>
          </w:p>
        </w:tc>
        <w:tc>
          <w:tcPr>
            <w:tcW w:w="1249" w:type="dxa"/>
            <w:shd w:val="clear" w:color="auto" w:fill="auto"/>
            <w:noWrap/>
            <w:vAlign w:val="center"/>
            <w:hideMark/>
          </w:tcPr>
          <w:p w:rsidR="00583BD3" w:rsidRPr="00B32919" w:rsidRDefault="00583BD3" w:rsidP="000727E8">
            <w:pPr>
              <w:jc w:val="center"/>
              <w:rPr>
                <w:rFonts w:ascii="Garamond" w:hAnsi="Garamond"/>
                <w:color w:val="000000"/>
                <w:sz w:val="20"/>
                <w:szCs w:val="20"/>
              </w:rPr>
            </w:pPr>
            <w:r w:rsidRPr="00B32919">
              <w:rPr>
                <w:rFonts w:ascii="Garamond" w:hAnsi="Garamond" w:hint="eastAsia"/>
                <w:color w:val="000000"/>
                <w:sz w:val="20"/>
                <w:szCs w:val="20"/>
              </w:rPr>
              <w:t>-0.526***</w:t>
            </w:r>
          </w:p>
        </w:tc>
        <w:tc>
          <w:tcPr>
            <w:tcW w:w="1309" w:type="dxa"/>
            <w:shd w:val="clear" w:color="auto" w:fill="auto"/>
            <w:noWrap/>
            <w:vAlign w:val="center"/>
            <w:hideMark/>
          </w:tcPr>
          <w:p w:rsidR="00583BD3" w:rsidRPr="00B32919" w:rsidRDefault="00583BD3" w:rsidP="000727E8">
            <w:pPr>
              <w:jc w:val="center"/>
              <w:rPr>
                <w:rFonts w:ascii="Garamond" w:hAnsi="Garamond"/>
                <w:color w:val="000000"/>
                <w:sz w:val="20"/>
                <w:szCs w:val="20"/>
              </w:rPr>
            </w:pPr>
            <w:r w:rsidRPr="00B32919">
              <w:rPr>
                <w:rFonts w:ascii="Garamond" w:hAnsi="Garamond" w:hint="eastAsia"/>
                <w:color w:val="000000"/>
                <w:sz w:val="20"/>
                <w:szCs w:val="20"/>
              </w:rPr>
              <w:t>-0.549***</w:t>
            </w:r>
          </w:p>
        </w:tc>
      </w:tr>
      <w:tr w:rsidR="00583BD3" w:rsidRPr="00B32919" w:rsidTr="000727E8">
        <w:trPr>
          <w:trHeight w:hRule="exact" w:val="255"/>
        </w:trPr>
        <w:tc>
          <w:tcPr>
            <w:tcW w:w="2357" w:type="dxa"/>
            <w:tcBorders>
              <w:bottom w:val="single" w:sz="4" w:space="0" w:color="auto"/>
            </w:tcBorders>
            <w:shd w:val="clear" w:color="auto" w:fill="auto"/>
            <w:noWrap/>
            <w:hideMark/>
          </w:tcPr>
          <w:p w:rsidR="00583BD3" w:rsidRPr="009E5260" w:rsidRDefault="00583BD3" w:rsidP="000727E8">
            <w:pPr>
              <w:jc w:val="center"/>
              <w:rPr>
                <w:rFonts w:ascii="Garamond" w:hAnsi="Garamond" w:cs="Calibri"/>
                <w:color w:val="000000" w:themeColor="text1"/>
                <w:sz w:val="20"/>
                <w:szCs w:val="20"/>
              </w:rPr>
            </w:pPr>
          </w:p>
        </w:tc>
        <w:tc>
          <w:tcPr>
            <w:tcW w:w="1250" w:type="dxa"/>
            <w:tcBorders>
              <w:bottom w:val="single" w:sz="4" w:space="0" w:color="auto"/>
            </w:tcBorders>
            <w:shd w:val="clear" w:color="auto" w:fill="auto"/>
            <w:noWrap/>
            <w:vAlign w:val="center"/>
            <w:hideMark/>
          </w:tcPr>
          <w:p w:rsidR="00583BD3" w:rsidRPr="00B32919" w:rsidRDefault="00583BD3" w:rsidP="000727E8">
            <w:pPr>
              <w:jc w:val="center"/>
              <w:rPr>
                <w:rFonts w:ascii="Garamond" w:hAnsi="Garamond"/>
                <w:color w:val="000000"/>
                <w:sz w:val="20"/>
                <w:szCs w:val="20"/>
              </w:rPr>
            </w:pPr>
            <w:r w:rsidRPr="00B32919">
              <w:rPr>
                <w:rFonts w:ascii="Garamond" w:hAnsi="Garamond" w:hint="eastAsia"/>
                <w:color w:val="000000"/>
                <w:sz w:val="20"/>
                <w:szCs w:val="20"/>
              </w:rPr>
              <w:t>(-3.71)</w:t>
            </w:r>
          </w:p>
        </w:tc>
        <w:tc>
          <w:tcPr>
            <w:tcW w:w="1248" w:type="dxa"/>
            <w:tcBorders>
              <w:bottom w:val="single" w:sz="4" w:space="0" w:color="auto"/>
            </w:tcBorders>
            <w:shd w:val="clear" w:color="auto" w:fill="auto"/>
            <w:noWrap/>
            <w:vAlign w:val="center"/>
            <w:hideMark/>
          </w:tcPr>
          <w:p w:rsidR="00583BD3" w:rsidRPr="00B32919" w:rsidRDefault="00583BD3" w:rsidP="000727E8">
            <w:pPr>
              <w:jc w:val="center"/>
              <w:rPr>
                <w:rFonts w:ascii="Garamond" w:hAnsi="Garamond"/>
                <w:color w:val="000000"/>
                <w:sz w:val="20"/>
                <w:szCs w:val="20"/>
              </w:rPr>
            </w:pPr>
            <w:r w:rsidRPr="00B32919">
              <w:rPr>
                <w:rFonts w:ascii="Garamond" w:hAnsi="Garamond" w:hint="eastAsia"/>
                <w:color w:val="000000"/>
                <w:sz w:val="20"/>
                <w:szCs w:val="20"/>
              </w:rPr>
              <w:t>(-3.70)</w:t>
            </w:r>
          </w:p>
        </w:tc>
        <w:tc>
          <w:tcPr>
            <w:tcW w:w="1249" w:type="dxa"/>
            <w:tcBorders>
              <w:bottom w:val="single" w:sz="4" w:space="0" w:color="auto"/>
            </w:tcBorders>
            <w:shd w:val="clear" w:color="auto" w:fill="auto"/>
            <w:noWrap/>
            <w:vAlign w:val="center"/>
            <w:hideMark/>
          </w:tcPr>
          <w:p w:rsidR="00583BD3" w:rsidRPr="00B32919" w:rsidRDefault="00583BD3" w:rsidP="000727E8">
            <w:pPr>
              <w:jc w:val="center"/>
              <w:rPr>
                <w:rFonts w:ascii="Garamond" w:hAnsi="Garamond"/>
                <w:color w:val="000000"/>
                <w:sz w:val="20"/>
                <w:szCs w:val="20"/>
              </w:rPr>
            </w:pPr>
            <w:r w:rsidRPr="00B32919">
              <w:rPr>
                <w:rFonts w:ascii="Garamond" w:hAnsi="Garamond" w:hint="eastAsia"/>
                <w:color w:val="000000"/>
                <w:sz w:val="20"/>
                <w:szCs w:val="20"/>
              </w:rPr>
              <w:t>(-3.66)</w:t>
            </w:r>
          </w:p>
        </w:tc>
        <w:tc>
          <w:tcPr>
            <w:tcW w:w="1249" w:type="dxa"/>
            <w:tcBorders>
              <w:bottom w:val="single" w:sz="4" w:space="0" w:color="auto"/>
            </w:tcBorders>
            <w:shd w:val="clear" w:color="auto" w:fill="auto"/>
            <w:noWrap/>
            <w:vAlign w:val="center"/>
            <w:hideMark/>
          </w:tcPr>
          <w:p w:rsidR="00583BD3" w:rsidRPr="00B32919" w:rsidRDefault="00583BD3" w:rsidP="000727E8">
            <w:pPr>
              <w:jc w:val="center"/>
              <w:rPr>
                <w:rFonts w:ascii="Garamond" w:hAnsi="Garamond"/>
                <w:color w:val="000000"/>
                <w:sz w:val="20"/>
                <w:szCs w:val="20"/>
              </w:rPr>
            </w:pPr>
            <w:r w:rsidRPr="00B32919">
              <w:rPr>
                <w:rFonts w:ascii="Garamond" w:hAnsi="Garamond" w:hint="eastAsia"/>
                <w:color w:val="000000"/>
                <w:sz w:val="20"/>
                <w:szCs w:val="20"/>
              </w:rPr>
              <w:t>(-3.71)</w:t>
            </w:r>
          </w:p>
        </w:tc>
        <w:tc>
          <w:tcPr>
            <w:tcW w:w="1249" w:type="dxa"/>
            <w:tcBorders>
              <w:bottom w:val="single" w:sz="4" w:space="0" w:color="auto"/>
            </w:tcBorders>
            <w:shd w:val="clear" w:color="auto" w:fill="auto"/>
            <w:noWrap/>
            <w:vAlign w:val="center"/>
            <w:hideMark/>
          </w:tcPr>
          <w:p w:rsidR="00583BD3" w:rsidRPr="00B32919" w:rsidRDefault="00583BD3" w:rsidP="000727E8">
            <w:pPr>
              <w:jc w:val="center"/>
              <w:rPr>
                <w:rFonts w:ascii="Garamond" w:hAnsi="Garamond"/>
                <w:color w:val="000000"/>
                <w:sz w:val="20"/>
                <w:szCs w:val="20"/>
              </w:rPr>
            </w:pPr>
            <w:r w:rsidRPr="00B32919">
              <w:rPr>
                <w:rFonts w:ascii="Garamond" w:hAnsi="Garamond" w:hint="eastAsia"/>
                <w:color w:val="000000"/>
                <w:sz w:val="20"/>
                <w:szCs w:val="20"/>
              </w:rPr>
              <w:t>(-3.66)</w:t>
            </w:r>
          </w:p>
        </w:tc>
        <w:tc>
          <w:tcPr>
            <w:tcW w:w="1309" w:type="dxa"/>
            <w:tcBorders>
              <w:bottom w:val="single" w:sz="4" w:space="0" w:color="auto"/>
            </w:tcBorders>
            <w:shd w:val="clear" w:color="auto" w:fill="auto"/>
            <w:noWrap/>
            <w:vAlign w:val="center"/>
            <w:hideMark/>
          </w:tcPr>
          <w:p w:rsidR="00583BD3" w:rsidRPr="00B32919" w:rsidRDefault="00583BD3" w:rsidP="000727E8">
            <w:pPr>
              <w:jc w:val="center"/>
              <w:rPr>
                <w:rFonts w:ascii="Garamond" w:hAnsi="Garamond"/>
                <w:color w:val="000000"/>
                <w:sz w:val="20"/>
                <w:szCs w:val="20"/>
              </w:rPr>
            </w:pPr>
            <w:r w:rsidRPr="00B32919">
              <w:rPr>
                <w:rFonts w:ascii="Garamond" w:hAnsi="Garamond" w:hint="eastAsia"/>
                <w:color w:val="000000"/>
                <w:sz w:val="20"/>
                <w:szCs w:val="20"/>
              </w:rPr>
              <w:t>(-3.82)</w:t>
            </w:r>
          </w:p>
        </w:tc>
      </w:tr>
      <w:tr w:rsidR="00583BD3" w:rsidRPr="00B32919" w:rsidTr="000727E8">
        <w:trPr>
          <w:trHeight w:hRule="exact" w:val="255"/>
        </w:trPr>
        <w:tc>
          <w:tcPr>
            <w:tcW w:w="2357" w:type="dxa"/>
            <w:tcBorders>
              <w:top w:val="single" w:sz="4" w:space="0" w:color="auto"/>
              <w:bottom w:val="nil"/>
            </w:tcBorders>
            <w:shd w:val="clear" w:color="auto" w:fill="auto"/>
            <w:noWrap/>
            <w:hideMark/>
          </w:tcPr>
          <w:p w:rsidR="00583BD3" w:rsidRPr="00AC62E9" w:rsidRDefault="00583BD3" w:rsidP="000727E8">
            <w:pPr>
              <w:jc w:val="center"/>
              <w:rPr>
                <w:rFonts w:ascii="Garamond" w:hAnsi="Garamond" w:cs="Calibri"/>
                <w:color w:val="000000" w:themeColor="text1"/>
                <w:sz w:val="20"/>
                <w:szCs w:val="20"/>
              </w:rPr>
            </w:pPr>
            <w:r w:rsidRPr="00AC62E9">
              <w:rPr>
                <w:rFonts w:ascii="Garamond" w:hAnsi="Garamond" w:cs="Calibri"/>
                <w:color w:val="000000" w:themeColor="text1"/>
                <w:sz w:val="20"/>
                <w:szCs w:val="20"/>
              </w:rPr>
              <w:t>Year Fixed Effects</w:t>
            </w:r>
          </w:p>
        </w:tc>
        <w:tc>
          <w:tcPr>
            <w:tcW w:w="1250" w:type="dxa"/>
            <w:tcBorders>
              <w:top w:val="single" w:sz="4" w:space="0" w:color="auto"/>
              <w:bottom w:val="nil"/>
            </w:tcBorders>
            <w:shd w:val="clear" w:color="auto" w:fill="auto"/>
            <w:noWrap/>
            <w:hideMark/>
          </w:tcPr>
          <w:p w:rsidR="00583BD3" w:rsidRPr="00B32919" w:rsidRDefault="00583BD3" w:rsidP="000727E8">
            <w:pPr>
              <w:jc w:val="center"/>
              <w:rPr>
                <w:rFonts w:ascii="Garamond" w:hAnsi="Garamond"/>
                <w:color w:val="000000"/>
                <w:sz w:val="20"/>
                <w:szCs w:val="20"/>
              </w:rPr>
            </w:pPr>
            <w:r w:rsidRPr="00B32919">
              <w:rPr>
                <w:rFonts w:ascii="Garamond" w:hAnsi="Garamond"/>
                <w:color w:val="000000"/>
                <w:sz w:val="20"/>
                <w:szCs w:val="20"/>
              </w:rPr>
              <w:t>Yes</w:t>
            </w:r>
          </w:p>
        </w:tc>
        <w:tc>
          <w:tcPr>
            <w:tcW w:w="1248" w:type="dxa"/>
            <w:tcBorders>
              <w:top w:val="single" w:sz="4" w:space="0" w:color="auto"/>
              <w:bottom w:val="nil"/>
            </w:tcBorders>
            <w:shd w:val="clear" w:color="auto" w:fill="auto"/>
            <w:noWrap/>
            <w:hideMark/>
          </w:tcPr>
          <w:p w:rsidR="00583BD3" w:rsidRPr="00B32919" w:rsidRDefault="00583BD3" w:rsidP="000727E8">
            <w:pPr>
              <w:jc w:val="center"/>
              <w:rPr>
                <w:rFonts w:ascii="Garamond" w:hAnsi="Garamond"/>
                <w:color w:val="000000"/>
                <w:sz w:val="20"/>
                <w:szCs w:val="20"/>
              </w:rPr>
            </w:pPr>
            <w:r w:rsidRPr="00B32919">
              <w:rPr>
                <w:rFonts w:ascii="Garamond" w:hAnsi="Garamond"/>
                <w:color w:val="000000"/>
                <w:sz w:val="20"/>
                <w:szCs w:val="20"/>
              </w:rPr>
              <w:t>Yes</w:t>
            </w:r>
          </w:p>
        </w:tc>
        <w:tc>
          <w:tcPr>
            <w:tcW w:w="1249" w:type="dxa"/>
            <w:tcBorders>
              <w:top w:val="single" w:sz="4" w:space="0" w:color="auto"/>
              <w:bottom w:val="nil"/>
            </w:tcBorders>
            <w:shd w:val="clear" w:color="auto" w:fill="auto"/>
            <w:noWrap/>
            <w:hideMark/>
          </w:tcPr>
          <w:p w:rsidR="00583BD3" w:rsidRPr="00B32919" w:rsidRDefault="00583BD3" w:rsidP="000727E8">
            <w:pPr>
              <w:jc w:val="center"/>
              <w:rPr>
                <w:rFonts w:ascii="Garamond" w:hAnsi="Garamond"/>
                <w:color w:val="000000"/>
                <w:sz w:val="20"/>
                <w:szCs w:val="20"/>
              </w:rPr>
            </w:pPr>
            <w:r w:rsidRPr="00B32919">
              <w:rPr>
                <w:rFonts w:ascii="Garamond" w:hAnsi="Garamond"/>
                <w:color w:val="000000"/>
                <w:sz w:val="20"/>
                <w:szCs w:val="20"/>
              </w:rPr>
              <w:t>Yes</w:t>
            </w:r>
          </w:p>
        </w:tc>
        <w:tc>
          <w:tcPr>
            <w:tcW w:w="1249" w:type="dxa"/>
            <w:tcBorders>
              <w:top w:val="single" w:sz="4" w:space="0" w:color="auto"/>
              <w:bottom w:val="nil"/>
            </w:tcBorders>
            <w:shd w:val="clear" w:color="auto" w:fill="auto"/>
            <w:noWrap/>
            <w:hideMark/>
          </w:tcPr>
          <w:p w:rsidR="00583BD3" w:rsidRPr="00B32919" w:rsidRDefault="00583BD3" w:rsidP="000727E8">
            <w:pPr>
              <w:jc w:val="center"/>
              <w:rPr>
                <w:rFonts w:ascii="Garamond" w:hAnsi="Garamond"/>
                <w:color w:val="000000"/>
                <w:sz w:val="20"/>
                <w:szCs w:val="20"/>
              </w:rPr>
            </w:pPr>
            <w:r w:rsidRPr="00B32919">
              <w:rPr>
                <w:rFonts w:ascii="Garamond" w:hAnsi="Garamond"/>
                <w:color w:val="000000"/>
                <w:sz w:val="20"/>
                <w:szCs w:val="20"/>
              </w:rPr>
              <w:t>Yes</w:t>
            </w:r>
          </w:p>
        </w:tc>
        <w:tc>
          <w:tcPr>
            <w:tcW w:w="1249" w:type="dxa"/>
            <w:tcBorders>
              <w:top w:val="single" w:sz="4" w:space="0" w:color="auto"/>
              <w:bottom w:val="nil"/>
            </w:tcBorders>
            <w:shd w:val="clear" w:color="auto" w:fill="auto"/>
            <w:noWrap/>
            <w:hideMark/>
          </w:tcPr>
          <w:p w:rsidR="00583BD3" w:rsidRPr="00B32919" w:rsidRDefault="00583BD3" w:rsidP="000727E8">
            <w:pPr>
              <w:jc w:val="center"/>
              <w:rPr>
                <w:rFonts w:ascii="Garamond" w:hAnsi="Garamond"/>
                <w:color w:val="000000"/>
                <w:sz w:val="20"/>
                <w:szCs w:val="20"/>
              </w:rPr>
            </w:pPr>
            <w:r w:rsidRPr="00B32919">
              <w:rPr>
                <w:rFonts w:ascii="Garamond" w:hAnsi="Garamond"/>
                <w:color w:val="000000"/>
                <w:sz w:val="20"/>
                <w:szCs w:val="20"/>
              </w:rPr>
              <w:t>Yes</w:t>
            </w:r>
          </w:p>
        </w:tc>
        <w:tc>
          <w:tcPr>
            <w:tcW w:w="1309" w:type="dxa"/>
            <w:tcBorders>
              <w:top w:val="single" w:sz="4" w:space="0" w:color="auto"/>
              <w:bottom w:val="nil"/>
            </w:tcBorders>
            <w:shd w:val="clear" w:color="auto" w:fill="auto"/>
            <w:noWrap/>
            <w:hideMark/>
          </w:tcPr>
          <w:p w:rsidR="00583BD3" w:rsidRPr="00B32919" w:rsidRDefault="00583BD3" w:rsidP="000727E8">
            <w:pPr>
              <w:jc w:val="center"/>
              <w:rPr>
                <w:rFonts w:ascii="Garamond" w:hAnsi="Garamond"/>
                <w:color w:val="000000"/>
                <w:sz w:val="20"/>
                <w:szCs w:val="20"/>
              </w:rPr>
            </w:pPr>
            <w:r w:rsidRPr="00B32919">
              <w:rPr>
                <w:rFonts w:ascii="Garamond" w:hAnsi="Garamond"/>
                <w:color w:val="000000"/>
                <w:sz w:val="20"/>
                <w:szCs w:val="20"/>
              </w:rPr>
              <w:t>Yes</w:t>
            </w:r>
          </w:p>
        </w:tc>
      </w:tr>
      <w:tr w:rsidR="00583BD3" w:rsidRPr="00B32919" w:rsidTr="000727E8">
        <w:trPr>
          <w:trHeight w:hRule="exact" w:val="255"/>
        </w:trPr>
        <w:tc>
          <w:tcPr>
            <w:tcW w:w="2357" w:type="dxa"/>
            <w:tcBorders>
              <w:top w:val="nil"/>
            </w:tcBorders>
            <w:shd w:val="clear" w:color="auto" w:fill="auto"/>
            <w:noWrap/>
            <w:hideMark/>
          </w:tcPr>
          <w:p w:rsidR="00583BD3" w:rsidRPr="00AC62E9" w:rsidRDefault="00583BD3" w:rsidP="000727E8">
            <w:pPr>
              <w:jc w:val="center"/>
              <w:rPr>
                <w:rFonts w:ascii="Garamond" w:hAnsi="Garamond" w:cs="Calibri"/>
                <w:color w:val="000000" w:themeColor="text1"/>
                <w:sz w:val="20"/>
                <w:szCs w:val="20"/>
              </w:rPr>
            </w:pPr>
            <w:r>
              <w:rPr>
                <w:rFonts w:ascii="Garamond" w:hAnsi="Garamond" w:cs="Calibri"/>
                <w:color w:val="000000" w:themeColor="text1"/>
                <w:sz w:val="20"/>
                <w:szCs w:val="20"/>
              </w:rPr>
              <w:t>Firm</w:t>
            </w:r>
            <w:r w:rsidRPr="00AC62E9">
              <w:rPr>
                <w:rFonts w:ascii="Garamond" w:hAnsi="Garamond" w:cs="Calibri"/>
                <w:color w:val="000000" w:themeColor="text1"/>
                <w:sz w:val="20"/>
                <w:szCs w:val="20"/>
              </w:rPr>
              <w:t xml:space="preserve"> Fixed Effects</w:t>
            </w:r>
          </w:p>
        </w:tc>
        <w:tc>
          <w:tcPr>
            <w:tcW w:w="1250" w:type="dxa"/>
            <w:tcBorders>
              <w:top w:val="nil"/>
            </w:tcBorders>
            <w:shd w:val="clear" w:color="auto" w:fill="auto"/>
            <w:noWrap/>
            <w:hideMark/>
          </w:tcPr>
          <w:p w:rsidR="00583BD3" w:rsidRPr="00B32919" w:rsidRDefault="00583BD3" w:rsidP="000727E8">
            <w:pPr>
              <w:jc w:val="center"/>
              <w:rPr>
                <w:rFonts w:ascii="Garamond" w:hAnsi="Garamond"/>
                <w:color w:val="000000"/>
                <w:sz w:val="20"/>
                <w:szCs w:val="20"/>
              </w:rPr>
            </w:pPr>
            <w:r w:rsidRPr="00B32919">
              <w:rPr>
                <w:rFonts w:ascii="Garamond" w:hAnsi="Garamond"/>
                <w:color w:val="000000"/>
                <w:sz w:val="20"/>
                <w:szCs w:val="20"/>
              </w:rPr>
              <w:t>Yes</w:t>
            </w:r>
          </w:p>
        </w:tc>
        <w:tc>
          <w:tcPr>
            <w:tcW w:w="1248" w:type="dxa"/>
            <w:tcBorders>
              <w:top w:val="nil"/>
            </w:tcBorders>
            <w:shd w:val="clear" w:color="auto" w:fill="auto"/>
            <w:noWrap/>
            <w:hideMark/>
          </w:tcPr>
          <w:p w:rsidR="00583BD3" w:rsidRPr="00B32919" w:rsidRDefault="00583BD3" w:rsidP="000727E8">
            <w:pPr>
              <w:jc w:val="center"/>
              <w:rPr>
                <w:rFonts w:ascii="Garamond" w:hAnsi="Garamond"/>
                <w:color w:val="000000"/>
                <w:sz w:val="20"/>
                <w:szCs w:val="20"/>
              </w:rPr>
            </w:pPr>
            <w:r w:rsidRPr="00B32919">
              <w:rPr>
                <w:rFonts w:ascii="Garamond" w:hAnsi="Garamond"/>
                <w:color w:val="000000"/>
                <w:sz w:val="20"/>
                <w:szCs w:val="20"/>
              </w:rPr>
              <w:t>Yes</w:t>
            </w:r>
          </w:p>
        </w:tc>
        <w:tc>
          <w:tcPr>
            <w:tcW w:w="1249" w:type="dxa"/>
            <w:tcBorders>
              <w:top w:val="nil"/>
            </w:tcBorders>
            <w:shd w:val="clear" w:color="auto" w:fill="auto"/>
            <w:noWrap/>
            <w:hideMark/>
          </w:tcPr>
          <w:p w:rsidR="00583BD3" w:rsidRPr="00B32919" w:rsidRDefault="00583BD3" w:rsidP="000727E8">
            <w:pPr>
              <w:jc w:val="center"/>
              <w:rPr>
                <w:rFonts w:ascii="Garamond" w:hAnsi="Garamond"/>
                <w:color w:val="000000"/>
                <w:sz w:val="20"/>
                <w:szCs w:val="20"/>
              </w:rPr>
            </w:pPr>
            <w:r w:rsidRPr="00B32919">
              <w:rPr>
                <w:rFonts w:ascii="Garamond" w:hAnsi="Garamond"/>
                <w:color w:val="000000"/>
                <w:sz w:val="20"/>
                <w:szCs w:val="20"/>
              </w:rPr>
              <w:t>Yes</w:t>
            </w:r>
          </w:p>
        </w:tc>
        <w:tc>
          <w:tcPr>
            <w:tcW w:w="1249" w:type="dxa"/>
            <w:tcBorders>
              <w:top w:val="nil"/>
            </w:tcBorders>
            <w:shd w:val="clear" w:color="auto" w:fill="auto"/>
            <w:noWrap/>
            <w:hideMark/>
          </w:tcPr>
          <w:p w:rsidR="00583BD3" w:rsidRPr="00B32919" w:rsidRDefault="00583BD3" w:rsidP="000727E8">
            <w:pPr>
              <w:jc w:val="center"/>
              <w:rPr>
                <w:rFonts w:ascii="Garamond" w:hAnsi="Garamond"/>
                <w:color w:val="000000"/>
                <w:sz w:val="20"/>
                <w:szCs w:val="20"/>
              </w:rPr>
            </w:pPr>
            <w:r w:rsidRPr="00B32919">
              <w:rPr>
                <w:rFonts w:ascii="Garamond" w:hAnsi="Garamond"/>
                <w:color w:val="000000"/>
                <w:sz w:val="20"/>
                <w:szCs w:val="20"/>
              </w:rPr>
              <w:t>Yes</w:t>
            </w:r>
          </w:p>
        </w:tc>
        <w:tc>
          <w:tcPr>
            <w:tcW w:w="1249" w:type="dxa"/>
            <w:tcBorders>
              <w:top w:val="nil"/>
            </w:tcBorders>
            <w:shd w:val="clear" w:color="auto" w:fill="auto"/>
            <w:noWrap/>
            <w:hideMark/>
          </w:tcPr>
          <w:p w:rsidR="00583BD3" w:rsidRPr="00B32919" w:rsidRDefault="00583BD3" w:rsidP="000727E8">
            <w:pPr>
              <w:jc w:val="center"/>
              <w:rPr>
                <w:rFonts w:ascii="Garamond" w:hAnsi="Garamond"/>
                <w:color w:val="000000"/>
                <w:sz w:val="20"/>
                <w:szCs w:val="20"/>
              </w:rPr>
            </w:pPr>
            <w:r w:rsidRPr="00B32919">
              <w:rPr>
                <w:rFonts w:ascii="Garamond" w:hAnsi="Garamond"/>
                <w:color w:val="000000"/>
                <w:sz w:val="20"/>
                <w:szCs w:val="20"/>
              </w:rPr>
              <w:t>Yes</w:t>
            </w:r>
          </w:p>
        </w:tc>
        <w:tc>
          <w:tcPr>
            <w:tcW w:w="1309" w:type="dxa"/>
            <w:tcBorders>
              <w:top w:val="nil"/>
            </w:tcBorders>
            <w:shd w:val="clear" w:color="auto" w:fill="auto"/>
            <w:noWrap/>
            <w:hideMark/>
          </w:tcPr>
          <w:p w:rsidR="00583BD3" w:rsidRPr="00B32919" w:rsidRDefault="00583BD3" w:rsidP="000727E8">
            <w:pPr>
              <w:jc w:val="center"/>
              <w:rPr>
                <w:rFonts w:ascii="Garamond" w:hAnsi="Garamond"/>
                <w:color w:val="000000"/>
                <w:sz w:val="20"/>
                <w:szCs w:val="20"/>
              </w:rPr>
            </w:pPr>
            <w:r w:rsidRPr="00B32919">
              <w:rPr>
                <w:rFonts w:ascii="Garamond" w:hAnsi="Garamond"/>
                <w:color w:val="000000"/>
                <w:sz w:val="20"/>
                <w:szCs w:val="20"/>
              </w:rPr>
              <w:t>Yes</w:t>
            </w:r>
          </w:p>
        </w:tc>
      </w:tr>
      <w:tr w:rsidR="00583BD3" w:rsidRPr="00B32919" w:rsidTr="000727E8">
        <w:trPr>
          <w:trHeight w:hRule="exact" w:val="255"/>
        </w:trPr>
        <w:tc>
          <w:tcPr>
            <w:tcW w:w="2357" w:type="dxa"/>
            <w:shd w:val="clear" w:color="auto" w:fill="auto"/>
            <w:noWrap/>
          </w:tcPr>
          <w:p w:rsidR="00583BD3" w:rsidRPr="00AC62E9" w:rsidRDefault="00583BD3" w:rsidP="000727E8">
            <w:pPr>
              <w:jc w:val="center"/>
              <w:rPr>
                <w:rFonts w:ascii="Garamond" w:hAnsi="Garamond" w:cs="Calibri"/>
                <w:color w:val="000000" w:themeColor="text1"/>
                <w:sz w:val="20"/>
                <w:szCs w:val="20"/>
              </w:rPr>
            </w:pPr>
            <w:r>
              <w:rPr>
                <w:rFonts w:ascii="Garamond" w:hAnsi="Garamond" w:cs="Calibri"/>
                <w:color w:val="000000" w:themeColor="text1"/>
                <w:sz w:val="20"/>
                <w:szCs w:val="20"/>
              </w:rPr>
              <w:t>Control Variables</w:t>
            </w:r>
          </w:p>
        </w:tc>
        <w:tc>
          <w:tcPr>
            <w:tcW w:w="1250" w:type="dxa"/>
            <w:shd w:val="clear" w:color="auto" w:fill="auto"/>
            <w:noWrap/>
          </w:tcPr>
          <w:p w:rsidR="00583BD3" w:rsidRPr="00B32919" w:rsidRDefault="00583BD3" w:rsidP="000727E8">
            <w:pPr>
              <w:jc w:val="center"/>
              <w:rPr>
                <w:rFonts w:ascii="Garamond" w:hAnsi="Garamond"/>
                <w:color w:val="000000"/>
                <w:sz w:val="20"/>
                <w:szCs w:val="20"/>
              </w:rPr>
            </w:pPr>
            <w:r w:rsidRPr="00B32919">
              <w:rPr>
                <w:rFonts w:ascii="Garamond" w:hAnsi="Garamond"/>
                <w:color w:val="000000"/>
                <w:sz w:val="20"/>
                <w:szCs w:val="20"/>
              </w:rPr>
              <w:t>Yes</w:t>
            </w:r>
          </w:p>
        </w:tc>
        <w:tc>
          <w:tcPr>
            <w:tcW w:w="1248" w:type="dxa"/>
            <w:shd w:val="clear" w:color="auto" w:fill="auto"/>
            <w:noWrap/>
          </w:tcPr>
          <w:p w:rsidR="00583BD3" w:rsidRPr="00B32919" w:rsidRDefault="00583BD3" w:rsidP="000727E8">
            <w:pPr>
              <w:jc w:val="center"/>
              <w:rPr>
                <w:rFonts w:ascii="Garamond" w:hAnsi="Garamond"/>
                <w:color w:val="000000"/>
                <w:sz w:val="20"/>
                <w:szCs w:val="20"/>
              </w:rPr>
            </w:pPr>
            <w:r w:rsidRPr="00B32919">
              <w:rPr>
                <w:rFonts w:ascii="Garamond" w:hAnsi="Garamond"/>
                <w:color w:val="000000"/>
                <w:sz w:val="20"/>
                <w:szCs w:val="20"/>
              </w:rPr>
              <w:t>Yes</w:t>
            </w:r>
          </w:p>
        </w:tc>
        <w:tc>
          <w:tcPr>
            <w:tcW w:w="1249" w:type="dxa"/>
            <w:shd w:val="clear" w:color="auto" w:fill="auto"/>
            <w:noWrap/>
          </w:tcPr>
          <w:p w:rsidR="00583BD3" w:rsidRPr="00B32919" w:rsidRDefault="00583BD3" w:rsidP="000727E8">
            <w:pPr>
              <w:jc w:val="center"/>
              <w:rPr>
                <w:rFonts w:ascii="Garamond" w:hAnsi="Garamond"/>
                <w:color w:val="000000"/>
                <w:sz w:val="20"/>
                <w:szCs w:val="20"/>
              </w:rPr>
            </w:pPr>
            <w:r w:rsidRPr="00B32919">
              <w:rPr>
                <w:rFonts w:ascii="Garamond" w:hAnsi="Garamond"/>
                <w:color w:val="000000"/>
                <w:sz w:val="20"/>
                <w:szCs w:val="20"/>
              </w:rPr>
              <w:t>Yes</w:t>
            </w:r>
          </w:p>
        </w:tc>
        <w:tc>
          <w:tcPr>
            <w:tcW w:w="1249" w:type="dxa"/>
            <w:shd w:val="clear" w:color="auto" w:fill="auto"/>
            <w:noWrap/>
          </w:tcPr>
          <w:p w:rsidR="00583BD3" w:rsidRPr="00B32919" w:rsidRDefault="00583BD3" w:rsidP="000727E8">
            <w:pPr>
              <w:jc w:val="center"/>
              <w:rPr>
                <w:rFonts w:ascii="Garamond" w:hAnsi="Garamond"/>
                <w:color w:val="000000"/>
                <w:sz w:val="20"/>
                <w:szCs w:val="20"/>
              </w:rPr>
            </w:pPr>
            <w:r w:rsidRPr="00B32919">
              <w:rPr>
                <w:rFonts w:ascii="Garamond" w:hAnsi="Garamond"/>
                <w:color w:val="000000"/>
                <w:sz w:val="20"/>
                <w:szCs w:val="20"/>
              </w:rPr>
              <w:t>Yes</w:t>
            </w:r>
          </w:p>
        </w:tc>
        <w:tc>
          <w:tcPr>
            <w:tcW w:w="1249" w:type="dxa"/>
            <w:shd w:val="clear" w:color="auto" w:fill="auto"/>
            <w:noWrap/>
          </w:tcPr>
          <w:p w:rsidR="00583BD3" w:rsidRPr="00B32919" w:rsidRDefault="00583BD3" w:rsidP="000727E8">
            <w:pPr>
              <w:jc w:val="center"/>
              <w:rPr>
                <w:rFonts w:ascii="Garamond" w:hAnsi="Garamond"/>
                <w:color w:val="000000"/>
                <w:sz w:val="20"/>
                <w:szCs w:val="20"/>
              </w:rPr>
            </w:pPr>
            <w:r w:rsidRPr="00B32919">
              <w:rPr>
                <w:rFonts w:ascii="Garamond" w:hAnsi="Garamond"/>
                <w:color w:val="000000"/>
                <w:sz w:val="20"/>
                <w:szCs w:val="20"/>
              </w:rPr>
              <w:t>Yes</w:t>
            </w:r>
          </w:p>
        </w:tc>
        <w:tc>
          <w:tcPr>
            <w:tcW w:w="1309" w:type="dxa"/>
            <w:shd w:val="clear" w:color="auto" w:fill="auto"/>
            <w:noWrap/>
          </w:tcPr>
          <w:p w:rsidR="00583BD3" w:rsidRPr="00B32919" w:rsidRDefault="00583BD3" w:rsidP="000727E8">
            <w:pPr>
              <w:jc w:val="center"/>
              <w:rPr>
                <w:rFonts w:ascii="Garamond" w:hAnsi="Garamond"/>
                <w:color w:val="000000"/>
                <w:sz w:val="20"/>
                <w:szCs w:val="20"/>
              </w:rPr>
            </w:pPr>
            <w:r w:rsidRPr="00B32919">
              <w:rPr>
                <w:rFonts w:ascii="Garamond" w:hAnsi="Garamond"/>
                <w:color w:val="000000"/>
                <w:sz w:val="20"/>
                <w:szCs w:val="20"/>
              </w:rPr>
              <w:t>Yes</w:t>
            </w:r>
          </w:p>
        </w:tc>
      </w:tr>
      <w:tr w:rsidR="00583BD3" w:rsidRPr="00B32919" w:rsidTr="000727E8">
        <w:trPr>
          <w:trHeight w:hRule="exact" w:val="255"/>
        </w:trPr>
        <w:tc>
          <w:tcPr>
            <w:tcW w:w="2357" w:type="dxa"/>
            <w:shd w:val="clear" w:color="auto" w:fill="auto"/>
            <w:noWrap/>
            <w:hideMark/>
          </w:tcPr>
          <w:p w:rsidR="00583BD3" w:rsidRPr="00AC62E9" w:rsidRDefault="00583BD3" w:rsidP="000727E8">
            <w:pPr>
              <w:jc w:val="center"/>
              <w:rPr>
                <w:rFonts w:ascii="Garamond" w:hAnsi="Garamond" w:cs="Calibri"/>
                <w:color w:val="000000" w:themeColor="text1"/>
                <w:sz w:val="20"/>
                <w:szCs w:val="20"/>
              </w:rPr>
            </w:pPr>
            <w:proofErr w:type="spellStart"/>
            <w:r w:rsidRPr="00AC62E9">
              <w:rPr>
                <w:rFonts w:ascii="Garamond" w:hAnsi="Garamond" w:cs="Calibri"/>
                <w:color w:val="000000" w:themeColor="text1"/>
                <w:sz w:val="20"/>
                <w:szCs w:val="20"/>
              </w:rPr>
              <w:t>Adj</w:t>
            </w:r>
            <w:proofErr w:type="spellEnd"/>
            <w:r w:rsidRPr="00AC62E9">
              <w:rPr>
                <w:rFonts w:ascii="Garamond" w:hAnsi="Garamond" w:cs="Calibri"/>
                <w:color w:val="000000" w:themeColor="text1"/>
                <w:sz w:val="20"/>
                <w:szCs w:val="20"/>
              </w:rPr>
              <w:t xml:space="preserve"> R-square</w:t>
            </w:r>
          </w:p>
        </w:tc>
        <w:tc>
          <w:tcPr>
            <w:tcW w:w="1250" w:type="dxa"/>
            <w:shd w:val="clear" w:color="auto" w:fill="auto"/>
            <w:noWrap/>
            <w:vAlign w:val="center"/>
            <w:hideMark/>
          </w:tcPr>
          <w:p w:rsidR="00583BD3" w:rsidRPr="00B32919" w:rsidRDefault="00583BD3" w:rsidP="000727E8">
            <w:pPr>
              <w:jc w:val="center"/>
              <w:rPr>
                <w:rFonts w:ascii="Garamond" w:hAnsi="Garamond"/>
                <w:color w:val="000000"/>
                <w:sz w:val="20"/>
                <w:szCs w:val="20"/>
              </w:rPr>
            </w:pPr>
            <w:r w:rsidRPr="00B32919">
              <w:rPr>
                <w:rFonts w:ascii="Garamond" w:hAnsi="Garamond" w:hint="eastAsia"/>
                <w:color w:val="000000"/>
                <w:sz w:val="20"/>
                <w:szCs w:val="20"/>
              </w:rPr>
              <w:t>0.1892</w:t>
            </w:r>
          </w:p>
        </w:tc>
        <w:tc>
          <w:tcPr>
            <w:tcW w:w="1248" w:type="dxa"/>
            <w:shd w:val="clear" w:color="auto" w:fill="auto"/>
            <w:noWrap/>
            <w:vAlign w:val="center"/>
            <w:hideMark/>
          </w:tcPr>
          <w:p w:rsidR="00583BD3" w:rsidRPr="00B32919" w:rsidRDefault="00583BD3" w:rsidP="000727E8">
            <w:pPr>
              <w:jc w:val="center"/>
              <w:rPr>
                <w:rFonts w:ascii="Garamond" w:hAnsi="Garamond"/>
                <w:color w:val="000000"/>
                <w:sz w:val="20"/>
                <w:szCs w:val="20"/>
              </w:rPr>
            </w:pPr>
            <w:r w:rsidRPr="00B32919">
              <w:rPr>
                <w:rFonts w:ascii="Garamond" w:hAnsi="Garamond" w:hint="eastAsia"/>
                <w:color w:val="000000"/>
                <w:sz w:val="20"/>
                <w:szCs w:val="20"/>
              </w:rPr>
              <w:t>0.1892</w:t>
            </w:r>
          </w:p>
        </w:tc>
        <w:tc>
          <w:tcPr>
            <w:tcW w:w="1249" w:type="dxa"/>
            <w:shd w:val="clear" w:color="auto" w:fill="auto"/>
            <w:noWrap/>
            <w:vAlign w:val="center"/>
            <w:hideMark/>
          </w:tcPr>
          <w:p w:rsidR="00583BD3" w:rsidRPr="00B32919" w:rsidRDefault="00583BD3" w:rsidP="000727E8">
            <w:pPr>
              <w:jc w:val="center"/>
              <w:rPr>
                <w:rFonts w:ascii="Garamond" w:hAnsi="Garamond"/>
                <w:color w:val="000000"/>
                <w:sz w:val="20"/>
                <w:szCs w:val="20"/>
              </w:rPr>
            </w:pPr>
            <w:r w:rsidRPr="00B32919">
              <w:rPr>
                <w:rFonts w:ascii="Garamond" w:hAnsi="Garamond" w:hint="eastAsia"/>
                <w:color w:val="000000"/>
                <w:sz w:val="20"/>
                <w:szCs w:val="20"/>
              </w:rPr>
              <w:t>0.1897</w:t>
            </w:r>
          </w:p>
        </w:tc>
        <w:tc>
          <w:tcPr>
            <w:tcW w:w="1249" w:type="dxa"/>
            <w:shd w:val="clear" w:color="auto" w:fill="auto"/>
            <w:noWrap/>
            <w:vAlign w:val="center"/>
            <w:hideMark/>
          </w:tcPr>
          <w:p w:rsidR="00583BD3" w:rsidRPr="00B32919" w:rsidRDefault="00583BD3" w:rsidP="000727E8">
            <w:pPr>
              <w:jc w:val="center"/>
              <w:rPr>
                <w:rFonts w:ascii="Garamond" w:hAnsi="Garamond"/>
                <w:color w:val="000000"/>
                <w:sz w:val="20"/>
                <w:szCs w:val="20"/>
              </w:rPr>
            </w:pPr>
            <w:r w:rsidRPr="00B32919">
              <w:rPr>
                <w:rFonts w:ascii="Garamond" w:hAnsi="Garamond" w:hint="eastAsia"/>
                <w:color w:val="000000"/>
                <w:sz w:val="20"/>
                <w:szCs w:val="20"/>
              </w:rPr>
              <w:t>0.1890</w:t>
            </w:r>
          </w:p>
        </w:tc>
        <w:tc>
          <w:tcPr>
            <w:tcW w:w="1249" w:type="dxa"/>
            <w:shd w:val="clear" w:color="auto" w:fill="auto"/>
            <w:noWrap/>
            <w:vAlign w:val="center"/>
            <w:hideMark/>
          </w:tcPr>
          <w:p w:rsidR="00583BD3" w:rsidRPr="00B32919" w:rsidRDefault="00583BD3" w:rsidP="000727E8">
            <w:pPr>
              <w:jc w:val="center"/>
              <w:rPr>
                <w:rFonts w:ascii="Garamond" w:hAnsi="Garamond"/>
                <w:color w:val="000000"/>
                <w:sz w:val="20"/>
                <w:szCs w:val="20"/>
              </w:rPr>
            </w:pPr>
            <w:r w:rsidRPr="00B32919">
              <w:rPr>
                <w:rFonts w:ascii="Garamond" w:hAnsi="Garamond" w:hint="eastAsia"/>
                <w:color w:val="000000"/>
                <w:sz w:val="20"/>
                <w:szCs w:val="20"/>
              </w:rPr>
              <w:t>0.1896</w:t>
            </w:r>
          </w:p>
        </w:tc>
        <w:tc>
          <w:tcPr>
            <w:tcW w:w="1309" w:type="dxa"/>
            <w:shd w:val="clear" w:color="auto" w:fill="auto"/>
            <w:noWrap/>
            <w:vAlign w:val="center"/>
            <w:hideMark/>
          </w:tcPr>
          <w:p w:rsidR="00583BD3" w:rsidRPr="00B32919" w:rsidRDefault="00583BD3" w:rsidP="000727E8">
            <w:pPr>
              <w:jc w:val="center"/>
              <w:rPr>
                <w:rFonts w:ascii="Garamond" w:hAnsi="Garamond"/>
                <w:color w:val="000000"/>
                <w:sz w:val="20"/>
                <w:szCs w:val="20"/>
              </w:rPr>
            </w:pPr>
            <w:r w:rsidRPr="00B32919">
              <w:rPr>
                <w:rFonts w:ascii="Garamond" w:hAnsi="Garamond" w:hint="eastAsia"/>
                <w:color w:val="000000"/>
                <w:sz w:val="20"/>
                <w:szCs w:val="20"/>
              </w:rPr>
              <w:t>0.1893</w:t>
            </w:r>
          </w:p>
        </w:tc>
      </w:tr>
      <w:tr w:rsidR="00583BD3" w:rsidRPr="00186F06" w:rsidTr="000727E8">
        <w:trPr>
          <w:trHeight w:hRule="exact" w:val="255"/>
        </w:trPr>
        <w:tc>
          <w:tcPr>
            <w:tcW w:w="2357" w:type="dxa"/>
            <w:shd w:val="clear" w:color="auto" w:fill="auto"/>
            <w:noWrap/>
            <w:hideMark/>
          </w:tcPr>
          <w:p w:rsidR="00583BD3" w:rsidRPr="00AC62E9" w:rsidRDefault="00583BD3" w:rsidP="000727E8">
            <w:pPr>
              <w:jc w:val="center"/>
              <w:rPr>
                <w:rFonts w:ascii="Garamond" w:hAnsi="Garamond" w:cs="Calibri"/>
                <w:color w:val="000000" w:themeColor="text1"/>
                <w:sz w:val="20"/>
                <w:szCs w:val="20"/>
              </w:rPr>
            </w:pPr>
            <w:r w:rsidRPr="00AC62E9">
              <w:rPr>
                <w:rFonts w:ascii="Garamond" w:hAnsi="Garamond" w:cs="Calibri"/>
                <w:color w:val="000000" w:themeColor="text1"/>
                <w:sz w:val="20"/>
                <w:szCs w:val="20"/>
              </w:rPr>
              <w:t>No. of Observation</w:t>
            </w:r>
          </w:p>
        </w:tc>
        <w:tc>
          <w:tcPr>
            <w:tcW w:w="1250" w:type="dxa"/>
            <w:shd w:val="clear" w:color="auto" w:fill="auto"/>
            <w:noWrap/>
            <w:vAlign w:val="bottom"/>
            <w:hideMark/>
          </w:tcPr>
          <w:p w:rsidR="00583BD3" w:rsidRPr="00186F06" w:rsidRDefault="00583BD3" w:rsidP="000727E8">
            <w:pPr>
              <w:jc w:val="center"/>
              <w:rPr>
                <w:rFonts w:ascii="Garamond" w:hAnsi="Garamond" w:cs="Calibri"/>
                <w:color w:val="000000" w:themeColor="text1"/>
                <w:sz w:val="20"/>
                <w:szCs w:val="20"/>
              </w:rPr>
            </w:pPr>
            <w:r w:rsidRPr="00186F06">
              <w:rPr>
                <w:rFonts w:ascii="Garamond" w:hAnsi="Garamond" w:cs="Calibri" w:hint="eastAsia"/>
                <w:color w:val="000000" w:themeColor="text1"/>
                <w:sz w:val="20"/>
                <w:szCs w:val="20"/>
              </w:rPr>
              <w:t>6,118</w:t>
            </w:r>
          </w:p>
        </w:tc>
        <w:tc>
          <w:tcPr>
            <w:tcW w:w="1248" w:type="dxa"/>
            <w:shd w:val="clear" w:color="auto" w:fill="auto"/>
            <w:noWrap/>
            <w:vAlign w:val="bottom"/>
            <w:hideMark/>
          </w:tcPr>
          <w:p w:rsidR="00583BD3" w:rsidRPr="00186F06" w:rsidRDefault="00583BD3" w:rsidP="000727E8">
            <w:pPr>
              <w:jc w:val="center"/>
              <w:rPr>
                <w:rFonts w:ascii="Garamond" w:hAnsi="Garamond" w:cs="Calibri"/>
                <w:color w:val="000000" w:themeColor="text1"/>
                <w:sz w:val="20"/>
                <w:szCs w:val="20"/>
              </w:rPr>
            </w:pPr>
            <w:r w:rsidRPr="00186F06">
              <w:rPr>
                <w:rFonts w:ascii="Garamond" w:hAnsi="Garamond" w:cs="Calibri" w:hint="eastAsia"/>
                <w:color w:val="000000" w:themeColor="text1"/>
                <w:sz w:val="20"/>
                <w:szCs w:val="20"/>
              </w:rPr>
              <w:t>6,118</w:t>
            </w:r>
          </w:p>
        </w:tc>
        <w:tc>
          <w:tcPr>
            <w:tcW w:w="1249" w:type="dxa"/>
            <w:shd w:val="clear" w:color="auto" w:fill="auto"/>
            <w:noWrap/>
            <w:vAlign w:val="bottom"/>
            <w:hideMark/>
          </w:tcPr>
          <w:p w:rsidR="00583BD3" w:rsidRPr="00186F06" w:rsidRDefault="00583BD3" w:rsidP="000727E8">
            <w:pPr>
              <w:jc w:val="center"/>
              <w:rPr>
                <w:rFonts w:ascii="Garamond" w:hAnsi="Garamond" w:cs="Calibri"/>
                <w:color w:val="000000" w:themeColor="text1"/>
                <w:sz w:val="20"/>
                <w:szCs w:val="20"/>
              </w:rPr>
            </w:pPr>
            <w:r w:rsidRPr="00186F06">
              <w:rPr>
                <w:rFonts w:ascii="Garamond" w:hAnsi="Garamond" w:cs="Calibri" w:hint="eastAsia"/>
                <w:color w:val="000000" w:themeColor="text1"/>
                <w:sz w:val="20"/>
                <w:szCs w:val="20"/>
              </w:rPr>
              <w:t>6,118</w:t>
            </w:r>
          </w:p>
        </w:tc>
        <w:tc>
          <w:tcPr>
            <w:tcW w:w="1249" w:type="dxa"/>
            <w:shd w:val="clear" w:color="auto" w:fill="auto"/>
            <w:noWrap/>
            <w:vAlign w:val="bottom"/>
            <w:hideMark/>
          </w:tcPr>
          <w:p w:rsidR="00583BD3" w:rsidRPr="00186F06" w:rsidRDefault="00583BD3" w:rsidP="000727E8">
            <w:pPr>
              <w:jc w:val="center"/>
              <w:rPr>
                <w:rFonts w:ascii="Garamond" w:hAnsi="Garamond" w:cs="Calibri"/>
                <w:color w:val="000000" w:themeColor="text1"/>
                <w:sz w:val="20"/>
                <w:szCs w:val="20"/>
              </w:rPr>
            </w:pPr>
            <w:r w:rsidRPr="00186F06">
              <w:rPr>
                <w:rFonts w:ascii="Garamond" w:hAnsi="Garamond" w:cs="Calibri" w:hint="eastAsia"/>
                <w:color w:val="000000" w:themeColor="text1"/>
                <w:sz w:val="20"/>
                <w:szCs w:val="20"/>
              </w:rPr>
              <w:t>6,118</w:t>
            </w:r>
          </w:p>
        </w:tc>
        <w:tc>
          <w:tcPr>
            <w:tcW w:w="1249" w:type="dxa"/>
            <w:shd w:val="clear" w:color="auto" w:fill="auto"/>
            <w:noWrap/>
            <w:vAlign w:val="bottom"/>
            <w:hideMark/>
          </w:tcPr>
          <w:p w:rsidR="00583BD3" w:rsidRPr="00186F06" w:rsidRDefault="00583BD3" w:rsidP="000727E8">
            <w:pPr>
              <w:jc w:val="center"/>
              <w:rPr>
                <w:rFonts w:ascii="Garamond" w:hAnsi="Garamond" w:cs="Calibri"/>
                <w:color w:val="000000" w:themeColor="text1"/>
                <w:sz w:val="20"/>
                <w:szCs w:val="20"/>
              </w:rPr>
            </w:pPr>
            <w:r w:rsidRPr="00186F06">
              <w:rPr>
                <w:rFonts w:ascii="Garamond" w:hAnsi="Garamond" w:cs="Calibri" w:hint="eastAsia"/>
                <w:color w:val="000000" w:themeColor="text1"/>
                <w:sz w:val="20"/>
                <w:szCs w:val="20"/>
              </w:rPr>
              <w:t>6,118</w:t>
            </w:r>
          </w:p>
        </w:tc>
        <w:tc>
          <w:tcPr>
            <w:tcW w:w="1309" w:type="dxa"/>
            <w:shd w:val="clear" w:color="auto" w:fill="auto"/>
            <w:noWrap/>
            <w:vAlign w:val="bottom"/>
            <w:hideMark/>
          </w:tcPr>
          <w:p w:rsidR="00583BD3" w:rsidRPr="00186F06" w:rsidRDefault="00583BD3" w:rsidP="000727E8">
            <w:pPr>
              <w:jc w:val="center"/>
              <w:rPr>
                <w:rFonts w:ascii="Garamond" w:hAnsi="Garamond" w:cs="Calibri"/>
                <w:color w:val="000000" w:themeColor="text1"/>
                <w:sz w:val="20"/>
                <w:szCs w:val="20"/>
              </w:rPr>
            </w:pPr>
            <w:r w:rsidRPr="00186F06">
              <w:rPr>
                <w:rFonts w:ascii="Garamond" w:hAnsi="Garamond" w:cs="Calibri" w:hint="eastAsia"/>
                <w:color w:val="000000" w:themeColor="text1"/>
                <w:sz w:val="20"/>
                <w:szCs w:val="20"/>
              </w:rPr>
              <w:t>6,118</w:t>
            </w:r>
          </w:p>
        </w:tc>
      </w:tr>
      <w:tr w:rsidR="00583BD3" w:rsidRPr="009F5309" w:rsidTr="000727E8">
        <w:trPr>
          <w:trHeight w:hRule="exact" w:val="255"/>
        </w:trPr>
        <w:tc>
          <w:tcPr>
            <w:tcW w:w="2357" w:type="dxa"/>
            <w:shd w:val="clear" w:color="auto" w:fill="auto"/>
            <w:noWrap/>
            <w:hideMark/>
          </w:tcPr>
          <w:p w:rsidR="00583BD3" w:rsidRPr="00AC62E9" w:rsidRDefault="00583BD3" w:rsidP="000727E8">
            <w:pPr>
              <w:jc w:val="center"/>
              <w:rPr>
                <w:rFonts w:ascii="Garamond" w:hAnsi="Garamond" w:cs="Calibri"/>
                <w:color w:val="000000" w:themeColor="text1"/>
                <w:sz w:val="20"/>
                <w:szCs w:val="20"/>
              </w:rPr>
            </w:pPr>
            <w:r w:rsidRPr="00AC62E9">
              <w:rPr>
                <w:rFonts w:ascii="Garamond" w:hAnsi="Garamond" w:cs="Calibri"/>
                <w:color w:val="000000" w:themeColor="text1"/>
                <w:sz w:val="20"/>
                <w:szCs w:val="20"/>
              </w:rPr>
              <w:t>No. of Female C</w:t>
            </w:r>
            <w:r w:rsidR="008B4640">
              <w:rPr>
                <w:rFonts w:ascii="Garamond" w:hAnsi="Garamond" w:cs="Calibri"/>
                <w:color w:val="000000" w:themeColor="text1"/>
                <w:sz w:val="20"/>
                <w:szCs w:val="20"/>
              </w:rPr>
              <w:t>F</w:t>
            </w:r>
            <w:r w:rsidRPr="00AC62E9">
              <w:rPr>
                <w:rFonts w:ascii="Garamond" w:hAnsi="Garamond" w:cs="Calibri"/>
                <w:color w:val="000000" w:themeColor="text1"/>
                <w:sz w:val="20"/>
                <w:szCs w:val="20"/>
              </w:rPr>
              <w:t>Os</w:t>
            </w:r>
          </w:p>
        </w:tc>
        <w:tc>
          <w:tcPr>
            <w:tcW w:w="1250" w:type="dxa"/>
            <w:shd w:val="clear" w:color="auto" w:fill="auto"/>
            <w:noWrap/>
            <w:vAlign w:val="center"/>
            <w:hideMark/>
          </w:tcPr>
          <w:p w:rsidR="00583BD3" w:rsidRPr="00AC62E9" w:rsidRDefault="00583BD3" w:rsidP="000727E8">
            <w:pPr>
              <w:jc w:val="center"/>
              <w:rPr>
                <w:rFonts w:ascii="Garamond" w:hAnsi="Garamond" w:cs="Calibri"/>
                <w:color w:val="000000" w:themeColor="text1"/>
                <w:sz w:val="20"/>
                <w:szCs w:val="20"/>
              </w:rPr>
            </w:pPr>
            <w:r w:rsidRPr="00AC62E9">
              <w:rPr>
                <w:rFonts w:ascii="Garamond" w:hAnsi="Garamond"/>
                <w:color w:val="000000"/>
                <w:sz w:val="20"/>
                <w:szCs w:val="20"/>
              </w:rPr>
              <w:t>316</w:t>
            </w:r>
          </w:p>
        </w:tc>
        <w:tc>
          <w:tcPr>
            <w:tcW w:w="1248" w:type="dxa"/>
            <w:shd w:val="clear" w:color="auto" w:fill="auto"/>
            <w:noWrap/>
            <w:vAlign w:val="center"/>
            <w:hideMark/>
          </w:tcPr>
          <w:p w:rsidR="00583BD3" w:rsidRPr="00AC62E9" w:rsidRDefault="00583BD3" w:rsidP="000727E8">
            <w:pPr>
              <w:jc w:val="center"/>
              <w:rPr>
                <w:rFonts w:ascii="Garamond" w:hAnsi="Garamond" w:cs="Calibri"/>
                <w:color w:val="000000" w:themeColor="text1"/>
                <w:sz w:val="20"/>
                <w:szCs w:val="20"/>
              </w:rPr>
            </w:pPr>
            <w:r w:rsidRPr="00AC62E9">
              <w:rPr>
                <w:rFonts w:ascii="Garamond" w:hAnsi="Garamond"/>
                <w:color w:val="000000"/>
                <w:sz w:val="20"/>
                <w:szCs w:val="20"/>
              </w:rPr>
              <w:t>316</w:t>
            </w:r>
          </w:p>
        </w:tc>
        <w:tc>
          <w:tcPr>
            <w:tcW w:w="1249" w:type="dxa"/>
            <w:shd w:val="clear" w:color="auto" w:fill="auto"/>
            <w:noWrap/>
            <w:vAlign w:val="center"/>
            <w:hideMark/>
          </w:tcPr>
          <w:p w:rsidR="00583BD3" w:rsidRPr="00AC62E9" w:rsidRDefault="00583BD3" w:rsidP="000727E8">
            <w:pPr>
              <w:jc w:val="center"/>
              <w:rPr>
                <w:rFonts w:ascii="Garamond" w:hAnsi="Garamond" w:cs="Calibri"/>
                <w:color w:val="000000" w:themeColor="text1"/>
                <w:sz w:val="20"/>
                <w:szCs w:val="20"/>
              </w:rPr>
            </w:pPr>
            <w:r w:rsidRPr="00AC62E9">
              <w:rPr>
                <w:rFonts w:ascii="Garamond" w:hAnsi="Garamond"/>
                <w:color w:val="000000"/>
                <w:sz w:val="20"/>
                <w:szCs w:val="20"/>
              </w:rPr>
              <w:t>316</w:t>
            </w:r>
          </w:p>
        </w:tc>
        <w:tc>
          <w:tcPr>
            <w:tcW w:w="1249" w:type="dxa"/>
            <w:shd w:val="clear" w:color="auto" w:fill="auto"/>
            <w:noWrap/>
            <w:vAlign w:val="center"/>
            <w:hideMark/>
          </w:tcPr>
          <w:p w:rsidR="00583BD3" w:rsidRPr="00AC62E9" w:rsidRDefault="00583BD3" w:rsidP="000727E8">
            <w:pPr>
              <w:jc w:val="center"/>
              <w:rPr>
                <w:rFonts w:ascii="Garamond" w:hAnsi="Garamond" w:cs="Calibri"/>
                <w:color w:val="000000" w:themeColor="text1"/>
                <w:sz w:val="20"/>
                <w:szCs w:val="20"/>
              </w:rPr>
            </w:pPr>
            <w:r w:rsidRPr="00AC62E9">
              <w:rPr>
                <w:rFonts w:ascii="Garamond" w:hAnsi="Garamond"/>
                <w:color w:val="000000"/>
                <w:sz w:val="20"/>
                <w:szCs w:val="20"/>
              </w:rPr>
              <w:t>316</w:t>
            </w:r>
          </w:p>
        </w:tc>
        <w:tc>
          <w:tcPr>
            <w:tcW w:w="1249" w:type="dxa"/>
            <w:shd w:val="clear" w:color="auto" w:fill="auto"/>
            <w:noWrap/>
            <w:vAlign w:val="center"/>
            <w:hideMark/>
          </w:tcPr>
          <w:p w:rsidR="00583BD3" w:rsidRPr="00AC62E9" w:rsidRDefault="00583BD3" w:rsidP="000727E8">
            <w:pPr>
              <w:jc w:val="center"/>
              <w:rPr>
                <w:rFonts w:ascii="Garamond" w:hAnsi="Garamond" w:cs="Calibri"/>
                <w:color w:val="000000" w:themeColor="text1"/>
                <w:sz w:val="20"/>
                <w:szCs w:val="20"/>
              </w:rPr>
            </w:pPr>
            <w:r w:rsidRPr="00AC62E9">
              <w:rPr>
                <w:rFonts w:ascii="Garamond" w:hAnsi="Garamond"/>
                <w:color w:val="000000"/>
                <w:sz w:val="20"/>
                <w:szCs w:val="20"/>
              </w:rPr>
              <w:t>316</w:t>
            </w:r>
          </w:p>
        </w:tc>
        <w:tc>
          <w:tcPr>
            <w:tcW w:w="1309" w:type="dxa"/>
            <w:shd w:val="clear" w:color="auto" w:fill="auto"/>
            <w:noWrap/>
            <w:vAlign w:val="center"/>
            <w:hideMark/>
          </w:tcPr>
          <w:p w:rsidR="00583BD3" w:rsidRPr="00AC62E9" w:rsidRDefault="00583BD3" w:rsidP="000727E8">
            <w:pPr>
              <w:jc w:val="center"/>
              <w:rPr>
                <w:rFonts w:ascii="Garamond" w:hAnsi="Garamond" w:cs="Calibri"/>
                <w:color w:val="000000" w:themeColor="text1"/>
                <w:sz w:val="20"/>
                <w:szCs w:val="20"/>
              </w:rPr>
            </w:pPr>
            <w:r w:rsidRPr="00AC62E9">
              <w:rPr>
                <w:rFonts w:ascii="Garamond" w:hAnsi="Garamond"/>
                <w:color w:val="000000"/>
                <w:sz w:val="20"/>
                <w:szCs w:val="20"/>
              </w:rPr>
              <w:t>316</w:t>
            </w:r>
          </w:p>
        </w:tc>
      </w:tr>
      <w:tr w:rsidR="00583BD3" w:rsidRPr="009F5309" w:rsidTr="000727E8">
        <w:trPr>
          <w:trHeight w:hRule="exact" w:val="255"/>
        </w:trPr>
        <w:tc>
          <w:tcPr>
            <w:tcW w:w="2357" w:type="dxa"/>
            <w:shd w:val="clear" w:color="auto" w:fill="auto"/>
            <w:noWrap/>
            <w:hideMark/>
          </w:tcPr>
          <w:p w:rsidR="00583BD3" w:rsidRPr="00AC62E9" w:rsidRDefault="00583BD3" w:rsidP="000727E8">
            <w:pPr>
              <w:jc w:val="center"/>
              <w:rPr>
                <w:rFonts w:ascii="Garamond" w:hAnsi="Garamond" w:cs="Calibri"/>
                <w:color w:val="000000" w:themeColor="text1"/>
                <w:sz w:val="20"/>
                <w:szCs w:val="20"/>
              </w:rPr>
            </w:pPr>
            <w:r>
              <w:rPr>
                <w:rFonts w:ascii="Garamond" w:hAnsi="Garamond" w:cs="Calibri"/>
                <w:color w:val="000000" w:themeColor="text1"/>
                <w:sz w:val="20"/>
                <w:szCs w:val="20"/>
              </w:rPr>
              <w:t>Average Leverage</w:t>
            </w:r>
          </w:p>
        </w:tc>
        <w:tc>
          <w:tcPr>
            <w:tcW w:w="1250" w:type="dxa"/>
            <w:shd w:val="clear" w:color="auto" w:fill="auto"/>
            <w:noWrap/>
            <w:vAlign w:val="center"/>
            <w:hideMark/>
          </w:tcPr>
          <w:p w:rsidR="00583BD3" w:rsidRPr="00186F06" w:rsidRDefault="00583BD3" w:rsidP="000727E8">
            <w:pPr>
              <w:jc w:val="center"/>
              <w:rPr>
                <w:rFonts w:ascii="Garamond" w:hAnsi="Garamond" w:cs="Calibri"/>
                <w:color w:val="000000" w:themeColor="text1"/>
                <w:sz w:val="20"/>
                <w:szCs w:val="20"/>
              </w:rPr>
            </w:pPr>
            <w:r w:rsidRPr="00186F06">
              <w:rPr>
                <w:rFonts w:ascii="Garamond" w:hAnsi="Garamond" w:cs="Calibri" w:hint="eastAsia"/>
                <w:color w:val="000000" w:themeColor="text1"/>
                <w:sz w:val="20"/>
                <w:szCs w:val="20"/>
              </w:rPr>
              <w:t>0.1893</w:t>
            </w:r>
          </w:p>
        </w:tc>
        <w:tc>
          <w:tcPr>
            <w:tcW w:w="1248" w:type="dxa"/>
            <w:shd w:val="clear" w:color="auto" w:fill="auto"/>
            <w:noWrap/>
            <w:vAlign w:val="center"/>
            <w:hideMark/>
          </w:tcPr>
          <w:p w:rsidR="00583BD3" w:rsidRPr="00186F06" w:rsidRDefault="00583BD3" w:rsidP="000727E8">
            <w:pPr>
              <w:jc w:val="center"/>
              <w:rPr>
                <w:rFonts w:ascii="Garamond" w:hAnsi="Garamond" w:cs="Calibri"/>
                <w:color w:val="000000" w:themeColor="text1"/>
                <w:sz w:val="20"/>
                <w:szCs w:val="20"/>
              </w:rPr>
            </w:pPr>
            <w:r w:rsidRPr="00186F06">
              <w:rPr>
                <w:rFonts w:ascii="Garamond" w:hAnsi="Garamond" w:cs="Calibri" w:hint="eastAsia"/>
                <w:color w:val="000000" w:themeColor="text1"/>
                <w:sz w:val="20"/>
                <w:szCs w:val="20"/>
              </w:rPr>
              <w:t>0.1893</w:t>
            </w:r>
          </w:p>
        </w:tc>
        <w:tc>
          <w:tcPr>
            <w:tcW w:w="1249" w:type="dxa"/>
            <w:shd w:val="clear" w:color="auto" w:fill="auto"/>
            <w:noWrap/>
            <w:vAlign w:val="center"/>
            <w:hideMark/>
          </w:tcPr>
          <w:p w:rsidR="00583BD3" w:rsidRPr="00186F06" w:rsidRDefault="00583BD3" w:rsidP="000727E8">
            <w:pPr>
              <w:jc w:val="center"/>
              <w:rPr>
                <w:rFonts w:ascii="Garamond" w:hAnsi="Garamond" w:cs="Calibri"/>
                <w:color w:val="000000" w:themeColor="text1"/>
                <w:sz w:val="20"/>
                <w:szCs w:val="20"/>
              </w:rPr>
            </w:pPr>
            <w:r w:rsidRPr="00186F06">
              <w:rPr>
                <w:rFonts w:ascii="Garamond" w:hAnsi="Garamond" w:cs="Calibri" w:hint="eastAsia"/>
                <w:color w:val="000000" w:themeColor="text1"/>
                <w:sz w:val="20"/>
                <w:szCs w:val="20"/>
              </w:rPr>
              <w:t>0.1893</w:t>
            </w:r>
          </w:p>
        </w:tc>
        <w:tc>
          <w:tcPr>
            <w:tcW w:w="1249" w:type="dxa"/>
            <w:shd w:val="clear" w:color="auto" w:fill="auto"/>
            <w:noWrap/>
            <w:vAlign w:val="center"/>
            <w:hideMark/>
          </w:tcPr>
          <w:p w:rsidR="00583BD3" w:rsidRPr="00186F06" w:rsidRDefault="00583BD3" w:rsidP="000727E8">
            <w:pPr>
              <w:jc w:val="center"/>
              <w:rPr>
                <w:rFonts w:ascii="Garamond" w:hAnsi="Garamond" w:cs="Calibri"/>
                <w:color w:val="000000" w:themeColor="text1"/>
                <w:sz w:val="20"/>
                <w:szCs w:val="20"/>
              </w:rPr>
            </w:pPr>
            <w:r w:rsidRPr="00186F06">
              <w:rPr>
                <w:rFonts w:ascii="Garamond" w:hAnsi="Garamond" w:cs="Calibri" w:hint="eastAsia"/>
                <w:color w:val="000000" w:themeColor="text1"/>
                <w:sz w:val="20"/>
                <w:szCs w:val="20"/>
              </w:rPr>
              <w:t>0.1893</w:t>
            </w:r>
          </w:p>
        </w:tc>
        <w:tc>
          <w:tcPr>
            <w:tcW w:w="1249" w:type="dxa"/>
            <w:shd w:val="clear" w:color="auto" w:fill="auto"/>
            <w:noWrap/>
            <w:vAlign w:val="center"/>
            <w:hideMark/>
          </w:tcPr>
          <w:p w:rsidR="00583BD3" w:rsidRPr="00186F06" w:rsidRDefault="00583BD3" w:rsidP="000727E8">
            <w:pPr>
              <w:jc w:val="center"/>
              <w:rPr>
                <w:rFonts w:ascii="Garamond" w:hAnsi="Garamond" w:cs="Calibri"/>
                <w:color w:val="000000" w:themeColor="text1"/>
                <w:sz w:val="20"/>
                <w:szCs w:val="20"/>
              </w:rPr>
            </w:pPr>
            <w:r w:rsidRPr="00186F06">
              <w:rPr>
                <w:rFonts w:ascii="Garamond" w:hAnsi="Garamond" w:cs="Calibri" w:hint="eastAsia"/>
                <w:color w:val="000000" w:themeColor="text1"/>
                <w:sz w:val="20"/>
                <w:szCs w:val="20"/>
              </w:rPr>
              <w:t>0.1893</w:t>
            </w:r>
          </w:p>
        </w:tc>
        <w:tc>
          <w:tcPr>
            <w:tcW w:w="1309" w:type="dxa"/>
            <w:shd w:val="clear" w:color="auto" w:fill="auto"/>
            <w:noWrap/>
            <w:vAlign w:val="center"/>
            <w:hideMark/>
          </w:tcPr>
          <w:p w:rsidR="00583BD3" w:rsidRPr="00186F06" w:rsidRDefault="00583BD3" w:rsidP="000727E8">
            <w:pPr>
              <w:jc w:val="center"/>
              <w:rPr>
                <w:rFonts w:ascii="Garamond" w:hAnsi="Garamond" w:cs="Calibri"/>
                <w:color w:val="000000" w:themeColor="text1"/>
                <w:sz w:val="20"/>
                <w:szCs w:val="20"/>
              </w:rPr>
            </w:pPr>
            <w:r w:rsidRPr="00186F06">
              <w:rPr>
                <w:rFonts w:ascii="Garamond" w:hAnsi="Garamond" w:cs="Calibri" w:hint="eastAsia"/>
                <w:color w:val="000000" w:themeColor="text1"/>
                <w:sz w:val="20"/>
                <w:szCs w:val="20"/>
              </w:rPr>
              <w:t>0.1893</w:t>
            </w:r>
          </w:p>
        </w:tc>
      </w:tr>
    </w:tbl>
    <w:p w:rsidR="00583BD3" w:rsidRDefault="00583BD3" w:rsidP="00583BD3">
      <w:pPr>
        <w:jc w:val="both"/>
        <w:rPr>
          <w:rFonts w:ascii="Garamond" w:hAnsi="Garamond"/>
          <w:b/>
          <w:color w:val="000000" w:themeColor="text1"/>
          <w:sz w:val="20"/>
        </w:rPr>
      </w:pPr>
    </w:p>
    <w:p w:rsidR="00583BD3" w:rsidRDefault="00583BD3" w:rsidP="00583BD3">
      <w:pPr>
        <w:jc w:val="both"/>
        <w:rPr>
          <w:rFonts w:ascii="Garamond" w:hAnsi="Garamond"/>
          <w:b/>
          <w:color w:val="000000" w:themeColor="text1"/>
          <w:sz w:val="20"/>
        </w:rPr>
      </w:pPr>
    </w:p>
    <w:p w:rsidR="00583BD3" w:rsidRDefault="00583BD3" w:rsidP="00583BD3">
      <w:pPr>
        <w:jc w:val="both"/>
        <w:rPr>
          <w:rFonts w:ascii="Garamond" w:hAnsi="Garamond"/>
          <w:b/>
          <w:color w:val="000000" w:themeColor="text1"/>
          <w:sz w:val="20"/>
        </w:rPr>
      </w:pPr>
    </w:p>
    <w:p w:rsidR="00583BD3" w:rsidRDefault="00583BD3" w:rsidP="00583BD3">
      <w:pPr>
        <w:rPr>
          <w:rFonts w:ascii="Garamond" w:hAnsi="Garamond"/>
          <w:b/>
          <w:color w:val="000000" w:themeColor="text1"/>
          <w:sz w:val="20"/>
        </w:rPr>
      </w:pPr>
      <w:r>
        <w:rPr>
          <w:rFonts w:ascii="Garamond" w:hAnsi="Garamond"/>
          <w:b/>
          <w:color w:val="000000" w:themeColor="text1"/>
          <w:sz w:val="20"/>
        </w:rPr>
        <w:br w:type="page"/>
      </w:r>
    </w:p>
    <w:p w:rsidR="00583BD3" w:rsidRPr="007A1B7E" w:rsidRDefault="00583BD3" w:rsidP="00583BD3">
      <w:pPr>
        <w:jc w:val="both"/>
        <w:rPr>
          <w:rFonts w:ascii="Garamond" w:hAnsi="Garamond"/>
          <w:b/>
          <w:color w:val="000000" w:themeColor="text1"/>
          <w:sz w:val="20"/>
        </w:rPr>
      </w:pPr>
      <w:r w:rsidRPr="000166C6">
        <w:rPr>
          <w:rFonts w:ascii="Garamond" w:hAnsi="Garamond"/>
          <w:b/>
          <w:color w:val="000000" w:themeColor="text1"/>
          <w:sz w:val="20"/>
        </w:rPr>
        <w:lastRenderedPageBreak/>
        <w:t>Table 1</w:t>
      </w:r>
      <w:r>
        <w:rPr>
          <w:rFonts w:ascii="Garamond" w:hAnsi="Garamond"/>
          <w:b/>
          <w:color w:val="000000" w:themeColor="text1"/>
          <w:sz w:val="20"/>
        </w:rPr>
        <w:t>5: Change in Leverage</w:t>
      </w:r>
    </w:p>
    <w:p w:rsidR="00583BD3" w:rsidRPr="00DC3DCD" w:rsidRDefault="00583BD3" w:rsidP="00583BD3">
      <w:pPr>
        <w:jc w:val="both"/>
        <w:rPr>
          <w:rFonts w:ascii="Garamond" w:hAnsi="Garamond"/>
          <w:color w:val="000000" w:themeColor="text1"/>
          <w:sz w:val="20"/>
        </w:rPr>
      </w:pPr>
      <w:r>
        <w:rPr>
          <w:rFonts w:ascii="Garamond" w:hAnsi="Garamond"/>
          <w:color w:val="000000" w:themeColor="text1"/>
          <w:sz w:val="20"/>
        </w:rPr>
        <w:t>This table</w:t>
      </w:r>
      <w:r w:rsidRPr="0027464C">
        <w:rPr>
          <w:rFonts w:ascii="Garamond" w:hAnsi="Garamond"/>
          <w:color w:val="000000" w:themeColor="text1"/>
          <w:sz w:val="20"/>
        </w:rPr>
        <w:t xml:space="preserve"> presents the regression results for female </w:t>
      </w:r>
      <w:proofErr w:type="spellStart"/>
      <w:r w:rsidRPr="0027464C">
        <w:rPr>
          <w:rFonts w:ascii="Garamond" w:hAnsi="Garamond"/>
          <w:color w:val="000000" w:themeColor="text1"/>
          <w:sz w:val="20"/>
        </w:rPr>
        <w:t>CFO</w:t>
      </w:r>
      <w:r>
        <w:rPr>
          <w:rFonts w:ascii="Garamond" w:hAnsi="Garamond"/>
          <w:color w:val="000000" w:themeColor="text1"/>
          <w:sz w:val="20"/>
        </w:rPr>
        <w:t>s’</w:t>
      </w:r>
      <w:proofErr w:type="spellEnd"/>
      <w:r w:rsidRPr="0027464C">
        <w:rPr>
          <w:rFonts w:ascii="Garamond" w:hAnsi="Garamond"/>
          <w:color w:val="000000" w:themeColor="text1"/>
          <w:sz w:val="20"/>
        </w:rPr>
        <w:t xml:space="preserve"> influence on </w:t>
      </w:r>
      <w:r>
        <w:rPr>
          <w:rFonts w:ascii="Garamond" w:hAnsi="Garamond"/>
          <w:color w:val="000000" w:themeColor="text1"/>
          <w:sz w:val="20"/>
        </w:rPr>
        <w:t xml:space="preserve">the change in </w:t>
      </w:r>
      <w:r w:rsidRPr="0027464C">
        <w:rPr>
          <w:rFonts w:ascii="Garamond" w:hAnsi="Garamond"/>
          <w:color w:val="000000" w:themeColor="text1"/>
          <w:sz w:val="20"/>
        </w:rPr>
        <w:t xml:space="preserve">leverage </w:t>
      </w:r>
      <w:r>
        <w:rPr>
          <w:rFonts w:ascii="Garamond" w:hAnsi="Garamond"/>
          <w:color w:val="000000" w:themeColor="text1"/>
          <w:sz w:val="20"/>
        </w:rPr>
        <w:t>over the period 1999-</w:t>
      </w:r>
      <w:r w:rsidR="00501547">
        <w:rPr>
          <w:rFonts w:ascii="Garamond" w:hAnsi="Garamond"/>
          <w:color w:val="000000" w:themeColor="text1"/>
          <w:sz w:val="20"/>
        </w:rPr>
        <w:t>2017</w:t>
      </w:r>
      <w:r>
        <w:rPr>
          <w:rFonts w:ascii="Garamond" w:hAnsi="Garamond"/>
          <w:color w:val="000000" w:themeColor="text1"/>
          <w:sz w:val="20"/>
        </w:rPr>
        <w:t>. The dependent variable is the change in leverage</w:t>
      </w:r>
      <w:r w:rsidRPr="0027464C">
        <w:rPr>
          <w:rFonts w:ascii="Garamond" w:hAnsi="Garamond"/>
          <w:color w:val="000000" w:themeColor="text1"/>
          <w:sz w:val="20"/>
        </w:rPr>
        <w:t xml:space="preserve">. </w:t>
      </w:r>
      <w:proofErr w:type="gramStart"/>
      <w:r w:rsidRPr="00D0508D">
        <w:rPr>
          <w:rFonts w:ascii="Garamond" w:hAnsi="Garamond"/>
          <w:i/>
          <w:color w:val="000000" w:themeColor="text1"/>
          <w:sz w:val="20"/>
        </w:rPr>
        <w:t>t</w:t>
      </w:r>
      <w:r w:rsidRPr="0027464C">
        <w:rPr>
          <w:rFonts w:ascii="Garamond" w:hAnsi="Garamond"/>
          <w:color w:val="000000" w:themeColor="text1"/>
          <w:sz w:val="20"/>
        </w:rPr>
        <w:t>-statistics</w:t>
      </w:r>
      <w:proofErr w:type="gramEnd"/>
      <w:r w:rsidRPr="0027464C">
        <w:rPr>
          <w:rFonts w:ascii="Garamond" w:hAnsi="Garamond"/>
          <w:color w:val="000000" w:themeColor="text1"/>
          <w:sz w:val="20"/>
        </w:rPr>
        <w:t xml:space="preserve"> are reported in parentheses and ***, ** and * indicate significance at the 1%, 5% and 10% level respectively. Standard errors are clustered at firm level.</w:t>
      </w:r>
    </w:p>
    <w:tbl>
      <w:tblPr>
        <w:tblW w:w="9747" w:type="dxa"/>
        <w:tblLook w:val="04A0"/>
      </w:tblPr>
      <w:tblGrid>
        <w:gridCol w:w="2842"/>
        <w:gridCol w:w="1145"/>
        <w:gridCol w:w="1145"/>
        <w:gridCol w:w="1238"/>
        <w:gridCol w:w="1145"/>
        <w:gridCol w:w="1238"/>
        <w:gridCol w:w="994"/>
      </w:tblGrid>
      <w:tr w:rsidR="00583BD3" w:rsidRPr="004F6D3F" w:rsidTr="000727E8">
        <w:trPr>
          <w:trHeight w:hRule="exact" w:val="255"/>
        </w:trPr>
        <w:tc>
          <w:tcPr>
            <w:tcW w:w="0" w:type="auto"/>
            <w:tcBorders>
              <w:top w:val="single" w:sz="4" w:space="0" w:color="auto"/>
              <w:left w:val="nil"/>
              <w:bottom w:val="single" w:sz="4" w:space="0" w:color="auto"/>
              <w:right w:val="nil"/>
            </w:tcBorders>
            <w:shd w:val="clear" w:color="auto" w:fill="auto"/>
            <w:noWrap/>
            <w:hideMark/>
          </w:tcPr>
          <w:p w:rsidR="00583BD3" w:rsidRPr="004F6D3F" w:rsidRDefault="00583BD3" w:rsidP="000727E8">
            <w:pPr>
              <w:rPr>
                <w:rFonts w:ascii="Garamond" w:hAnsi="Garamond"/>
                <w:sz w:val="20"/>
                <w:szCs w:val="20"/>
              </w:rPr>
            </w:pPr>
          </w:p>
        </w:tc>
        <w:tc>
          <w:tcPr>
            <w:tcW w:w="0" w:type="auto"/>
            <w:tcBorders>
              <w:top w:val="single" w:sz="4" w:space="0" w:color="auto"/>
              <w:left w:val="nil"/>
              <w:bottom w:val="single" w:sz="4" w:space="0" w:color="auto"/>
              <w:right w:val="nil"/>
            </w:tcBorders>
            <w:shd w:val="clear" w:color="auto" w:fill="auto"/>
            <w:noWrap/>
            <w:hideMark/>
          </w:tcPr>
          <w:p w:rsidR="00583BD3" w:rsidRPr="004F6D3F" w:rsidRDefault="00583BD3" w:rsidP="000727E8">
            <w:pPr>
              <w:jc w:val="center"/>
              <w:rPr>
                <w:rFonts w:ascii="Garamond" w:hAnsi="Garamond" w:cs="Calibri"/>
                <w:color w:val="000000"/>
                <w:sz w:val="20"/>
                <w:szCs w:val="20"/>
              </w:rPr>
            </w:pPr>
            <w:r w:rsidRPr="004F6D3F">
              <w:rPr>
                <w:rFonts w:ascii="Garamond" w:hAnsi="Garamond" w:cs="Calibri"/>
                <w:color w:val="000000"/>
                <w:sz w:val="20"/>
                <w:szCs w:val="20"/>
              </w:rPr>
              <w:t>(1)</w:t>
            </w:r>
          </w:p>
        </w:tc>
        <w:tc>
          <w:tcPr>
            <w:tcW w:w="0" w:type="auto"/>
            <w:tcBorders>
              <w:top w:val="single" w:sz="4" w:space="0" w:color="auto"/>
              <w:left w:val="nil"/>
              <w:bottom w:val="single" w:sz="4" w:space="0" w:color="auto"/>
              <w:right w:val="nil"/>
            </w:tcBorders>
            <w:shd w:val="clear" w:color="auto" w:fill="auto"/>
            <w:noWrap/>
            <w:hideMark/>
          </w:tcPr>
          <w:p w:rsidR="00583BD3" w:rsidRPr="004F6D3F" w:rsidRDefault="00583BD3" w:rsidP="000727E8">
            <w:pPr>
              <w:jc w:val="center"/>
              <w:rPr>
                <w:rFonts w:ascii="Garamond" w:hAnsi="Garamond" w:cs="Calibri"/>
                <w:color w:val="000000"/>
                <w:sz w:val="20"/>
                <w:szCs w:val="20"/>
              </w:rPr>
            </w:pPr>
            <w:r w:rsidRPr="004F6D3F">
              <w:rPr>
                <w:rFonts w:ascii="Garamond" w:hAnsi="Garamond" w:cs="Calibri"/>
                <w:color w:val="000000"/>
                <w:sz w:val="20"/>
                <w:szCs w:val="20"/>
              </w:rPr>
              <w:t>(2)</w:t>
            </w:r>
          </w:p>
        </w:tc>
        <w:tc>
          <w:tcPr>
            <w:tcW w:w="0" w:type="auto"/>
            <w:tcBorders>
              <w:top w:val="single" w:sz="4" w:space="0" w:color="auto"/>
              <w:left w:val="nil"/>
              <w:bottom w:val="single" w:sz="4" w:space="0" w:color="auto"/>
              <w:right w:val="nil"/>
            </w:tcBorders>
            <w:shd w:val="clear" w:color="auto" w:fill="auto"/>
            <w:noWrap/>
            <w:hideMark/>
          </w:tcPr>
          <w:p w:rsidR="00583BD3" w:rsidRPr="004F6D3F" w:rsidRDefault="00583BD3" w:rsidP="000727E8">
            <w:pPr>
              <w:jc w:val="center"/>
              <w:rPr>
                <w:rFonts w:ascii="Garamond" w:hAnsi="Garamond" w:cs="Calibri"/>
                <w:color w:val="000000"/>
                <w:sz w:val="20"/>
                <w:szCs w:val="20"/>
              </w:rPr>
            </w:pPr>
            <w:r w:rsidRPr="004F6D3F">
              <w:rPr>
                <w:rFonts w:ascii="Garamond" w:hAnsi="Garamond" w:cs="Calibri"/>
                <w:color w:val="000000"/>
                <w:sz w:val="20"/>
                <w:szCs w:val="20"/>
              </w:rPr>
              <w:t>(3)</w:t>
            </w:r>
          </w:p>
        </w:tc>
        <w:tc>
          <w:tcPr>
            <w:tcW w:w="0" w:type="auto"/>
            <w:tcBorders>
              <w:top w:val="single" w:sz="4" w:space="0" w:color="auto"/>
              <w:left w:val="nil"/>
              <w:bottom w:val="single" w:sz="4" w:space="0" w:color="auto"/>
              <w:right w:val="nil"/>
            </w:tcBorders>
            <w:shd w:val="clear" w:color="auto" w:fill="auto"/>
            <w:noWrap/>
            <w:hideMark/>
          </w:tcPr>
          <w:p w:rsidR="00583BD3" w:rsidRPr="004F6D3F" w:rsidRDefault="00583BD3" w:rsidP="000727E8">
            <w:pPr>
              <w:jc w:val="center"/>
              <w:rPr>
                <w:rFonts w:ascii="Garamond" w:hAnsi="Garamond" w:cs="Calibri"/>
                <w:color w:val="000000"/>
                <w:sz w:val="20"/>
                <w:szCs w:val="20"/>
              </w:rPr>
            </w:pPr>
            <w:r w:rsidRPr="004F6D3F">
              <w:rPr>
                <w:rFonts w:ascii="Garamond" w:hAnsi="Garamond" w:cs="Calibri"/>
                <w:color w:val="000000"/>
                <w:sz w:val="20"/>
                <w:szCs w:val="20"/>
              </w:rPr>
              <w:t>(4)</w:t>
            </w:r>
          </w:p>
        </w:tc>
        <w:tc>
          <w:tcPr>
            <w:tcW w:w="0" w:type="auto"/>
            <w:tcBorders>
              <w:top w:val="single" w:sz="4" w:space="0" w:color="auto"/>
              <w:left w:val="nil"/>
              <w:bottom w:val="single" w:sz="4" w:space="0" w:color="auto"/>
              <w:right w:val="nil"/>
            </w:tcBorders>
            <w:shd w:val="clear" w:color="auto" w:fill="auto"/>
            <w:noWrap/>
            <w:hideMark/>
          </w:tcPr>
          <w:p w:rsidR="00583BD3" w:rsidRPr="004F6D3F" w:rsidRDefault="00583BD3" w:rsidP="000727E8">
            <w:pPr>
              <w:rPr>
                <w:rFonts w:ascii="Garamond" w:hAnsi="Garamond" w:cs="Calibri"/>
                <w:color w:val="000000"/>
                <w:sz w:val="20"/>
                <w:szCs w:val="20"/>
              </w:rPr>
            </w:pPr>
            <w:r w:rsidRPr="004F6D3F">
              <w:rPr>
                <w:rFonts w:ascii="Garamond" w:hAnsi="Garamond" w:cs="Calibri"/>
                <w:color w:val="000000"/>
                <w:sz w:val="20"/>
                <w:szCs w:val="20"/>
              </w:rPr>
              <w:t>(5)</w:t>
            </w:r>
          </w:p>
        </w:tc>
        <w:tc>
          <w:tcPr>
            <w:tcW w:w="922" w:type="dxa"/>
            <w:tcBorders>
              <w:top w:val="single" w:sz="4" w:space="0" w:color="auto"/>
              <w:left w:val="nil"/>
              <w:bottom w:val="single" w:sz="4" w:space="0" w:color="auto"/>
              <w:right w:val="nil"/>
            </w:tcBorders>
            <w:shd w:val="clear" w:color="auto" w:fill="auto"/>
            <w:noWrap/>
            <w:hideMark/>
          </w:tcPr>
          <w:p w:rsidR="00583BD3" w:rsidRPr="004F6D3F" w:rsidRDefault="00583BD3" w:rsidP="000727E8">
            <w:pPr>
              <w:rPr>
                <w:rFonts w:ascii="Garamond" w:hAnsi="Garamond" w:cs="Calibri"/>
                <w:color w:val="000000"/>
                <w:sz w:val="20"/>
                <w:szCs w:val="20"/>
              </w:rPr>
            </w:pPr>
            <w:r w:rsidRPr="004F6D3F">
              <w:rPr>
                <w:rFonts w:ascii="Garamond" w:hAnsi="Garamond" w:cs="Calibri"/>
                <w:color w:val="000000"/>
                <w:sz w:val="20"/>
                <w:szCs w:val="20"/>
              </w:rPr>
              <w:t>(6)</w:t>
            </w:r>
          </w:p>
        </w:tc>
      </w:tr>
      <w:tr w:rsidR="00583BD3" w:rsidRPr="00C5569D" w:rsidTr="000727E8">
        <w:trPr>
          <w:trHeight w:hRule="exact" w:val="255"/>
        </w:trPr>
        <w:tc>
          <w:tcPr>
            <w:tcW w:w="0" w:type="auto"/>
            <w:tcBorders>
              <w:top w:val="single" w:sz="4" w:space="0" w:color="auto"/>
              <w:left w:val="nil"/>
              <w:bottom w:val="nil"/>
              <w:right w:val="nil"/>
            </w:tcBorders>
            <w:shd w:val="clear" w:color="auto" w:fill="auto"/>
            <w:noWrap/>
            <w:hideMark/>
          </w:tcPr>
          <w:p w:rsidR="00583BD3" w:rsidRPr="008A0207" w:rsidRDefault="00583BD3" w:rsidP="000727E8">
            <w:pPr>
              <w:jc w:val="center"/>
              <w:rPr>
                <w:rFonts w:ascii="Garamond" w:hAnsi="Garamond" w:cs="Calibri"/>
                <w:color w:val="FF0000"/>
                <w:sz w:val="20"/>
                <w:szCs w:val="20"/>
                <w:vertAlign w:val="subscript"/>
              </w:rPr>
            </w:pPr>
            <w:r w:rsidRPr="008A0207">
              <w:rPr>
                <w:rFonts w:ascii="Garamond" w:hAnsi="Garamond" w:cs="Calibri"/>
                <w:color w:val="000000" w:themeColor="text1"/>
                <w:sz w:val="20"/>
                <w:szCs w:val="20"/>
              </w:rPr>
              <w:t>CFO Female Dummy</w:t>
            </w:r>
            <w:r w:rsidRPr="008A0207">
              <w:rPr>
                <w:rFonts w:ascii="Garamond" w:hAnsi="Garamond" w:cs="Calibri"/>
                <w:color w:val="000000"/>
                <w:sz w:val="20"/>
                <w:szCs w:val="20"/>
                <w:vertAlign w:val="subscript"/>
              </w:rPr>
              <w:t>t-1</w:t>
            </w:r>
          </w:p>
        </w:tc>
        <w:tc>
          <w:tcPr>
            <w:tcW w:w="0" w:type="auto"/>
            <w:tcBorders>
              <w:top w:val="single" w:sz="4" w:space="0" w:color="auto"/>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-0.0252**</w:t>
            </w:r>
          </w:p>
        </w:tc>
        <w:tc>
          <w:tcPr>
            <w:tcW w:w="0" w:type="auto"/>
            <w:tcBorders>
              <w:top w:val="single" w:sz="4" w:space="0" w:color="auto"/>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-0.0251**</w:t>
            </w:r>
          </w:p>
        </w:tc>
        <w:tc>
          <w:tcPr>
            <w:tcW w:w="0" w:type="auto"/>
            <w:tcBorders>
              <w:top w:val="single" w:sz="4" w:space="0" w:color="auto"/>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-0.0253**</w:t>
            </w:r>
          </w:p>
        </w:tc>
        <w:tc>
          <w:tcPr>
            <w:tcW w:w="0" w:type="auto"/>
            <w:tcBorders>
              <w:top w:val="single" w:sz="4" w:space="0" w:color="auto"/>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-0.0252**</w:t>
            </w:r>
          </w:p>
        </w:tc>
        <w:tc>
          <w:tcPr>
            <w:tcW w:w="0" w:type="auto"/>
            <w:tcBorders>
              <w:top w:val="single" w:sz="4" w:space="0" w:color="auto"/>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-0.0253**</w:t>
            </w:r>
          </w:p>
        </w:tc>
        <w:tc>
          <w:tcPr>
            <w:tcW w:w="922" w:type="dxa"/>
            <w:tcBorders>
              <w:top w:val="single" w:sz="4" w:space="0" w:color="auto"/>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-0.0274**</w:t>
            </w:r>
          </w:p>
        </w:tc>
      </w:tr>
      <w:tr w:rsidR="00583BD3" w:rsidRPr="00C5569D" w:rsidTr="000727E8">
        <w:trPr>
          <w:trHeight w:hRule="exact" w:val="255"/>
        </w:trPr>
        <w:tc>
          <w:tcPr>
            <w:tcW w:w="0" w:type="auto"/>
            <w:tcBorders>
              <w:top w:val="nil"/>
              <w:left w:val="nil"/>
              <w:bottom w:val="nil"/>
              <w:right w:val="nil"/>
            </w:tcBorders>
            <w:shd w:val="clear" w:color="auto" w:fill="auto"/>
            <w:noWrap/>
            <w:hideMark/>
          </w:tcPr>
          <w:p w:rsidR="00583BD3" w:rsidRPr="008A0207" w:rsidRDefault="00583BD3" w:rsidP="000727E8">
            <w:pPr>
              <w:jc w:val="cente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(-2.44)</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(-2.45)</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(-2.45)</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(-2.45)</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(-2.46)</w:t>
            </w:r>
          </w:p>
        </w:tc>
        <w:tc>
          <w:tcPr>
            <w:tcW w:w="922" w:type="dxa"/>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(-2.58)</w:t>
            </w:r>
          </w:p>
        </w:tc>
      </w:tr>
      <w:tr w:rsidR="00583BD3" w:rsidRPr="00C5569D" w:rsidTr="000727E8">
        <w:trPr>
          <w:trHeight w:hRule="exact" w:val="255"/>
        </w:trPr>
        <w:tc>
          <w:tcPr>
            <w:tcW w:w="0" w:type="auto"/>
            <w:tcBorders>
              <w:top w:val="nil"/>
              <w:left w:val="nil"/>
              <w:bottom w:val="nil"/>
              <w:right w:val="nil"/>
            </w:tcBorders>
            <w:shd w:val="clear" w:color="auto" w:fill="auto"/>
            <w:noWrap/>
            <w:hideMark/>
          </w:tcPr>
          <w:p w:rsidR="00583BD3" w:rsidRPr="008A0207" w:rsidRDefault="00583BD3" w:rsidP="000727E8">
            <w:pPr>
              <w:jc w:val="center"/>
              <w:rPr>
                <w:rFonts w:ascii="Garamond" w:hAnsi="Garamond" w:cs="Calibri"/>
                <w:color w:val="000000" w:themeColor="text1"/>
                <w:sz w:val="20"/>
                <w:szCs w:val="20"/>
              </w:rPr>
            </w:pPr>
            <w:r w:rsidRPr="008A0207">
              <w:rPr>
                <w:rFonts w:ascii="Garamond" w:hAnsi="Garamond" w:cs="Calibri"/>
                <w:color w:val="000000" w:themeColor="text1"/>
                <w:sz w:val="20"/>
                <w:szCs w:val="20"/>
              </w:rPr>
              <w:t>Board Gender Diversity</w:t>
            </w:r>
            <w:r w:rsidRPr="008A0207">
              <w:rPr>
                <w:rFonts w:ascii="Garamond" w:hAnsi="Garamond" w:cs="Calibri"/>
                <w:color w:val="000000"/>
                <w:sz w:val="20"/>
                <w:szCs w:val="20"/>
                <w:vertAlign w:val="subscript"/>
              </w:rPr>
              <w:t>t-1</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0.0167</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0.0155</w:t>
            </w:r>
          </w:p>
        </w:tc>
        <w:tc>
          <w:tcPr>
            <w:tcW w:w="922" w:type="dxa"/>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p>
        </w:tc>
      </w:tr>
      <w:tr w:rsidR="00583BD3" w:rsidRPr="00C5569D" w:rsidTr="000727E8">
        <w:trPr>
          <w:trHeight w:hRule="exact" w:val="255"/>
        </w:trPr>
        <w:tc>
          <w:tcPr>
            <w:tcW w:w="0" w:type="auto"/>
            <w:tcBorders>
              <w:top w:val="nil"/>
              <w:left w:val="nil"/>
              <w:bottom w:val="nil"/>
              <w:right w:val="nil"/>
            </w:tcBorders>
            <w:shd w:val="clear" w:color="auto" w:fill="auto"/>
            <w:noWrap/>
            <w:hideMark/>
          </w:tcPr>
          <w:p w:rsidR="00583BD3" w:rsidRPr="008A0207" w:rsidRDefault="00583BD3" w:rsidP="000727E8">
            <w:pPr>
              <w:jc w:val="center"/>
              <w:rPr>
                <w:rFonts w:ascii="Garamond" w:hAnsi="Garamond" w:cs="Calibri"/>
                <w:color w:val="000000" w:themeColor="text1"/>
                <w:sz w:val="20"/>
                <w:szCs w:val="20"/>
              </w:rPr>
            </w:pP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(0.57)</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(0.53)</w:t>
            </w:r>
          </w:p>
        </w:tc>
        <w:tc>
          <w:tcPr>
            <w:tcW w:w="922" w:type="dxa"/>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p>
        </w:tc>
      </w:tr>
      <w:tr w:rsidR="00583BD3" w:rsidRPr="00C5569D" w:rsidTr="000727E8">
        <w:trPr>
          <w:trHeight w:hRule="exact" w:val="255"/>
        </w:trPr>
        <w:tc>
          <w:tcPr>
            <w:tcW w:w="0" w:type="auto"/>
            <w:tcBorders>
              <w:top w:val="nil"/>
              <w:left w:val="nil"/>
              <w:bottom w:val="nil"/>
              <w:right w:val="nil"/>
            </w:tcBorders>
            <w:shd w:val="clear" w:color="auto" w:fill="auto"/>
            <w:noWrap/>
            <w:hideMark/>
          </w:tcPr>
          <w:p w:rsidR="00583BD3" w:rsidRPr="008A0207" w:rsidRDefault="00583BD3" w:rsidP="000727E8">
            <w:pPr>
              <w:jc w:val="center"/>
              <w:rPr>
                <w:rFonts w:ascii="Garamond" w:hAnsi="Garamond" w:cs="Calibri"/>
                <w:color w:val="000000" w:themeColor="text1"/>
                <w:sz w:val="20"/>
                <w:szCs w:val="20"/>
              </w:rPr>
            </w:pPr>
            <w:r w:rsidRPr="008A0207">
              <w:rPr>
                <w:rFonts w:ascii="Garamond" w:hAnsi="Garamond" w:cs="Calibri"/>
                <w:color w:val="000000" w:themeColor="text1"/>
                <w:sz w:val="20"/>
                <w:szCs w:val="20"/>
              </w:rPr>
              <w:t>Board Nationality Diversity</w:t>
            </w:r>
            <w:r w:rsidRPr="008A0207">
              <w:rPr>
                <w:rFonts w:ascii="Garamond" w:hAnsi="Garamond" w:cs="Calibri"/>
                <w:color w:val="000000"/>
                <w:sz w:val="20"/>
                <w:szCs w:val="20"/>
                <w:vertAlign w:val="subscript"/>
              </w:rPr>
              <w:t>t-1</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0.0149</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0.0145</w:t>
            </w:r>
          </w:p>
        </w:tc>
        <w:tc>
          <w:tcPr>
            <w:tcW w:w="922" w:type="dxa"/>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p>
        </w:tc>
      </w:tr>
      <w:tr w:rsidR="00583BD3" w:rsidRPr="00C5569D" w:rsidTr="000727E8">
        <w:trPr>
          <w:trHeight w:hRule="exact" w:val="255"/>
        </w:trPr>
        <w:tc>
          <w:tcPr>
            <w:tcW w:w="0" w:type="auto"/>
            <w:tcBorders>
              <w:top w:val="nil"/>
              <w:left w:val="nil"/>
              <w:bottom w:val="nil"/>
              <w:right w:val="nil"/>
            </w:tcBorders>
            <w:shd w:val="clear" w:color="auto" w:fill="auto"/>
            <w:noWrap/>
            <w:hideMark/>
          </w:tcPr>
          <w:p w:rsidR="00583BD3" w:rsidRPr="008A0207" w:rsidRDefault="00583BD3" w:rsidP="000727E8">
            <w:pPr>
              <w:jc w:val="center"/>
              <w:rPr>
                <w:rFonts w:ascii="Garamond" w:hAnsi="Garamond" w:cs="Calibri"/>
                <w:color w:val="000000" w:themeColor="text1"/>
                <w:sz w:val="20"/>
                <w:szCs w:val="20"/>
              </w:rPr>
            </w:pP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(0.63)</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(0.61)</w:t>
            </w:r>
          </w:p>
        </w:tc>
        <w:tc>
          <w:tcPr>
            <w:tcW w:w="922" w:type="dxa"/>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p>
        </w:tc>
      </w:tr>
      <w:tr w:rsidR="00583BD3" w:rsidRPr="00C5569D" w:rsidTr="000727E8">
        <w:trPr>
          <w:trHeight w:hRule="exact" w:val="255"/>
        </w:trPr>
        <w:tc>
          <w:tcPr>
            <w:tcW w:w="0" w:type="auto"/>
            <w:tcBorders>
              <w:top w:val="nil"/>
              <w:left w:val="nil"/>
              <w:bottom w:val="nil"/>
              <w:right w:val="nil"/>
            </w:tcBorders>
            <w:shd w:val="clear" w:color="auto" w:fill="auto"/>
            <w:noWrap/>
            <w:hideMark/>
          </w:tcPr>
          <w:p w:rsidR="00583BD3" w:rsidRPr="008A0207" w:rsidRDefault="00583BD3" w:rsidP="000727E8">
            <w:pPr>
              <w:jc w:val="center"/>
              <w:rPr>
                <w:rFonts w:ascii="Garamond" w:hAnsi="Garamond" w:cs="Calibri"/>
                <w:color w:val="000000" w:themeColor="text1"/>
                <w:sz w:val="20"/>
                <w:szCs w:val="20"/>
              </w:rPr>
            </w:pPr>
            <w:r w:rsidRPr="008A0207">
              <w:rPr>
                <w:rFonts w:ascii="Garamond" w:hAnsi="Garamond" w:cs="Calibri"/>
                <w:color w:val="000000" w:themeColor="text1"/>
                <w:sz w:val="20"/>
                <w:szCs w:val="20"/>
              </w:rPr>
              <w:t>Board Age Diversity</w:t>
            </w:r>
            <w:r w:rsidRPr="008A0207">
              <w:rPr>
                <w:rFonts w:ascii="Garamond" w:hAnsi="Garamond" w:cs="Calibri"/>
                <w:color w:val="000000"/>
                <w:sz w:val="20"/>
                <w:szCs w:val="20"/>
                <w:vertAlign w:val="subscript"/>
              </w:rPr>
              <w:t>t-1</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0.00484</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0.00511</w:t>
            </w:r>
          </w:p>
        </w:tc>
        <w:tc>
          <w:tcPr>
            <w:tcW w:w="922" w:type="dxa"/>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p>
        </w:tc>
      </w:tr>
      <w:tr w:rsidR="00583BD3" w:rsidRPr="00C5569D" w:rsidTr="000727E8">
        <w:trPr>
          <w:trHeight w:hRule="exact" w:val="255"/>
        </w:trPr>
        <w:tc>
          <w:tcPr>
            <w:tcW w:w="0" w:type="auto"/>
            <w:tcBorders>
              <w:top w:val="nil"/>
              <w:left w:val="nil"/>
              <w:bottom w:val="nil"/>
              <w:right w:val="nil"/>
            </w:tcBorders>
            <w:shd w:val="clear" w:color="auto" w:fill="auto"/>
            <w:noWrap/>
            <w:hideMark/>
          </w:tcPr>
          <w:p w:rsidR="00583BD3" w:rsidRPr="008A0207" w:rsidRDefault="00583BD3" w:rsidP="000727E8">
            <w:pPr>
              <w:jc w:val="center"/>
              <w:rPr>
                <w:rFonts w:ascii="Garamond" w:hAnsi="Garamond" w:cs="Calibri"/>
                <w:color w:val="000000" w:themeColor="text1"/>
                <w:sz w:val="20"/>
                <w:szCs w:val="20"/>
              </w:rPr>
            </w:pP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(0.57)</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(0.61)</w:t>
            </w:r>
          </w:p>
        </w:tc>
        <w:tc>
          <w:tcPr>
            <w:tcW w:w="922" w:type="dxa"/>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p>
        </w:tc>
      </w:tr>
      <w:tr w:rsidR="00583BD3" w:rsidRPr="00C5569D" w:rsidTr="000727E8">
        <w:trPr>
          <w:trHeight w:hRule="exact" w:val="255"/>
        </w:trPr>
        <w:tc>
          <w:tcPr>
            <w:tcW w:w="0" w:type="auto"/>
            <w:tcBorders>
              <w:top w:val="nil"/>
              <w:left w:val="nil"/>
              <w:bottom w:val="nil"/>
              <w:right w:val="nil"/>
            </w:tcBorders>
            <w:shd w:val="clear" w:color="auto" w:fill="auto"/>
            <w:noWrap/>
            <w:hideMark/>
          </w:tcPr>
          <w:p w:rsidR="00583BD3" w:rsidRPr="008A0207" w:rsidRDefault="00583BD3" w:rsidP="000727E8">
            <w:pPr>
              <w:jc w:val="center"/>
              <w:rPr>
                <w:rFonts w:ascii="Garamond" w:hAnsi="Garamond" w:cs="Calibri"/>
                <w:color w:val="000000" w:themeColor="text1"/>
                <w:sz w:val="20"/>
                <w:szCs w:val="20"/>
              </w:rPr>
            </w:pPr>
            <w:r w:rsidRPr="008A0207">
              <w:rPr>
                <w:rFonts w:ascii="Garamond" w:hAnsi="Garamond" w:cs="Calibri"/>
                <w:color w:val="000000" w:themeColor="text1"/>
                <w:sz w:val="20"/>
                <w:szCs w:val="20"/>
              </w:rPr>
              <w:t>Board Aggregate Diversity</w:t>
            </w:r>
            <w:r w:rsidRPr="008A0207">
              <w:rPr>
                <w:rFonts w:ascii="Garamond" w:hAnsi="Garamond" w:cs="Calibri"/>
                <w:color w:val="000000"/>
                <w:sz w:val="20"/>
                <w:szCs w:val="20"/>
                <w:vertAlign w:val="subscript"/>
              </w:rPr>
              <w:t>t-1</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p>
        </w:tc>
        <w:tc>
          <w:tcPr>
            <w:tcW w:w="922" w:type="dxa"/>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0.00171</w:t>
            </w:r>
          </w:p>
        </w:tc>
      </w:tr>
      <w:tr w:rsidR="00583BD3" w:rsidRPr="00C5569D" w:rsidTr="000727E8">
        <w:trPr>
          <w:trHeight w:hRule="exact" w:val="255"/>
        </w:trPr>
        <w:tc>
          <w:tcPr>
            <w:tcW w:w="0" w:type="auto"/>
            <w:tcBorders>
              <w:top w:val="nil"/>
              <w:left w:val="nil"/>
              <w:bottom w:val="nil"/>
              <w:right w:val="nil"/>
            </w:tcBorders>
            <w:shd w:val="clear" w:color="auto" w:fill="auto"/>
            <w:noWrap/>
            <w:hideMark/>
          </w:tcPr>
          <w:p w:rsidR="00583BD3" w:rsidRPr="008A0207" w:rsidRDefault="00583BD3" w:rsidP="000727E8">
            <w:pPr>
              <w:jc w:val="cente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p>
        </w:tc>
        <w:tc>
          <w:tcPr>
            <w:tcW w:w="922" w:type="dxa"/>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(0.93)</w:t>
            </w:r>
          </w:p>
        </w:tc>
      </w:tr>
      <w:tr w:rsidR="00583BD3" w:rsidRPr="00C5569D" w:rsidTr="000727E8">
        <w:trPr>
          <w:trHeight w:hRule="exact" w:val="255"/>
        </w:trPr>
        <w:tc>
          <w:tcPr>
            <w:tcW w:w="0" w:type="auto"/>
            <w:tcBorders>
              <w:top w:val="nil"/>
              <w:left w:val="nil"/>
              <w:bottom w:val="nil"/>
              <w:right w:val="nil"/>
            </w:tcBorders>
            <w:shd w:val="clear" w:color="auto" w:fill="auto"/>
            <w:noWrap/>
            <w:hideMark/>
          </w:tcPr>
          <w:p w:rsidR="00583BD3" w:rsidRPr="008A0207" w:rsidRDefault="00583BD3" w:rsidP="000727E8">
            <w:pPr>
              <w:jc w:val="center"/>
              <w:rPr>
                <w:rFonts w:ascii="Garamond" w:hAnsi="Garamond" w:cs="Calibri"/>
                <w:color w:val="000000"/>
                <w:sz w:val="20"/>
                <w:szCs w:val="20"/>
              </w:rPr>
            </w:pPr>
            <w:proofErr w:type="spellStart"/>
            <w:r w:rsidRPr="008A0207">
              <w:rPr>
                <w:rFonts w:ascii="Garamond" w:hAnsi="Garamond" w:cs="Calibri"/>
                <w:color w:val="000000"/>
                <w:sz w:val="20"/>
                <w:szCs w:val="20"/>
              </w:rPr>
              <w:t>Ln</w:t>
            </w:r>
            <w:proofErr w:type="spellEnd"/>
            <w:r w:rsidRPr="008A0207">
              <w:rPr>
                <w:rFonts w:ascii="Garamond" w:hAnsi="Garamond" w:cs="Calibri"/>
                <w:color w:val="000000"/>
                <w:sz w:val="20"/>
                <w:szCs w:val="20"/>
              </w:rPr>
              <w:t>(number of directors)</w:t>
            </w:r>
            <w:r w:rsidRPr="008A0207">
              <w:rPr>
                <w:rFonts w:ascii="Garamond" w:hAnsi="Garamond" w:cs="Calibri"/>
                <w:color w:val="000000"/>
                <w:sz w:val="20"/>
                <w:szCs w:val="20"/>
                <w:vertAlign w:val="subscript"/>
              </w:rPr>
              <w:t>t-1</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0.0185</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0.0184</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0.0176</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0.0179</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0.0168</w:t>
            </w:r>
          </w:p>
        </w:tc>
        <w:tc>
          <w:tcPr>
            <w:tcW w:w="922" w:type="dxa"/>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0.0171</w:t>
            </w:r>
          </w:p>
        </w:tc>
      </w:tr>
      <w:tr w:rsidR="00583BD3" w:rsidRPr="00C5569D" w:rsidTr="000727E8">
        <w:trPr>
          <w:trHeight w:hRule="exact" w:val="255"/>
        </w:trPr>
        <w:tc>
          <w:tcPr>
            <w:tcW w:w="0" w:type="auto"/>
            <w:tcBorders>
              <w:top w:val="nil"/>
              <w:left w:val="nil"/>
              <w:bottom w:val="nil"/>
              <w:right w:val="nil"/>
            </w:tcBorders>
            <w:shd w:val="clear" w:color="auto" w:fill="auto"/>
            <w:noWrap/>
            <w:hideMark/>
          </w:tcPr>
          <w:p w:rsidR="00583BD3" w:rsidRPr="008A0207" w:rsidRDefault="00583BD3" w:rsidP="000727E8">
            <w:pPr>
              <w:jc w:val="cente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(1.63)</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(1.61)</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(1.54)</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(1.56)</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(1.45)</w:t>
            </w:r>
          </w:p>
        </w:tc>
        <w:tc>
          <w:tcPr>
            <w:tcW w:w="922" w:type="dxa"/>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(1.48)</w:t>
            </w:r>
          </w:p>
        </w:tc>
      </w:tr>
      <w:tr w:rsidR="00583BD3" w:rsidRPr="00C5569D" w:rsidTr="000727E8">
        <w:trPr>
          <w:trHeight w:hRule="exact" w:val="255"/>
        </w:trPr>
        <w:tc>
          <w:tcPr>
            <w:tcW w:w="0" w:type="auto"/>
            <w:tcBorders>
              <w:top w:val="nil"/>
              <w:left w:val="nil"/>
              <w:bottom w:val="nil"/>
              <w:right w:val="nil"/>
            </w:tcBorders>
            <w:shd w:val="clear" w:color="auto" w:fill="auto"/>
            <w:noWrap/>
            <w:hideMark/>
          </w:tcPr>
          <w:p w:rsidR="00583BD3" w:rsidRPr="008A0207" w:rsidRDefault="00583BD3" w:rsidP="000727E8">
            <w:pPr>
              <w:jc w:val="center"/>
              <w:rPr>
                <w:rFonts w:ascii="Garamond" w:hAnsi="Garamond" w:cs="Calibri"/>
                <w:color w:val="000000"/>
                <w:sz w:val="20"/>
                <w:szCs w:val="20"/>
              </w:rPr>
            </w:pPr>
            <w:r w:rsidRPr="008A0207">
              <w:rPr>
                <w:rFonts w:ascii="Garamond" w:hAnsi="Garamond" w:cs="Calibri"/>
                <w:color w:val="000000"/>
                <w:sz w:val="20"/>
                <w:szCs w:val="20"/>
              </w:rPr>
              <w:t>Board independence</w:t>
            </w:r>
            <w:r w:rsidRPr="008A0207">
              <w:rPr>
                <w:rFonts w:ascii="Garamond" w:hAnsi="Garamond" w:cs="Calibri"/>
                <w:color w:val="000000"/>
                <w:sz w:val="20"/>
                <w:szCs w:val="20"/>
                <w:vertAlign w:val="subscript"/>
              </w:rPr>
              <w:t>t-1</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0.0328*</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0.0316*</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0.0331*</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0.0332*</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0.0323*</w:t>
            </w:r>
          </w:p>
        </w:tc>
        <w:tc>
          <w:tcPr>
            <w:tcW w:w="922" w:type="dxa"/>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0.0322*</w:t>
            </w:r>
          </w:p>
        </w:tc>
      </w:tr>
      <w:tr w:rsidR="00583BD3" w:rsidRPr="00C5569D" w:rsidTr="000727E8">
        <w:trPr>
          <w:trHeight w:hRule="exact" w:val="255"/>
        </w:trPr>
        <w:tc>
          <w:tcPr>
            <w:tcW w:w="0" w:type="auto"/>
            <w:tcBorders>
              <w:top w:val="nil"/>
              <w:left w:val="nil"/>
              <w:bottom w:val="nil"/>
              <w:right w:val="nil"/>
            </w:tcBorders>
            <w:shd w:val="clear" w:color="auto" w:fill="auto"/>
            <w:noWrap/>
            <w:hideMark/>
          </w:tcPr>
          <w:p w:rsidR="00583BD3" w:rsidRPr="008A0207" w:rsidRDefault="00583BD3" w:rsidP="000727E8">
            <w:pPr>
              <w:jc w:val="cente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(1.85)</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(1.75)</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(1.86)</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(1.87)</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(1.79)</w:t>
            </w:r>
          </w:p>
        </w:tc>
        <w:tc>
          <w:tcPr>
            <w:tcW w:w="922" w:type="dxa"/>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(1.81)</w:t>
            </w:r>
          </w:p>
        </w:tc>
      </w:tr>
      <w:tr w:rsidR="00583BD3" w:rsidRPr="00C5569D" w:rsidTr="000727E8">
        <w:trPr>
          <w:trHeight w:hRule="exact" w:val="255"/>
        </w:trPr>
        <w:tc>
          <w:tcPr>
            <w:tcW w:w="0" w:type="auto"/>
            <w:tcBorders>
              <w:top w:val="nil"/>
              <w:left w:val="nil"/>
              <w:bottom w:val="nil"/>
              <w:right w:val="nil"/>
            </w:tcBorders>
            <w:shd w:val="clear" w:color="auto" w:fill="auto"/>
            <w:noWrap/>
            <w:hideMark/>
          </w:tcPr>
          <w:p w:rsidR="00583BD3" w:rsidRPr="008A0207" w:rsidRDefault="00583BD3" w:rsidP="000727E8">
            <w:pPr>
              <w:jc w:val="center"/>
              <w:rPr>
                <w:rFonts w:ascii="Garamond" w:hAnsi="Garamond" w:cs="Calibri"/>
                <w:color w:val="000000"/>
                <w:sz w:val="20"/>
                <w:szCs w:val="20"/>
              </w:rPr>
            </w:pPr>
            <w:r w:rsidRPr="008A0207">
              <w:rPr>
                <w:rFonts w:ascii="Garamond" w:hAnsi="Garamond" w:cs="Calibri"/>
                <w:color w:val="000000"/>
                <w:sz w:val="20"/>
                <w:szCs w:val="20"/>
              </w:rPr>
              <w:t>Tobin's Q</w:t>
            </w:r>
            <w:r w:rsidRPr="008A0207">
              <w:rPr>
                <w:rFonts w:ascii="Garamond" w:hAnsi="Garamond" w:cs="Calibri"/>
                <w:color w:val="000000"/>
                <w:sz w:val="20"/>
                <w:szCs w:val="20"/>
                <w:vertAlign w:val="subscript"/>
              </w:rPr>
              <w:t>t-1</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-0.00727**</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-0.00728**</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-0.00731***</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-0.00726**</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-0.00732***</w:t>
            </w:r>
          </w:p>
        </w:tc>
        <w:tc>
          <w:tcPr>
            <w:tcW w:w="922" w:type="dxa"/>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-0.00730**</w:t>
            </w:r>
          </w:p>
        </w:tc>
      </w:tr>
      <w:tr w:rsidR="00583BD3" w:rsidRPr="00C5569D" w:rsidTr="000727E8">
        <w:trPr>
          <w:trHeight w:hRule="exact" w:val="255"/>
        </w:trPr>
        <w:tc>
          <w:tcPr>
            <w:tcW w:w="0" w:type="auto"/>
            <w:tcBorders>
              <w:top w:val="nil"/>
              <w:left w:val="nil"/>
              <w:bottom w:val="nil"/>
              <w:right w:val="nil"/>
            </w:tcBorders>
            <w:shd w:val="clear" w:color="auto" w:fill="auto"/>
            <w:noWrap/>
            <w:hideMark/>
          </w:tcPr>
          <w:p w:rsidR="00583BD3" w:rsidRPr="008A0207" w:rsidRDefault="00583BD3" w:rsidP="000727E8">
            <w:pPr>
              <w:jc w:val="cente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(-2.57)</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(-2.57)</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(-2.59)</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(-2.56)</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(-2.59)</w:t>
            </w:r>
          </w:p>
        </w:tc>
        <w:tc>
          <w:tcPr>
            <w:tcW w:w="922" w:type="dxa"/>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(-2.58)</w:t>
            </w:r>
          </w:p>
        </w:tc>
      </w:tr>
      <w:tr w:rsidR="00583BD3" w:rsidRPr="00C5569D" w:rsidTr="000727E8">
        <w:trPr>
          <w:trHeight w:hRule="exact" w:val="255"/>
        </w:trPr>
        <w:tc>
          <w:tcPr>
            <w:tcW w:w="0" w:type="auto"/>
            <w:tcBorders>
              <w:top w:val="nil"/>
              <w:left w:val="nil"/>
              <w:bottom w:val="nil"/>
              <w:right w:val="nil"/>
            </w:tcBorders>
            <w:shd w:val="clear" w:color="auto" w:fill="auto"/>
            <w:noWrap/>
            <w:hideMark/>
          </w:tcPr>
          <w:p w:rsidR="00583BD3" w:rsidRPr="008A0207" w:rsidRDefault="00583BD3" w:rsidP="000727E8">
            <w:pPr>
              <w:jc w:val="center"/>
              <w:rPr>
                <w:rFonts w:ascii="Garamond" w:hAnsi="Garamond" w:cs="Calibri"/>
                <w:color w:val="000000"/>
                <w:sz w:val="20"/>
                <w:szCs w:val="20"/>
              </w:rPr>
            </w:pPr>
            <w:r w:rsidRPr="008A0207">
              <w:rPr>
                <w:rFonts w:ascii="Garamond" w:hAnsi="Garamond" w:cs="Calibri"/>
                <w:color w:val="000000"/>
                <w:sz w:val="20"/>
                <w:szCs w:val="20"/>
              </w:rPr>
              <w:t>Industry-</w:t>
            </w:r>
            <w:proofErr w:type="spellStart"/>
            <w:r w:rsidRPr="008A0207">
              <w:rPr>
                <w:rFonts w:ascii="Garamond" w:hAnsi="Garamond" w:cs="Calibri"/>
                <w:color w:val="000000"/>
                <w:sz w:val="20"/>
                <w:szCs w:val="20"/>
              </w:rPr>
              <w:t>Adj</w:t>
            </w:r>
            <w:proofErr w:type="spellEnd"/>
            <w:r w:rsidRPr="008A0207">
              <w:rPr>
                <w:rFonts w:ascii="Garamond" w:hAnsi="Garamond" w:cs="Calibri"/>
                <w:color w:val="000000"/>
                <w:sz w:val="20"/>
                <w:szCs w:val="20"/>
              </w:rPr>
              <w:t xml:space="preserve"> ROA</w:t>
            </w:r>
            <w:r w:rsidRPr="008A0207">
              <w:rPr>
                <w:rFonts w:ascii="Garamond" w:hAnsi="Garamond" w:cs="Calibri"/>
                <w:color w:val="000000"/>
                <w:sz w:val="20"/>
                <w:szCs w:val="20"/>
                <w:vertAlign w:val="subscript"/>
              </w:rPr>
              <w:t>t-1</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-0.00316</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-0.00315</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-0.00317</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-0.00316</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-0.00315</w:t>
            </w:r>
          </w:p>
        </w:tc>
        <w:tc>
          <w:tcPr>
            <w:tcW w:w="922" w:type="dxa"/>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-0.00315</w:t>
            </w:r>
          </w:p>
        </w:tc>
      </w:tr>
      <w:tr w:rsidR="00583BD3" w:rsidRPr="00C5569D" w:rsidTr="000727E8">
        <w:trPr>
          <w:trHeight w:hRule="exact" w:val="255"/>
        </w:trPr>
        <w:tc>
          <w:tcPr>
            <w:tcW w:w="0" w:type="auto"/>
            <w:tcBorders>
              <w:top w:val="nil"/>
              <w:left w:val="nil"/>
              <w:bottom w:val="nil"/>
              <w:right w:val="nil"/>
            </w:tcBorders>
            <w:shd w:val="clear" w:color="auto" w:fill="auto"/>
            <w:noWrap/>
            <w:hideMark/>
          </w:tcPr>
          <w:p w:rsidR="00583BD3" w:rsidRPr="008A0207" w:rsidRDefault="00583BD3" w:rsidP="000727E8">
            <w:pPr>
              <w:jc w:val="cente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(-1.35)</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(-1.34)</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(-1.35)</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(-1.35)</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(-1.35)</w:t>
            </w:r>
          </w:p>
        </w:tc>
        <w:tc>
          <w:tcPr>
            <w:tcW w:w="922" w:type="dxa"/>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(-1.34)</w:t>
            </w:r>
          </w:p>
        </w:tc>
      </w:tr>
      <w:tr w:rsidR="00583BD3" w:rsidRPr="00C5569D" w:rsidTr="000727E8">
        <w:trPr>
          <w:trHeight w:hRule="exact" w:val="255"/>
        </w:trPr>
        <w:tc>
          <w:tcPr>
            <w:tcW w:w="0" w:type="auto"/>
            <w:tcBorders>
              <w:top w:val="nil"/>
              <w:left w:val="nil"/>
              <w:bottom w:val="nil"/>
              <w:right w:val="nil"/>
            </w:tcBorders>
            <w:shd w:val="clear" w:color="auto" w:fill="auto"/>
            <w:noWrap/>
            <w:hideMark/>
          </w:tcPr>
          <w:p w:rsidR="00583BD3" w:rsidRPr="008A0207" w:rsidRDefault="00583BD3" w:rsidP="000727E8">
            <w:pPr>
              <w:jc w:val="center"/>
              <w:rPr>
                <w:rFonts w:ascii="Garamond" w:hAnsi="Garamond" w:cs="Calibri"/>
                <w:color w:val="000000"/>
                <w:sz w:val="20"/>
                <w:szCs w:val="20"/>
              </w:rPr>
            </w:pPr>
            <w:r w:rsidRPr="008A0207">
              <w:rPr>
                <w:rFonts w:ascii="Garamond" w:hAnsi="Garamond" w:cs="Calibri"/>
                <w:color w:val="000000"/>
                <w:sz w:val="20"/>
                <w:szCs w:val="20"/>
              </w:rPr>
              <w:t>CEO is Chairman dummy</w:t>
            </w:r>
            <w:r w:rsidRPr="008A0207">
              <w:rPr>
                <w:rFonts w:ascii="Garamond" w:hAnsi="Garamond" w:cs="Calibri"/>
                <w:color w:val="000000"/>
                <w:sz w:val="20"/>
                <w:szCs w:val="20"/>
                <w:vertAlign w:val="subscript"/>
              </w:rPr>
              <w:t>t-1</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0.00148</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0.00158</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0.00155</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0.00136</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0.00151</w:t>
            </w:r>
          </w:p>
        </w:tc>
        <w:tc>
          <w:tcPr>
            <w:tcW w:w="922" w:type="dxa"/>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0.00148</w:t>
            </w:r>
          </w:p>
        </w:tc>
      </w:tr>
      <w:tr w:rsidR="00583BD3" w:rsidRPr="00C5569D" w:rsidTr="000727E8">
        <w:trPr>
          <w:trHeight w:hRule="exact" w:val="255"/>
        </w:trPr>
        <w:tc>
          <w:tcPr>
            <w:tcW w:w="0" w:type="auto"/>
            <w:tcBorders>
              <w:top w:val="nil"/>
              <w:left w:val="nil"/>
              <w:bottom w:val="nil"/>
              <w:right w:val="nil"/>
            </w:tcBorders>
            <w:shd w:val="clear" w:color="auto" w:fill="auto"/>
            <w:noWrap/>
            <w:hideMark/>
          </w:tcPr>
          <w:p w:rsidR="00583BD3" w:rsidRPr="008A0207" w:rsidRDefault="00583BD3" w:rsidP="000727E8">
            <w:pPr>
              <w:jc w:val="cente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(0.25)</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(0.27)</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(0.26)</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(0.23)</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(0.25)</w:t>
            </w:r>
          </w:p>
        </w:tc>
        <w:tc>
          <w:tcPr>
            <w:tcW w:w="922" w:type="dxa"/>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(0.25)</w:t>
            </w:r>
          </w:p>
        </w:tc>
      </w:tr>
      <w:tr w:rsidR="00583BD3" w:rsidRPr="00C5569D" w:rsidTr="000727E8">
        <w:trPr>
          <w:trHeight w:hRule="exact" w:val="255"/>
        </w:trPr>
        <w:tc>
          <w:tcPr>
            <w:tcW w:w="0" w:type="auto"/>
            <w:tcBorders>
              <w:top w:val="nil"/>
              <w:left w:val="nil"/>
              <w:bottom w:val="nil"/>
              <w:right w:val="nil"/>
            </w:tcBorders>
            <w:shd w:val="clear" w:color="auto" w:fill="auto"/>
            <w:noWrap/>
            <w:hideMark/>
          </w:tcPr>
          <w:p w:rsidR="00583BD3" w:rsidRPr="008A0207" w:rsidRDefault="00583BD3" w:rsidP="000727E8">
            <w:pPr>
              <w:jc w:val="center"/>
              <w:rPr>
                <w:rFonts w:ascii="Garamond" w:hAnsi="Garamond" w:cs="Calibri"/>
                <w:color w:val="000000"/>
                <w:sz w:val="20"/>
                <w:szCs w:val="20"/>
              </w:rPr>
            </w:pPr>
            <w:proofErr w:type="spellStart"/>
            <w:r w:rsidRPr="008A0207">
              <w:rPr>
                <w:rFonts w:ascii="Garamond" w:hAnsi="Garamond" w:cs="Calibri"/>
                <w:color w:val="000000"/>
                <w:sz w:val="20"/>
                <w:szCs w:val="20"/>
              </w:rPr>
              <w:t>Ln</w:t>
            </w:r>
            <w:proofErr w:type="spellEnd"/>
            <w:r w:rsidRPr="008A0207">
              <w:rPr>
                <w:rFonts w:ascii="Garamond" w:hAnsi="Garamond" w:cs="Calibri"/>
                <w:color w:val="000000"/>
                <w:sz w:val="20"/>
                <w:szCs w:val="20"/>
              </w:rPr>
              <w:t>(market-to-book)</w:t>
            </w:r>
            <w:r w:rsidRPr="008A0207">
              <w:rPr>
                <w:rFonts w:ascii="Garamond" w:hAnsi="Garamond" w:cs="Calibri"/>
                <w:color w:val="000000"/>
                <w:sz w:val="20"/>
                <w:szCs w:val="20"/>
                <w:vertAlign w:val="subscript"/>
              </w:rPr>
              <w:t>t-1</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0.0259***</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0.0259***</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0.0259***</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0.0258***</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0.0259***</w:t>
            </w:r>
          </w:p>
        </w:tc>
        <w:tc>
          <w:tcPr>
            <w:tcW w:w="922" w:type="dxa"/>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0.0259***</w:t>
            </w:r>
          </w:p>
        </w:tc>
      </w:tr>
      <w:tr w:rsidR="00583BD3" w:rsidRPr="00C5569D" w:rsidTr="000727E8">
        <w:trPr>
          <w:trHeight w:hRule="exact" w:val="255"/>
        </w:trPr>
        <w:tc>
          <w:tcPr>
            <w:tcW w:w="0" w:type="auto"/>
            <w:tcBorders>
              <w:top w:val="nil"/>
              <w:left w:val="nil"/>
              <w:bottom w:val="nil"/>
              <w:right w:val="nil"/>
            </w:tcBorders>
            <w:shd w:val="clear" w:color="auto" w:fill="auto"/>
            <w:noWrap/>
            <w:hideMark/>
          </w:tcPr>
          <w:p w:rsidR="00583BD3" w:rsidRPr="008A0207" w:rsidRDefault="00583BD3" w:rsidP="000727E8">
            <w:pPr>
              <w:jc w:val="cente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(4.13)</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(4.13)</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(4.14)</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(4.12)</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(4.14)</w:t>
            </w:r>
          </w:p>
        </w:tc>
        <w:tc>
          <w:tcPr>
            <w:tcW w:w="922" w:type="dxa"/>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(4.13)</w:t>
            </w:r>
          </w:p>
        </w:tc>
      </w:tr>
      <w:tr w:rsidR="00583BD3" w:rsidRPr="00C5569D" w:rsidTr="000727E8">
        <w:trPr>
          <w:trHeight w:hRule="exact" w:val="255"/>
        </w:trPr>
        <w:tc>
          <w:tcPr>
            <w:tcW w:w="0" w:type="auto"/>
            <w:tcBorders>
              <w:top w:val="nil"/>
              <w:left w:val="nil"/>
              <w:bottom w:val="nil"/>
              <w:right w:val="nil"/>
            </w:tcBorders>
            <w:shd w:val="clear" w:color="auto" w:fill="auto"/>
            <w:noWrap/>
            <w:hideMark/>
          </w:tcPr>
          <w:p w:rsidR="00583BD3" w:rsidRPr="008A0207" w:rsidRDefault="00583BD3" w:rsidP="000727E8">
            <w:pPr>
              <w:jc w:val="center"/>
              <w:rPr>
                <w:rFonts w:ascii="Garamond" w:hAnsi="Garamond" w:cs="Calibri"/>
                <w:color w:val="000000"/>
                <w:sz w:val="20"/>
                <w:szCs w:val="20"/>
              </w:rPr>
            </w:pPr>
            <w:r w:rsidRPr="008A0207">
              <w:rPr>
                <w:rFonts w:ascii="Garamond" w:hAnsi="Garamond" w:cs="Calibri"/>
                <w:color w:val="000000"/>
                <w:sz w:val="20"/>
                <w:szCs w:val="20"/>
              </w:rPr>
              <w:t>Capital expenditure</w:t>
            </w:r>
            <w:r w:rsidRPr="008A0207">
              <w:rPr>
                <w:rFonts w:ascii="Garamond" w:hAnsi="Garamond" w:cs="Calibri"/>
                <w:color w:val="000000"/>
                <w:sz w:val="20"/>
                <w:szCs w:val="20"/>
                <w:vertAlign w:val="subscript"/>
              </w:rPr>
              <w:t>t-1</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0.118**</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0.117**</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0.119**</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0.118**</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0.118**</w:t>
            </w:r>
          </w:p>
        </w:tc>
        <w:tc>
          <w:tcPr>
            <w:tcW w:w="922" w:type="dxa"/>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0.118**</w:t>
            </w:r>
          </w:p>
        </w:tc>
      </w:tr>
      <w:tr w:rsidR="00583BD3" w:rsidRPr="00C5569D" w:rsidTr="000727E8">
        <w:trPr>
          <w:trHeight w:hRule="exact" w:val="255"/>
        </w:trPr>
        <w:tc>
          <w:tcPr>
            <w:tcW w:w="0" w:type="auto"/>
            <w:tcBorders>
              <w:top w:val="nil"/>
              <w:left w:val="nil"/>
              <w:bottom w:val="nil"/>
              <w:right w:val="nil"/>
            </w:tcBorders>
            <w:shd w:val="clear" w:color="auto" w:fill="auto"/>
            <w:noWrap/>
            <w:hideMark/>
          </w:tcPr>
          <w:p w:rsidR="00583BD3" w:rsidRPr="008A0207" w:rsidRDefault="00583BD3" w:rsidP="000727E8">
            <w:pPr>
              <w:jc w:val="cente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(2.42)</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(2.41)</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(2.43)</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(2.42)</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(2.43)</w:t>
            </w:r>
          </w:p>
        </w:tc>
        <w:tc>
          <w:tcPr>
            <w:tcW w:w="922" w:type="dxa"/>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(2.42)</w:t>
            </w:r>
          </w:p>
        </w:tc>
      </w:tr>
      <w:tr w:rsidR="00583BD3" w:rsidRPr="00C5569D" w:rsidTr="000727E8">
        <w:trPr>
          <w:trHeight w:hRule="exact" w:val="255"/>
        </w:trPr>
        <w:tc>
          <w:tcPr>
            <w:tcW w:w="0" w:type="auto"/>
            <w:tcBorders>
              <w:top w:val="nil"/>
              <w:left w:val="nil"/>
              <w:bottom w:val="nil"/>
              <w:right w:val="nil"/>
            </w:tcBorders>
            <w:shd w:val="clear" w:color="auto" w:fill="FFFFFF" w:themeFill="background1"/>
            <w:noWrap/>
            <w:hideMark/>
          </w:tcPr>
          <w:p w:rsidR="00583BD3" w:rsidRPr="008A0207" w:rsidRDefault="00583BD3" w:rsidP="000727E8">
            <w:pPr>
              <w:jc w:val="center"/>
              <w:rPr>
                <w:rFonts w:ascii="Garamond" w:hAnsi="Garamond" w:cs="Calibri"/>
                <w:color w:val="000000"/>
                <w:sz w:val="20"/>
                <w:szCs w:val="20"/>
              </w:rPr>
            </w:pPr>
            <w:r w:rsidRPr="008A0207">
              <w:rPr>
                <w:rFonts w:ascii="Garamond" w:hAnsi="Garamond" w:cs="Calibri"/>
                <w:color w:val="000000"/>
                <w:sz w:val="20"/>
                <w:szCs w:val="20"/>
              </w:rPr>
              <w:t>Leverage</w:t>
            </w:r>
            <w:r w:rsidRPr="008A0207">
              <w:rPr>
                <w:rFonts w:ascii="Garamond" w:hAnsi="Garamond" w:cs="Calibri"/>
                <w:color w:val="000000"/>
                <w:sz w:val="20"/>
                <w:szCs w:val="20"/>
                <w:vertAlign w:val="subscript"/>
              </w:rPr>
              <w:t>t-1</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-0.455***</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-0.455***</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-0.455***</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-0.455***</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-0.455***</w:t>
            </w:r>
          </w:p>
        </w:tc>
        <w:tc>
          <w:tcPr>
            <w:tcW w:w="922" w:type="dxa"/>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-0.455***</w:t>
            </w:r>
          </w:p>
        </w:tc>
      </w:tr>
      <w:tr w:rsidR="00583BD3" w:rsidRPr="00C5569D" w:rsidTr="000727E8">
        <w:trPr>
          <w:trHeight w:hRule="exact" w:val="255"/>
        </w:trPr>
        <w:tc>
          <w:tcPr>
            <w:tcW w:w="0" w:type="auto"/>
            <w:tcBorders>
              <w:top w:val="nil"/>
              <w:left w:val="nil"/>
              <w:bottom w:val="nil"/>
              <w:right w:val="nil"/>
            </w:tcBorders>
            <w:shd w:val="clear" w:color="auto" w:fill="auto"/>
            <w:noWrap/>
            <w:hideMark/>
          </w:tcPr>
          <w:p w:rsidR="00583BD3" w:rsidRPr="008A0207" w:rsidRDefault="00583BD3" w:rsidP="000727E8">
            <w:pPr>
              <w:jc w:val="cente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(-21.55)</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(-21.56)</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(-21.54)</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(-21.53)</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(-21.54)</w:t>
            </w:r>
          </w:p>
        </w:tc>
        <w:tc>
          <w:tcPr>
            <w:tcW w:w="922" w:type="dxa"/>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(-21.52)</w:t>
            </w:r>
          </w:p>
        </w:tc>
      </w:tr>
      <w:tr w:rsidR="00583BD3" w:rsidRPr="00C5569D" w:rsidTr="000727E8">
        <w:trPr>
          <w:trHeight w:hRule="exact" w:val="255"/>
        </w:trPr>
        <w:tc>
          <w:tcPr>
            <w:tcW w:w="0" w:type="auto"/>
            <w:tcBorders>
              <w:top w:val="nil"/>
              <w:left w:val="nil"/>
              <w:bottom w:val="nil"/>
              <w:right w:val="nil"/>
            </w:tcBorders>
            <w:shd w:val="clear" w:color="auto" w:fill="auto"/>
            <w:noWrap/>
            <w:hideMark/>
          </w:tcPr>
          <w:p w:rsidR="00583BD3" w:rsidRPr="008A0207" w:rsidRDefault="00583BD3" w:rsidP="000727E8">
            <w:pPr>
              <w:jc w:val="center"/>
              <w:rPr>
                <w:rFonts w:ascii="Garamond" w:hAnsi="Garamond" w:cs="Calibri"/>
                <w:color w:val="000000"/>
                <w:sz w:val="20"/>
                <w:szCs w:val="20"/>
              </w:rPr>
            </w:pPr>
            <w:proofErr w:type="spellStart"/>
            <w:r w:rsidRPr="008A0207">
              <w:rPr>
                <w:rFonts w:ascii="Garamond" w:hAnsi="Garamond" w:cs="Calibri"/>
                <w:color w:val="000000"/>
                <w:sz w:val="20"/>
                <w:szCs w:val="20"/>
              </w:rPr>
              <w:t>Ln</w:t>
            </w:r>
            <w:proofErr w:type="spellEnd"/>
            <w:r w:rsidRPr="008A0207">
              <w:rPr>
                <w:rFonts w:ascii="Garamond" w:hAnsi="Garamond" w:cs="Calibri"/>
                <w:color w:val="000000"/>
                <w:sz w:val="20"/>
                <w:szCs w:val="20"/>
              </w:rPr>
              <w:t>(total assets)</w:t>
            </w:r>
            <w:r w:rsidRPr="008A0207">
              <w:rPr>
                <w:rFonts w:ascii="Garamond" w:hAnsi="Garamond" w:cs="Calibri"/>
                <w:color w:val="000000"/>
                <w:sz w:val="20"/>
                <w:szCs w:val="20"/>
                <w:vertAlign w:val="subscript"/>
              </w:rPr>
              <w:t>t-1</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0.0163***</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0.0164***</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0.0164***</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0.0164***</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0.0165***</w:t>
            </w:r>
          </w:p>
        </w:tc>
        <w:tc>
          <w:tcPr>
            <w:tcW w:w="922" w:type="dxa"/>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0.0163***</w:t>
            </w:r>
          </w:p>
        </w:tc>
      </w:tr>
      <w:tr w:rsidR="00583BD3" w:rsidRPr="00C5569D" w:rsidTr="000727E8">
        <w:trPr>
          <w:trHeight w:hRule="exact" w:val="255"/>
        </w:trPr>
        <w:tc>
          <w:tcPr>
            <w:tcW w:w="0" w:type="auto"/>
            <w:tcBorders>
              <w:top w:val="nil"/>
              <w:left w:val="nil"/>
              <w:bottom w:val="nil"/>
              <w:right w:val="nil"/>
            </w:tcBorders>
            <w:shd w:val="clear" w:color="auto" w:fill="auto"/>
            <w:noWrap/>
            <w:hideMark/>
          </w:tcPr>
          <w:p w:rsidR="00583BD3" w:rsidRPr="008A0207" w:rsidRDefault="00583BD3" w:rsidP="000727E8">
            <w:pPr>
              <w:jc w:val="cente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(3.60)</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(3.61)</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(3.61)</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(3.61)</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(3.63)</w:t>
            </w:r>
          </w:p>
        </w:tc>
        <w:tc>
          <w:tcPr>
            <w:tcW w:w="922" w:type="dxa"/>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(3.58)</w:t>
            </w:r>
          </w:p>
        </w:tc>
      </w:tr>
      <w:tr w:rsidR="00583BD3" w:rsidRPr="00C5569D" w:rsidTr="000727E8">
        <w:trPr>
          <w:trHeight w:hRule="exact" w:val="255"/>
        </w:trPr>
        <w:tc>
          <w:tcPr>
            <w:tcW w:w="0" w:type="auto"/>
            <w:tcBorders>
              <w:top w:val="nil"/>
              <w:left w:val="nil"/>
              <w:bottom w:val="nil"/>
              <w:right w:val="nil"/>
            </w:tcBorders>
            <w:shd w:val="clear" w:color="auto" w:fill="auto"/>
            <w:noWrap/>
            <w:hideMark/>
          </w:tcPr>
          <w:p w:rsidR="00583BD3" w:rsidRPr="008A0207" w:rsidRDefault="00583BD3" w:rsidP="000727E8">
            <w:pPr>
              <w:jc w:val="center"/>
              <w:rPr>
                <w:rFonts w:ascii="Garamond" w:hAnsi="Garamond" w:cs="Calibri"/>
                <w:color w:val="000000"/>
                <w:sz w:val="20"/>
                <w:szCs w:val="20"/>
              </w:rPr>
            </w:pPr>
            <w:proofErr w:type="spellStart"/>
            <w:r w:rsidRPr="008A0207">
              <w:rPr>
                <w:rFonts w:ascii="Garamond" w:hAnsi="Garamond" w:cs="Calibri"/>
                <w:color w:val="000000"/>
                <w:sz w:val="20"/>
                <w:szCs w:val="20"/>
              </w:rPr>
              <w:t>Ln</w:t>
            </w:r>
            <w:proofErr w:type="spellEnd"/>
            <w:r w:rsidRPr="008A0207">
              <w:rPr>
                <w:rFonts w:ascii="Garamond" w:hAnsi="Garamond" w:cs="Calibri"/>
                <w:color w:val="000000"/>
                <w:sz w:val="20"/>
                <w:szCs w:val="20"/>
              </w:rPr>
              <w:t>(firm age)</w:t>
            </w:r>
            <w:r w:rsidRPr="008A0207">
              <w:rPr>
                <w:rFonts w:ascii="Garamond" w:hAnsi="Garamond" w:cs="Calibri"/>
                <w:color w:val="000000"/>
                <w:sz w:val="20"/>
                <w:szCs w:val="20"/>
                <w:vertAlign w:val="subscript"/>
              </w:rPr>
              <w:t>t-1</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0.00237</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0.00253</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0.00262</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0.00224</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0.00263</w:t>
            </w:r>
          </w:p>
        </w:tc>
        <w:tc>
          <w:tcPr>
            <w:tcW w:w="922" w:type="dxa"/>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0.00253</w:t>
            </w:r>
          </w:p>
        </w:tc>
      </w:tr>
      <w:tr w:rsidR="00583BD3" w:rsidRPr="00C5569D" w:rsidTr="000727E8">
        <w:trPr>
          <w:trHeight w:hRule="exact" w:val="255"/>
        </w:trPr>
        <w:tc>
          <w:tcPr>
            <w:tcW w:w="0" w:type="auto"/>
            <w:tcBorders>
              <w:top w:val="nil"/>
              <w:left w:val="nil"/>
              <w:bottom w:val="nil"/>
              <w:right w:val="nil"/>
            </w:tcBorders>
            <w:shd w:val="clear" w:color="auto" w:fill="auto"/>
            <w:noWrap/>
            <w:hideMark/>
          </w:tcPr>
          <w:p w:rsidR="00583BD3" w:rsidRPr="008A0207" w:rsidRDefault="00583BD3" w:rsidP="000727E8">
            <w:pPr>
              <w:jc w:val="cente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(0.44)</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(0.48)</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(0.49)</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(0.42)</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(0.49)</w:t>
            </w:r>
          </w:p>
        </w:tc>
        <w:tc>
          <w:tcPr>
            <w:tcW w:w="922" w:type="dxa"/>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(0.48)</w:t>
            </w:r>
          </w:p>
        </w:tc>
      </w:tr>
      <w:tr w:rsidR="00583BD3" w:rsidRPr="00C5569D" w:rsidTr="000727E8">
        <w:trPr>
          <w:trHeight w:hRule="exact" w:val="255"/>
        </w:trPr>
        <w:tc>
          <w:tcPr>
            <w:tcW w:w="0" w:type="auto"/>
            <w:tcBorders>
              <w:top w:val="nil"/>
              <w:left w:val="nil"/>
              <w:bottom w:val="nil"/>
              <w:right w:val="nil"/>
            </w:tcBorders>
            <w:shd w:val="clear" w:color="auto" w:fill="auto"/>
            <w:noWrap/>
            <w:hideMark/>
          </w:tcPr>
          <w:p w:rsidR="00583BD3" w:rsidRPr="008A0207" w:rsidRDefault="00583BD3" w:rsidP="000727E8">
            <w:pPr>
              <w:jc w:val="center"/>
              <w:rPr>
                <w:rFonts w:ascii="Garamond" w:hAnsi="Garamond" w:cs="Calibri"/>
                <w:color w:val="000000"/>
                <w:sz w:val="20"/>
                <w:szCs w:val="20"/>
              </w:rPr>
            </w:pPr>
            <w:r w:rsidRPr="008A0207">
              <w:rPr>
                <w:rFonts w:ascii="Garamond" w:hAnsi="Garamond" w:cs="Calibri"/>
                <w:color w:val="000000"/>
                <w:sz w:val="20"/>
                <w:szCs w:val="20"/>
              </w:rPr>
              <w:t>CFO British Dummy</w:t>
            </w:r>
            <w:r w:rsidRPr="008A0207">
              <w:rPr>
                <w:rFonts w:ascii="Garamond" w:hAnsi="Garamond" w:cs="Calibri"/>
                <w:color w:val="000000"/>
                <w:sz w:val="20"/>
                <w:szCs w:val="20"/>
                <w:vertAlign w:val="subscript"/>
              </w:rPr>
              <w:t>t-1</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0.00453</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0.00459</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0.00430</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0.00472</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0.00457</w:t>
            </w:r>
          </w:p>
        </w:tc>
        <w:tc>
          <w:tcPr>
            <w:tcW w:w="922" w:type="dxa"/>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0.00605</w:t>
            </w:r>
          </w:p>
        </w:tc>
      </w:tr>
      <w:tr w:rsidR="00583BD3" w:rsidRPr="00C5569D" w:rsidTr="000727E8">
        <w:trPr>
          <w:trHeight w:hRule="exact" w:val="255"/>
        </w:trPr>
        <w:tc>
          <w:tcPr>
            <w:tcW w:w="0" w:type="auto"/>
            <w:tcBorders>
              <w:top w:val="nil"/>
              <w:left w:val="nil"/>
              <w:bottom w:val="nil"/>
              <w:right w:val="nil"/>
            </w:tcBorders>
            <w:shd w:val="clear" w:color="auto" w:fill="auto"/>
            <w:noWrap/>
            <w:hideMark/>
          </w:tcPr>
          <w:p w:rsidR="00583BD3" w:rsidRPr="008A0207" w:rsidRDefault="00583BD3" w:rsidP="000727E8">
            <w:pPr>
              <w:jc w:val="cente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(0.42)</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(0.42)</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(0.40)</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(0.43)</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(0.42)</w:t>
            </w:r>
          </w:p>
        </w:tc>
        <w:tc>
          <w:tcPr>
            <w:tcW w:w="922" w:type="dxa"/>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(0.55)</w:t>
            </w:r>
          </w:p>
        </w:tc>
      </w:tr>
      <w:tr w:rsidR="00583BD3" w:rsidRPr="00C5569D" w:rsidTr="000727E8">
        <w:trPr>
          <w:trHeight w:hRule="exact" w:val="255"/>
        </w:trPr>
        <w:tc>
          <w:tcPr>
            <w:tcW w:w="0" w:type="auto"/>
            <w:tcBorders>
              <w:top w:val="nil"/>
              <w:left w:val="nil"/>
              <w:bottom w:val="nil"/>
              <w:right w:val="nil"/>
            </w:tcBorders>
            <w:shd w:val="clear" w:color="auto" w:fill="auto"/>
            <w:noWrap/>
            <w:hideMark/>
          </w:tcPr>
          <w:p w:rsidR="00583BD3" w:rsidRPr="008A0207" w:rsidRDefault="00583BD3" w:rsidP="000727E8">
            <w:pPr>
              <w:jc w:val="center"/>
              <w:rPr>
                <w:rFonts w:ascii="Garamond" w:hAnsi="Garamond" w:cs="Calibri"/>
                <w:color w:val="000000"/>
                <w:sz w:val="20"/>
                <w:szCs w:val="20"/>
              </w:rPr>
            </w:pPr>
            <w:proofErr w:type="spellStart"/>
            <w:r w:rsidRPr="008A0207">
              <w:rPr>
                <w:rFonts w:ascii="Garamond" w:hAnsi="Garamond" w:cs="Calibri"/>
                <w:color w:val="000000"/>
                <w:sz w:val="20"/>
                <w:szCs w:val="20"/>
              </w:rPr>
              <w:t>Ln</w:t>
            </w:r>
            <w:proofErr w:type="spellEnd"/>
            <w:r w:rsidRPr="008A0207">
              <w:rPr>
                <w:rFonts w:ascii="Garamond" w:hAnsi="Garamond" w:cs="Calibri"/>
                <w:color w:val="000000"/>
                <w:sz w:val="20"/>
                <w:szCs w:val="20"/>
              </w:rPr>
              <w:t>(CFO tenure)</w:t>
            </w:r>
            <w:r w:rsidRPr="008A0207">
              <w:rPr>
                <w:rFonts w:ascii="Garamond" w:hAnsi="Garamond" w:cs="Calibri"/>
                <w:color w:val="000000"/>
                <w:sz w:val="20"/>
                <w:szCs w:val="20"/>
                <w:vertAlign w:val="subscript"/>
              </w:rPr>
              <w:t>t-1</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0.00251</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0.00258</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0.00249</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0.00250</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0.00254</w:t>
            </w:r>
          </w:p>
        </w:tc>
        <w:tc>
          <w:tcPr>
            <w:tcW w:w="922" w:type="dxa"/>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0.00255</w:t>
            </w:r>
          </w:p>
        </w:tc>
      </w:tr>
      <w:tr w:rsidR="00583BD3" w:rsidRPr="00C5569D" w:rsidTr="000727E8">
        <w:trPr>
          <w:trHeight w:hRule="exact" w:val="255"/>
        </w:trPr>
        <w:tc>
          <w:tcPr>
            <w:tcW w:w="0" w:type="auto"/>
            <w:tcBorders>
              <w:top w:val="nil"/>
              <w:left w:val="nil"/>
              <w:bottom w:val="nil"/>
              <w:right w:val="nil"/>
            </w:tcBorders>
            <w:shd w:val="clear" w:color="auto" w:fill="auto"/>
            <w:noWrap/>
            <w:hideMark/>
          </w:tcPr>
          <w:p w:rsidR="00583BD3" w:rsidRPr="008A0207" w:rsidRDefault="00583BD3" w:rsidP="000727E8">
            <w:pPr>
              <w:jc w:val="cente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(1.29)</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(1.32)</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(1.28)</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(1.28)</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(1.30)</w:t>
            </w:r>
          </w:p>
        </w:tc>
        <w:tc>
          <w:tcPr>
            <w:tcW w:w="922" w:type="dxa"/>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(1.31)</w:t>
            </w:r>
          </w:p>
        </w:tc>
      </w:tr>
      <w:tr w:rsidR="00583BD3" w:rsidRPr="00C5569D" w:rsidTr="000727E8">
        <w:trPr>
          <w:trHeight w:hRule="exact" w:val="255"/>
        </w:trPr>
        <w:tc>
          <w:tcPr>
            <w:tcW w:w="0" w:type="auto"/>
            <w:tcBorders>
              <w:top w:val="nil"/>
              <w:left w:val="nil"/>
              <w:bottom w:val="nil"/>
              <w:right w:val="nil"/>
            </w:tcBorders>
            <w:shd w:val="clear" w:color="auto" w:fill="auto"/>
            <w:noWrap/>
            <w:hideMark/>
          </w:tcPr>
          <w:p w:rsidR="00583BD3" w:rsidRPr="008A0207" w:rsidRDefault="00583BD3" w:rsidP="000727E8">
            <w:pPr>
              <w:jc w:val="center"/>
              <w:rPr>
                <w:rFonts w:ascii="Garamond" w:hAnsi="Garamond" w:cs="Calibri"/>
                <w:color w:val="000000"/>
                <w:sz w:val="20"/>
                <w:szCs w:val="20"/>
              </w:rPr>
            </w:pPr>
            <w:proofErr w:type="spellStart"/>
            <w:r w:rsidRPr="008A0207">
              <w:rPr>
                <w:rFonts w:ascii="Garamond" w:hAnsi="Garamond" w:cs="Calibri"/>
                <w:color w:val="000000"/>
                <w:sz w:val="20"/>
                <w:szCs w:val="20"/>
              </w:rPr>
              <w:t>Ln</w:t>
            </w:r>
            <w:proofErr w:type="spellEnd"/>
            <w:r w:rsidRPr="008A0207">
              <w:rPr>
                <w:rFonts w:ascii="Garamond" w:hAnsi="Garamond" w:cs="Calibri"/>
                <w:color w:val="000000"/>
                <w:sz w:val="20"/>
                <w:szCs w:val="20"/>
              </w:rPr>
              <w:t>(CFO age)</w:t>
            </w:r>
            <w:r w:rsidRPr="008A0207">
              <w:rPr>
                <w:rFonts w:ascii="Garamond" w:hAnsi="Garamond" w:cs="Calibri"/>
                <w:color w:val="000000"/>
                <w:sz w:val="20"/>
                <w:szCs w:val="20"/>
                <w:vertAlign w:val="subscript"/>
              </w:rPr>
              <w:t>t-1</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-0.0197</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-0.0199</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-0.0200</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-0.0195</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-0.0199</w:t>
            </w:r>
          </w:p>
        </w:tc>
        <w:tc>
          <w:tcPr>
            <w:tcW w:w="922" w:type="dxa"/>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-0.0154</w:t>
            </w:r>
          </w:p>
        </w:tc>
      </w:tr>
      <w:tr w:rsidR="00583BD3" w:rsidRPr="00C5569D" w:rsidTr="000727E8">
        <w:trPr>
          <w:trHeight w:hRule="exact" w:val="255"/>
        </w:trPr>
        <w:tc>
          <w:tcPr>
            <w:tcW w:w="0" w:type="auto"/>
            <w:tcBorders>
              <w:top w:val="nil"/>
              <w:left w:val="nil"/>
              <w:bottom w:val="nil"/>
              <w:right w:val="nil"/>
            </w:tcBorders>
            <w:shd w:val="clear" w:color="auto" w:fill="auto"/>
            <w:noWrap/>
            <w:hideMark/>
          </w:tcPr>
          <w:p w:rsidR="00583BD3" w:rsidRPr="008A0207" w:rsidRDefault="00583BD3" w:rsidP="000727E8">
            <w:pPr>
              <w:jc w:val="cente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(-0.92)</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(-0.93)</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(-0.94)</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(-0.91)</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(-0.94)</w:t>
            </w:r>
          </w:p>
        </w:tc>
        <w:tc>
          <w:tcPr>
            <w:tcW w:w="922" w:type="dxa"/>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(-0.71)</w:t>
            </w:r>
          </w:p>
        </w:tc>
      </w:tr>
      <w:tr w:rsidR="00583BD3" w:rsidRPr="00C5569D" w:rsidTr="000727E8">
        <w:trPr>
          <w:trHeight w:hRule="exact" w:val="255"/>
        </w:trPr>
        <w:tc>
          <w:tcPr>
            <w:tcW w:w="0" w:type="auto"/>
            <w:tcBorders>
              <w:top w:val="nil"/>
              <w:left w:val="nil"/>
              <w:bottom w:val="nil"/>
              <w:right w:val="nil"/>
            </w:tcBorders>
            <w:shd w:val="clear" w:color="auto" w:fill="auto"/>
            <w:noWrap/>
            <w:hideMark/>
          </w:tcPr>
          <w:p w:rsidR="00583BD3" w:rsidRPr="008A0207" w:rsidRDefault="00583BD3" w:rsidP="000727E8">
            <w:pPr>
              <w:jc w:val="center"/>
              <w:rPr>
                <w:rFonts w:ascii="Garamond" w:hAnsi="Garamond" w:cs="Calibri"/>
                <w:color w:val="000000"/>
                <w:sz w:val="20"/>
                <w:szCs w:val="20"/>
              </w:rPr>
            </w:pPr>
            <w:proofErr w:type="spellStart"/>
            <w:r w:rsidRPr="008A0207">
              <w:rPr>
                <w:rFonts w:ascii="Garamond" w:hAnsi="Garamond" w:cs="Calibri"/>
                <w:color w:val="000000"/>
                <w:sz w:val="20"/>
                <w:szCs w:val="20"/>
              </w:rPr>
              <w:t>Ln</w:t>
            </w:r>
            <w:proofErr w:type="spellEnd"/>
            <w:r w:rsidRPr="008A0207">
              <w:rPr>
                <w:rFonts w:ascii="Garamond" w:hAnsi="Garamond" w:cs="Calibri"/>
                <w:color w:val="000000"/>
                <w:sz w:val="20"/>
                <w:szCs w:val="20"/>
              </w:rPr>
              <w:t>(CFO network size)</w:t>
            </w:r>
            <w:r w:rsidRPr="008A0207">
              <w:rPr>
                <w:rFonts w:ascii="Garamond" w:hAnsi="Garamond" w:cs="Calibri"/>
                <w:color w:val="000000"/>
                <w:sz w:val="20"/>
                <w:szCs w:val="20"/>
                <w:vertAlign w:val="subscript"/>
              </w:rPr>
              <w:t>t-1</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-0.000253</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-0.000215</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-0.000323</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-0.000246</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-0.000278</w:t>
            </w:r>
          </w:p>
        </w:tc>
        <w:tc>
          <w:tcPr>
            <w:tcW w:w="922" w:type="dxa"/>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-0.000245</w:t>
            </w:r>
          </w:p>
        </w:tc>
      </w:tr>
      <w:tr w:rsidR="00583BD3" w:rsidRPr="00C5569D" w:rsidTr="000727E8">
        <w:trPr>
          <w:trHeight w:hRule="exact" w:val="255"/>
        </w:trPr>
        <w:tc>
          <w:tcPr>
            <w:tcW w:w="0" w:type="auto"/>
            <w:tcBorders>
              <w:top w:val="nil"/>
              <w:left w:val="nil"/>
              <w:bottom w:val="nil"/>
              <w:right w:val="nil"/>
            </w:tcBorders>
            <w:shd w:val="clear" w:color="auto" w:fill="auto"/>
            <w:noWrap/>
            <w:hideMark/>
          </w:tcPr>
          <w:p w:rsidR="00583BD3" w:rsidRPr="008A0207" w:rsidRDefault="00583BD3" w:rsidP="000727E8">
            <w:pPr>
              <w:jc w:val="cente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(-0.13)</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(-0.11)</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(-0.17)</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(-0.13)</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(-0.14)</w:t>
            </w:r>
          </w:p>
        </w:tc>
        <w:tc>
          <w:tcPr>
            <w:tcW w:w="922" w:type="dxa"/>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(-0.13)</w:t>
            </w:r>
          </w:p>
        </w:tc>
      </w:tr>
      <w:tr w:rsidR="00583BD3" w:rsidRPr="00C5569D" w:rsidTr="000727E8">
        <w:trPr>
          <w:trHeight w:hRule="exact" w:val="255"/>
        </w:trPr>
        <w:tc>
          <w:tcPr>
            <w:tcW w:w="0" w:type="auto"/>
            <w:tcBorders>
              <w:top w:val="nil"/>
              <w:left w:val="nil"/>
              <w:bottom w:val="nil"/>
              <w:right w:val="nil"/>
            </w:tcBorders>
            <w:shd w:val="clear" w:color="auto" w:fill="auto"/>
            <w:noWrap/>
            <w:hideMark/>
          </w:tcPr>
          <w:p w:rsidR="00583BD3" w:rsidRPr="008A0207" w:rsidRDefault="00583BD3" w:rsidP="000727E8">
            <w:pPr>
              <w:jc w:val="center"/>
              <w:rPr>
                <w:rFonts w:ascii="Garamond" w:hAnsi="Garamond" w:cs="Calibri"/>
                <w:color w:val="000000"/>
                <w:sz w:val="20"/>
                <w:szCs w:val="20"/>
              </w:rPr>
            </w:pPr>
            <w:proofErr w:type="spellStart"/>
            <w:r w:rsidRPr="008A0207">
              <w:rPr>
                <w:rFonts w:ascii="Garamond" w:hAnsi="Garamond" w:cs="Calibri"/>
                <w:color w:val="000000"/>
                <w:sz w:val="20"/>
                <w:szCs w:val="20"/>
              </w:rPr>
              <w:t>Ln</w:t>
            </w:r>
            <w:proofErr w:type="spellEnd"/>
            <w:r w:rsidRPr="008A0207">
              <w:rPr>
                <w:rFonts w:ascii="Garamond" w:hAnsi="Garamond" w:cs="Calibri"/>
                <w:color w:val="000000"/>
                <w:sz w:val="20"/>
                <w:szCs w:val="20"/>
              </w:rPr>
              <w:t>(CFO total compensation)</w:t>
            </w:r>
            <w:r w:rsidRPr="008A0207">
              <w:rPr>
                <w:rFonts w:ascii="Garamond" w:hAnsi="Garamond" w:cs="Calibri"/>
                <w:color w:val="000000"/>
                <w:sz w:val="20"/>
                <w:szCs w:val="20"/>
                <w:vertAlign w:val="subscript"/>
              </w:rPr>
              <w:t>t-1</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-0.00342</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-0.00345</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-0.00339</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-0.00343</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-0.00343</w:t>
            </w:r>
          </w:p>
        </w:tc>
        <w:tc>
          <w:tcPr>
            <w:tcW w:w="922" w:type="dxa"/>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-0.00344</w:t>
            </w:r>
          </w:p>
        </w:tc>
      </w:tr>
      <w:tr w:rsidR="00583BD3" w:rsidRPr="00C5569D" w:rsidTr="000727E8">
        <w:trPr>
          <w:trHeight w:hRule="exact" w:val="255"/>
        </w:trPr>
        <w:tc>
          <w:tcPr>
            <w:tcW w:w="0" w:type="auto"/>
            <w:tcBorders>
              <w:top w:val="nil"/>
              <w:left w:val="nil"/>
              <w:bottom w:val="nil"/>
              <w:right w:val="nil"/>
            </w:tcBorders>
            <w:shd w:val="clear" w:color="auto" w:fill="auto"/>
            <w:noWrap/>
            <w:hideMark/>
          </w:tcPr>
          <w:p w:rsidR="00583BD3" w:rsidRPr="008A0207" w:rsidRDefault="00583BD3" w:rsidP="000727E8">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(-1.22)</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(-1.23)</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(-1.21)</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(-1.22)</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(-1.22)</w:t>
            </w:r>
          </w:p>
        </w:tc>
        <w:tc>
          <w:tcPr>
            <w:tcW w:w="922" w:type="dxa"/>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(-1.22)</w:t>
            </w:r>
          </w:p>
        </w:tc>
      </w:tr>
      <w:tr w:rsidR="00583BD3" w:rsidRPr="00C5569D" w:rsidTr="000727E8">
        <w:trPr>
          <w:trHeight w:hRule="exact" w:val="255"/>
        </w:trPr>
        <w:tc>
          <w:tcPr>
            <w:tcW w:w="0" w:type="auto"/>
            <w:tcBorders>
              <w:top w:val="nil"/>
              <w:left w:val="nil"/>
              <w:bottom w:val="nil"/>
              <w:right w:val="nil"/>
            </w:tcBorders>
            <w:shd w:val="clear" w:color="auto" w:fill="auto"/>
            <w:noWrap/>
            <w:hideMark/>
          </w:tcPr>
          <w:p w:rsidR="00583BD3" w:rsidRPr="008A0207" w:rsidRDefault="00583BD3" w:rsidP="000727E8">
            <w:pPr>
              <w:jc w:val="center"/>
              <w:rPr>
                <w:rFonts w:ascii="Garamond" w:hAnsi="Garamond" w:cs="Calibri"/>
                <w:color w:val="000000"/>
                <w:sz w:val="20"/>
                <w:szCs w:val="20"/>
              </w:rPr>
            </w:pPr>
            <w:r w:rsidRPr="008A0207">
              <w:rPr>
                <w:rFonts w:ascii="Garamond" w:hAnsi="Garamond" w:cs="Calibri"/>
                <w:color w:val="000000"/>
                <w:sz w:val="20"/>
                <w:szCs w:val="20"/>
              </w:rPr>
              <w:t>Constant</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-0.0473</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-0.0469</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-0.0448</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-0.0474</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-0.0447</w:t>
            </w:r>
          </w:p>
        </w:tc>
        <w:tc>
          <w:tcPr>
            <w:tcW w:w="922" w:type="dxa"/>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-0.0603</w:t>
            </w:r>
          </w:p>
        </w:tc>
      </w:tr>
      <w:tr w:rsidR="00583BD3" w:rsidRPr="00C5569D" w:rsidTr="000727E8">
        <w:trPr>
          <w:trHeight w:hRule="exact" w:val="255"/>
        </w:trPr>
        <w:tc>
          <w:tcPr>
            <w:tcW w:w="0" w:type="auto"/>
            <w:tcBorders>
              <w:top w:val="nil"/>
              <w:left w:val="nil"/>
              <w:bottom w:val="single" w:sz="4" w:space="0" w:color="auto"/>
              <w:right w:val="nil"/>
            </w:tcBorders>
            <w:shd w:val="clear" w:color="auto" w:fill="auto"/>
            <w:noWrap/>
            <w:hideMark/>
          </w:tcPr>
          <w:p w:rsidR="00583BD3" w:rsidRPr="004F6D3F" w:rsidRDefault="00583BD3" w:rsidP="000727E8">
            <w:pPr>
              <w:rPr>
                <w:rFonts w:ascii="Garamond" w:hAnsi="Garamond" w:cs="Calibri"/>
                <w:color w:val="000000"/>
                <w:sz w:val="20"/>
                <w:szCs w:val="20"/>
              </w:rPr>
            </w:pPr>
          </w:p>
        </w:tc>
        <w:tc>
          <w:tcPr>
            <w:tcW w:w="0" w:type="auto"/>
            <w:tcBorders>
              <w:top w:val="nil"/>
              <w:left w:val="nil"/>
              <w:bottom w:val="single" w:sz="4" w:space="0" w:color="auto"/>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(-0.48)</w:t>
            </w:r>
          </w:p>
        </w:tc>
        <w:tc>
          <w:tcPr>
            <w:tcW w:w="0" w:type="auto"/>
            <w:tcBorders>
              <w:top w:val="nil"/>
              <w:left w:val="nil"/>
              <w:bottom w:val="single" w:sz="4" w:space="0" w:color="auto"/>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(-0.48)</w:t>
            </w:r>
          </w:p>
        </w:tc>
        <w:tc>
          <w:tcPr>
            <w:tcW w:w="0" w:type="auto"/>
            <w:tcBorders>
              <w:top w:val="nil"/>
              <w:left w:val="nil"/>
              <w:bottom w:val="single" w:sz="4" w:space="0" w:color="auto"/>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(-0.45)</w:t>
            </w:r>
          </w:p>
        </w:tc>
        <w:tc>
          <w:tcPr>
            <w:tcW w:w="0" w:type="auto"/>
            <w:tcBorders>
              <w:top w:val="nil"/>
              <w:left w:val="nil"/>
              <w:bottom w:val="single" w:sz="4" w:space="0" w:color="auto"/>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(-0.48)</w:t>
            </w:r>
          </w:p>
        </w:tc>
        <w:tc>
          <w:tcPr>
            <w:tcW w:w="0" w:type="auto"/>
            <w:tcBorders>
              <w:top w:val="nil"/>
              <w:left w:val="nil"/>
              <w:bottom w:val="single" w:sz="4" w:space="0" w:color="auto"/>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(-0.45)</w:t>
            </w:r>
          </w:p>
        </w:tc>
        <w:tc>
          <w:tcPr>
            <w:tcW w:w="922" w:type="dxa"/>
            <w:tcBorders>
              <w:top w:val="nil"/>
              <w:left w:val="nil"/>
              <w:bottom w:val="single" w:sz="4" w:space="0" w:color="auto"/>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(-0.61)</w:t>
            </w:r>
          </w:p>
        </w:tc>
      </w:tr>
      <w:tr w:rsidR="00583BD3" w:rsidRPr="00C5569D" w:rsidTr="000727E8">
        <w:trPr>
          <w:trHeight w:hRule="exact" w:val="255"/>
        </w:trPr>
        <w:tc>
          <w:tcPr>
            <w:tcW w:w="0" w:type="auto"/>
            <w:tcBorders>
              <w:top w:val="single" w:sz="4" w:space="0" w:color="auto"/>
              <w:left w:val="nil"/>
              <w:bottom w:val="nil"/>
              <w:right w:val="nil"/>
            </w:tcBorders>
            <w:shd w:val="clear" w:color="auto" w:fill="auto"/>
            <w:noWrap/>
            <w:hideMark/>
          </w:tcPr>
          <w:p w:rsidR="00583BD3" w:rsidRPr="004F6D3F" w:rsidRDefault="00583BD3" w:rsidP="000727E8">
            <w:pPr>
              <w:jc w:val="center"/>
              <w:rPr>
                <w:rFonts w:ascii="Garamond" w:hAnsi="Garamond" w:cs="Calibri"/>
                <w:color w:val="000000"/>
                <w:sz w:val="20"/>
                <w:szCs w:val="20"/>
              </w:rPr>
            </w:pPr>
            <w:r w:rsidRPr="004F6D3F">
              <w:rPr>
                <w:rFonts w:ascii="Garamond" w:hAnsi="Garamond" w:cs="Calibri"/>
                <w:color w:val="000000"/>
                <w:sz w:val="20"/>
                <w:szCs w:val="20"/>
              </w:rPr>
              <w:t>Year Fixed Effects</w:t>
            </w:r>
          </w:p>
        </w:tc>
        <w:tc>
          <w:tcPr>
            <w:tcW w:w="0" w:type="auto"/>
            <w:tcBorders>
              <w:top w:val="single" w:sz="4" w:space="0" w:color="auto"/>
              <w:left w:val="nil"/>
              <w:bottom w:val="nil"/>
              <w:right w:val="nil"/>
            </w:tcBorders>
            <w:shd w:val="clear" w:color="auto" w:fill="auto"/>
            <w:noWrap/>
            <w:hideMark/>
          </w:tcPr>
          <w:p w:rsidR="00583BD3" w:rsidRPr="004F6D3F" w:rsidRDefault="00583BD3" w:rsidP="000727E8">
            <w:pPr>
              <w:rPr>
                <w:rFonts w:ascii="Garamond" w:hAnsi="Garamond" w:cs="Calibri"/>
                <w:color w:val="000000"/>
                <w:sz w:val="20"/>
                <w:szCs w:val="20"/>
              </w:rPr>
            </w:pPr>
            <w:r w:rsidRPr="004F6D3F">
              <w:rPr>
                <w:rFonts w:ascii="Garamond" w:hAnsi="Garamond" w:cs="Calibri"/>
                <w:color w:val="000000"/>
                <w:sz w:val="20"/>
                <w:szCs w:val="20"/>
              </w:rPr>
              <w:t>Yes</w:t>
            </w:r>
          </w:p>
        </w:tc>
        <w:tc>
          <w:tcPr>
            <w:tcW w:w="0" w:type="auto"/>
            <w:tcBorders>
              <w:top w:val="single" w:sz="4" w:space="0" w:color="auto"/>
              <w:left w:val="nil"/>
              <w:bottom w:val="nil"/>
              <w:right w:val="nil"/>
            </w:tcBorders>
            <w:shd w:val="clear" w:color="auto" w:fill="auto"/>
            <w:noWrap/>
            <w:hideMark/>
          </w:tcPr>
          <w:p w:rsidR="00583BD3" w:rsidRPr="004F6D3F" w:rsidRDefault="00583BD3" w:rsidP="000727E8">
            <w:pPr>
              <w:rPr>
                <w:rFonts w:ascii="Garamond" w:hAnsi="Garamond" w:cs="Calibri"/>
                <w:color w:val="000000"/>
                <w:sz w:val="20"/>
                <w:szCs w:val="20"/>
              </w:rPr>
            </w:pPr>
            <w:r w:rsidRPr="004F6D3F">
              <w:rPr>
                <w:rFonts w:ascii="Garamond" w:hAnsi="Garamond" w:cs="Calibri"/>
                <w:color w:val="000000"/>
                <w:sz w:val="20"/>
                <w:szCs w:val="20"/>
              </w:rPr>
              <w:t>Yes</w:t>
            </w:r>
          </w:p>
        </w:tc>
        <w:tc>
          <w:tcPr>
            <w:tcW w:w="0" w:type="auto"/>
            <w:tcBorders>
              <w:top w:val="single" w:sz="4" w:space="0" w:color="auto"/>
              <w:left w:val="nil"/>
              <w:bottom w:val="nil"/>
              <w:right w:val="nil"/>
            </w:tcBorders>
            <w:shd w:val="clear" w:color="auto" w:fill="auto"/>
            <w:noWrap/>
            <w:hideMark/>
          </w:tcPr>
          <w:p w:rsidR="00583BD3" w:rsidRPr="004F6D3F" w:rsidRDefault="00583BD3" w:rsidP="000727E8">
            <w:pPr>
              <w:rPr>
                <w:rFonts w:ascii="Garamond" w:hAnsi="Garamond" w:cs="Calibri"/>
                <w:color w:val="000000"/>
                <w:sz w:val="20"/>
                <w:szCs w:val="20"/>
              </w:rPr>
            </w:pPr>
            <w:r w:rsidRPr="004F6D3F">
              <w:rPr>
                <w:rFonts w:ascii="Garamond" w:hAnsi="Garamond" w:cs="Calibri"/>
                <w:color w:val="000000"/>
                <w:sz w:val="20"/>
                <w:szCs w:val="20"/>
              </w:rPr>
              <w:t>Yes</w:t>
            </w:r>
          </w:p>
        </w:tc>
        <w:tc>
          <w:tcPr>
            <w:tcW w:w="0" w:type="auto"/>
            <w:tcBorders>
              <w:top w:val="single" w:sz="4" w:space="0" w:color="auto"/>
              <w:left w:val="nil"/>
              <w:bottom w:val="nil"/>
              <w:right w:val="nil"/>
            </w:tcBorders>
            <w:shd w:val="clear" w:color="auto" w:fill="auto"/>
            <w:noWrap/>
            <w:hideMark/>
          </w:tcPr>
          <w:p w:rsidR="00583BD3" w:rsidRPr="004F6D3F" w:rsidRDefault="00583BD3" w:rsidP="000727E8">
            <w:pPr>
              <w:rPr>
                <w:rFonts w:ascii="Garamond" w:hAnsi="Garamond" w:cs="Calibri"/>
                <w:color w:val="000000"/>
                <w:sz w:val="20"/>
                <w:szCs w:val="20"/>
              </w:rPr>
            </w:pPr>
            <w:r w:rsidRPr="004F6D3F">
              <w:rPr>
                <w:rFonts w:ascii="Garamond" w:hAnsi="Garamond" w:cs="Calibri"/>
                <w:color w:val="000000"/>
                <w:sz w:val="20"/>
                <w:szCs w:val="20"/>
              </w:rPr>
              <w:t>Yes</w:t>
            </w:r>
          </w:p>
        </w:tc>
        <w:tc>
          <w:tcPr>
            <w:tcW w:w="0" w:type="auto"/>
            <w:tcBorders>
              <w:top w:val="single" w:sz="4" w:space="0" w:color="auto"/>
              <w:left w:val="nil"/>
              <w:bottom w:val="nil"/>
              <w:right w:val="nil"/>
            </w:tcBorders>
            <w:shd w:val="clear" w:color="auto" w:fill="auto"/>
            <w:noWrap/>
            <w:hideMark/>
          </w:tcPr>
          <w:p w:rsidR="00583BD3" w:rsidRPr="004F6D3F" w:rsidRDefault="00583BD3" w:rsidP="000727E8">
            <w:pPr>
              <w:rPr>
                <w:rFonts w:ascii="Garamond" w:hAnsi="Garamond" w:cs="Calibri"/>
                <w:color w:val="000000"/>
                <w:sz w:val="20"/>
                <w:szCs w:val="20"/>
              </w:rPr>
            </w:pPr>
            <w:r w:rsidRPr="004F6D3F">
              <w:rPr>
                <w:rFonts w:ascii="Garamond" w:hAnsi="Garamond" w:cs="Calibri"/>
                <w:color w:val="000000"/>
                <w:sz w:val="20"/>
                <w:szCs w:val="20"/>
              </w:rPr>
              <w:t>Yes</w:t>
            </w:r>
          </w:p>
        </w:tc>
        <w:tc>
          <w:tcPr>
            <w:tcW w:w="922" w:type="dxa"/>
            <w:tcBorders>
              <w:top w:val="single" w:sz="4" w:space="0" w:color="auto"/>
              <w:left w:val="nil"/>
              <w:bottom w:val="nil"/>
              <w:right w:val="nil"/>
            </w:tcBorders>
            <w:shd w:val="clear" w:color="auto" w:fill="auto"/>
            <w:noWrap/>
            <w:hideMark/>
          </w:tcPr>
          <w:p w:rsidR="00583BD3" w:rsidRPr="004F6D3F" w:rsidRDefault="00583BD3" w:rsidP="000727E8">
            <w:pPr>
              <w:rPr>
                <w:rFonts w:ascii="Garamond" w:hAnsi="Garamond" w:cs="Calibri"/>
                <w:color w:val="000000"/>
                <w:sz w:val="20"/>
                <w:szCs w:val="20"/>
              </w:rPr>
            </w:pPr>
            <w:r w:rsidRPr="004F6D3F">
              <w:rPr>
                <w:rFonts w:ascii="Garamond" w:hAnsi="Garamond" w:cs="Calibri"/>
                <w:color w:val="000000"/>
                <w:sz w:val="20"/>
                <w:szCs w:val="20"/>
              </w:rPr>
              <w:t>Yes</w:t>
            </w:r>
          </w:p>
        </w:tc>
      </w:tr>
      <w:tr w:rsidR="00583BD3" w:rsidRPr="00C5569D" w:rsidTr="000727E8">
        <w:trPr>
          <w:trHeight w:hRule="exact" w:val="255"/>
        </w:trPr>
        <w:tc>
          <w:tcPr>
            <w:tcW w:w="0" w:type="auto"/>
            <w:tcBorders>
              <w:top w:val="nil"/>
              <w:left w:val="nil"/>
              <w:bottom w:val="nil"/>
              <w:right w:val="nil"/>
            </w:tcBorders>
            <w:shd w:val="clear" w:color="auto" w:fill="FFFFFF" w:themeFill="background1"/>
            <w:noWrap/>
            <w:hideMark/>
          </w:tcPr>
          <w:p w:rsidR="00583BD3" w:rsidRPr="004F6D3F" w:rsidRDefault="00583BD3" w:rsidP="000727E8">
            <w:pPr>
              <w:jc w:val="center"/>
              <w:rPr>
                <w:rFonts w:ascii="Garamond" w:hAnsi="Garamond" w:cs="Calibri"/>
                <w:color w:val="000000"/>
                <w:sz w:val="20"/>
                <w:szCs w:val="20"/>
              </w:rPr>
            </w:pPr>
            <w:r w:rsidRPr="004F6D3F">
              <w:rPr>
                <w:rFonts w:ascii="Garamond" w:hAnsi="Garamond" w:cs="Calibri"/>
                <w:color w:val="000000"/>
                <w:sz w:val="20"/>
                <w:szCs w:val="20"/>
              </w:rPr>
              <w:t>Firm Fixed Effects</w:t>
            </w:r>
          </w:p>
        </w:tc>
        <w:tc>
          <w:tcPr>
            <w:tcW w:w="0" w:type="auto"/>
            <w:tcBorders>
              <w:top w:val="nil"/>
              <w:left w:val="nil"/>
              <w:bottom w:val="nil"/>
              <w:right w:val="nil"/>
            </w:tcBorders>
            <w:shd w:val="clear" w:color="auto" w:fill="auto"/>
            <w:noWrap/>
            <w:hideMark/>
          </w:tcPr>
          <w:p w:rsidR="00583BD3" w:rsidRPr="004F6D3F" w:rsidRDefault="00583BD3" w:rsidP="000727E8">
            <w:pPr>
              <w:rPr>
                <w:rFonts w:ascii="Garamond" w:hAnsi="Garamond" w:cs="Calibri"/>
                <w:color w:val="000000"/>
                <w:sz w:val="20"/>
                <w:szCs w:val="20"/>
              </w:rPr>
            </w:pPr>
            <w:r w:rsidRPr="004F6D3F">
              <w:rPr>
                <w:rFonts w:ascii="Garamond" w:hAnsi="Garamond" w:cs="Calibri"/>
                <w:color w:val="000000"/>
                <w:sz w:val="20"/>
                <w:szCs w:val="20"/>
              </w:rPr>
              <w:t>Yes</w:t>
            </w:r>
          </w:p>
        </w:tc>
        <w:tc>
          <w:tcPr>
            <w:tcW w:w="0" w:type="auto"/>
            <w:tcBorders>
              <w:top w:val="nil"/>
              <w:left w:val="nil"/>
              <w:bottom w:val="nil"/>
              <w:right w:val="nil"/>
            </w:tcBorders>
            <w:shd w:val="clear" w:color="auto" w:fill="auto"/>
            <w:noWrap/>
            <w:hideMark/>
          </w:tcPr>
          <w:p w:rsidR="00583BD3" w:rsidRPr="004F6D3F" w:rsidRDefault="00583BD3" w:rsidP="000727E8">
            <w:pPr>
              <w:rPr>
                <w:rFonts w:ascii="Garamond" w:hAnsi="Garamond" w:cs="Calibri"/>
                <w:color w:val="000000"/>
                <w:sz w:val="20"/>
                <w:szCs w:val="20"/>
              </w:rPr>
            </w:pPr>
            <w:r w:rsidRPr="004F6D3F">
              <w:rPr>
                <w:rFonts w:ascii="Garamond" w:hAnsi="Garamond" w:cs="Calibri"/>
                <w:color w:val="000000"/>
                <w:sz w:val="20"/>
                <w:szCs w:val="20"/>
              </w:rPr>
              <w:t>Yes</w:t>
            </w:r>
          </w:p>
        </w:tc>
        <w:tc>
          <w:tcPr>
            <w:tcW w:w="0" w:type="auto"/>
            <w:tcBorders>
              <w:top w:val="nil"/>
              <w:left w:val="nil"/>
              <w:bottom w:val="nil"/>
              <w:right w:val="nil"/>
            </w:tcBorders>
            <w:shd w:val="clear" w:color="auto" w:fill="auto"/>
            <w:noWrap/>
            <w:hideMark/>
          </w:tcPr>
          <w:p w:rsidR="00583BD3" w:rsidRPr="004F6D3F" w:rsidRDefault="00583BD3" w:rsidP="000727E8">
            <w:pPr>
              <w:rPr>
                <w:rFonts w:ascii="Garamond" w:hAnsi="Garamond" w:cs="Calibri"/>
                <w:color w:val="000000"/>
                <w:sz w:val="20"/>
                <w:szCs w:val="20"/>
              </w:rPr>
            </w:pPr>
            <w:r w:rsidRPr="004F6D3F">
              <w:rPr>
                <w:rFonts w:ascii="Garamond" w:hAnsi="Garamond" w:cs="Calibri"/>
                <w:color w:val="000000"/>
                <w:sz w:val="20"/>
                <w:szCs w:val="20"/>
              </w:rPr>
              <w:t>Yes</w:t>
            </w:r>
          </w:p>
        </w:tc>
        <w:tc>
          <w:tcPr>
            <w:tcW w:w="0" w:type="auto"/>
            <w:tcBorders>
              <w:top w:val="nil"/>
              <w:left w:val="nil"/>
              <w:bottom w:val="nil"/>
              <w:right w:val="nil"/>
            </w:tcBorders>
            <w:shd w:val="clear" w:color="auto" w:fill="auto"/>
            <w:noWrap/>
            <w:hideMark/>
          </w:tcPr>
          <w:p w:rsidR="00583BD3" w:rsidRPr="004F6D3F" w:rsidRDefault="00583BD3" w:rsidP="000727E8">
            <w:pPr>
              <w:rPr>
                <w:rFonts w:ascii="Garamond" w:hAnsi="Garamond" w:cs="Calibri"/>
                <w:color w:val="000000"/>
                <w:sz w:val="20"/>
                <w:szCs w:val="20"/>
              </w:rPr>
            </w:pPr>
            <w:r w:rsidRPr="004F6D3F">
              <w:rPr>
                <w:rFonts w:ascii="Garamond" w:hAnsi="Garamond" w:cs="Calibri"/>
                <w:color w:val="000000"/>
                <w:sz w:val="20"/>
                <w:szCs w:val="20"/>
              </w:rPr>
              <w:t>Yes</w:t>
            </w:r>
          </w:p>
        </w:tc>
        <w:tc>
          <w:tcPr>
            <w:tcW w:w="0" w:type="auto"/>
            <w:tcBorders>
              <w:top w:val="nil"/>
              <w:left w:val="nil"/>
              <w:bottom w:val="nil"/>
              <w:right w:val="nil"/>
            </w:tcBorders>
            <w:shd w:val="clear" w:color="auto" w:fill="auto"/>
            <w:noWrap/>
            <w:hideMark/>
          </w:tcPr>
          <w:p w:rsidR="00583BD3" w:rsidRPr="004F6D3F" w:rsidRDefault="00583BD3" w:rsidP="000727E8">
            <w:pPr>
              <w:rPr>
                <w:rFonts w:ascii="Garamond" w:hAnsi="Garamond" w:cs="Calibri"/>
                <w:color w:val="000000"/>
                <w:sz w:val="20"/>
                <w:szCs w:val="20"/>
              </w:rPr>
            </w:pPr>
            <w:r w:rsidRPr="004F6D3F">
              <w:rPr>
                <w:rFonts w:ascii="Garamond" w:hAnsi="Garamond" w:cs="Calibri"/>
                <w:color w:val="000000"/>
                <w:sz w:val="20"/>
                <w:szCs w:val="20"/>
              </w:rPr>
              <w:t>Yes</w:t>
            </w:r>
          </w:p>
        </w:tc>
        <w:tc>
          <w:tcPr>
            <w:tcW w:w="922" w:type="dxa"/>
            <w:tcBorders>
              <w:top w:val="nil"/>
              <w:left w:val="nil"/>
              <w:bottom w:val="nil"/>
              <w:right w:val="nil"/>
            </w:tcBorders>
            <w:shd w:val="clear" w:color="auto" w:fill="auto"/>
            <w:noWrap/>
            <w:hideMark/>
          </w:tcPr>
          <w:p w:rsidR="00583BD3" w:rsidRPr="004F6D3F" w:rsidRDefault="00583BD3" w:rsidP="000727E8">
            <w:pPr>
              <w:rPr>
                <w:rFonts w:ascii="Garamond" w:hAnsi="Garamond" w:cs="Calibri"/>
                <w:color w:val="000000"/>
                <w:sz w:val="20"/>
                <w:szCs w:val="20"/>
              </w:rPr>
            </w:pPr>
            <w:r w:rsidRPr="004F6D3F">
              <w:rPr>
                <w:rFonts w:ascii="Garamond" w:hAnsi="Garamond" w:cs="Calibri"/>
                <w:color w:val="000000"/>
                <w:sz w:val="20"/>
                <w:szCs w:val="20"/>
              </w:rPr>
              <w:t>Yes</w:t>
            </w:r>
          </w:p>
        </w:tc>
      </w:tr>
      <w:tr w:rsidR="00583BD3" w:rsidRPr="00C5569D" w:rsidTr="000727E8">
        <w:trPr>
          <w:trHeight w:hRule="exact" w:val="255"/>
        </w:trPr>
        <w:tc>
          <w:tcPr>
            <w:tcW w:w="0" w:type="auto"/>
            <w:tcBorders>
              <w:top w:val="nil"/>
              <w:left w:val="nil"/>
              <w:bottom w:val="nil"/>
              <w:right w:val="nil"/>
            </w:tcBorders>
            <w:shd w:val="clear" w:color="auto" w:fill="auto"/>
            <w:noWrap/>
            <w:hideMark/>
          </w:tcPr>
          <w:p w:rsidR="00583BD3" w:rsidRPr="004F6D3F" w:rsidRDefault="00583BD3" w:rsidP="000727E8">
            <w:pPr>
              <w:jc w:val="center"/>
              <w:rPr>
                <w:rFonts w:ascii="Garamond" w:hAnsi="Garamond" w:cs="Calibri"/>
                <w:color w:val="000000"/>
                <w:sz w:val="20"/>
                <w:szCs w:val="20"/>
              </w:rPr>
            </w:pPr>
            <w:proofErr w:type="spellStart"/>
            <w:r w:rsidRPr="004F6D3F">
              <w:rPr>
                <w:rFonts w:ascii="Garamond" w:hAnsi="Garamond" w:cs="Calibri"/>
                <w:color w:val="000000"/>
                <w:sz w:val="20"/>
                <w:szCs w:val="20"/>
              </w:rPr>
              <w:t>Adj</w:t>
            </w:r>
            <w:proofErr w:type="spellEnd"/>
            <w:r w:rsidRPr="004F6D3F">
              <w:rPr>
                <w:rFonts w:ascii="Garamond" w:hAnsi="Garamond" w:cs="Calibri"/>
                <w:color w:val="000000"/>
                <w:sz w:val="20"/>
                <w:szCs w:val="20"/>
              </w:rPr>
              <w:t xml:space="preserve"> R-square</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0.2405</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0.2405</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0.2405</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0.2405</w:t>
            </w:r>
          </w:p>
        </w:tc>
        <w:tc>
          <w:tcPr>
            <w:tcW w:w="0" w:type="auto"/>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0.2404</w:t>
            </w:r>
          </w:p>
        </w:tc>
        <w:tc>
          <w:tcPr>
            <w:tcW w:w="922" w:type="dxa"/>
            <w:tcBorders>
              <w:top w:val="nil"/>
              <w:left w:val="nil"/>
              <w:bottom w:val="nil"/>
              <w:right w:val="nil"/>
            </w:tcBorders>
            <w:shd w:val="clear" w:color="auto" w:fill="auto"/>
            <w:noWrap/>
            <w:vAlign w:val="center"/>
            <w:hideMark/>
          </w:tcPr>
          <w:p w:rsidR="00583BD3" w:rsidRPr="00C5569D" w:rsidRDefault="00583BD3" w:rsidP="000727E8">
            <w:pPr>
              <w:rPr>
                <w:rFonts w:ascii="Garamond" w:hAnsi="Garamond" w:cs="Calibri"/>
                <w:color w:val="000000"/>
                <w:sz w:val="20"/>
                <w:szCs w:val="20"/>
              </w:rPr>
            </w:pPr>
            <w:r w:rsidRPr="00C5569D">
              <w:rPr>
                <w:rFonts w:ascii="Garamond" w:hAnsi="Garamond" w:cs="Calibri" w:hint="eastAsia"/>
                <w:color w:val="000000"/>
                <w:sz w:val="20"/>
                <w:szCs w:val="20"/>
              </w:rPr>
              <w:t>0.2406</w:t>
            </w:r>
          </w:p>
        </w:tc>
      </w:tr>
      <w:tr w:rsidR="00583BD3" w:rsidRPr="00C5569D" w:rsidTr="000727E8">
        <w:trPr>
          <w:trHeight w:hRule="exact" w:val="255"/>
        </w:trPr>
        <w:tc>
          <w:tcPr>
            <w:tcW w:w="0" w:type="auto"/>
            <w:tcBorders>
              <w:top w:val="nil"/>
              <w:left w:val="nil"/>
              <w:right w:val="nil"/>
            </w:tcBorders>
            <w:shd w:val="clear" w:color="auto" w:fill="auto"/>
            <w:noWrap/>
            <w:hideMark/>
          </w:tcPr>
          <w:p w:rsidR="00583BD3" w:rsidRPr="004F6D3F" w:rsidRDefault="00583BD3" w:rsidP="000727E8">
            <w:pPr>
              <w:jc w:val="center"/>
              <w:rPr>
                <w:rFonts w:ascii="Garamond" w:hAnsi="Garamond" w:cs="Calibri"/>
                <w:color w:val="000000"/>
                <w:sz w:val="20"/>
                <w:szCs w:val="20"/>
              </w:rPr>
            </w:pPr>
            <w:r w:rsidRPr="004F6D3F">
              <w:rPr>
                <w:rFonts w:ascii="Garamond" w:hAnsi="Garamond" w:cs="Calibri"/>
                <w:color w:val="000000"/>
                <w:sz w:val="20"/>
                <w:szCs w:val="20"/>
              </w:rPr>
              <w:t>No. of Observation</w:t>
            </w:r>
          </w:p>
        </w:tc>
        <w:tc>
          <w:tcPr>
            <w:tcW w:w="0" w:type="auto"/>
            <w:tcBorders>
              <w:top w:val="nil"/>
              <w:left w:val="nil"/>
              <w:right w:val="nil"/>
            </w:tcBorders>
            <w:shd w:val="clear" w:color="auto" w:fill="auto"/>
            <w:noWrap/>
            <w:hideMark/>
          </w:tcPr>
          <w:p w:rsidR="00583BD3" w:rsidRPr="004F6D3F" w:rsidRDefault="00583BD3" w:rsidP="000727E8">
            <w:pPr>
              <w:rPr>
                <w:rFonts w:ascii="Garamond" w:hAnsi="Garamond" w:cs="Calibri"/>
                <w:color w:val="000000"/>
                <w:sz w:val="20"/>
                <w:szCs w:val="20"/>
              </w:rPr>
            </w:pPr>
            <w:r w:rsidRPr="004F6D3F">
              <w:rPr>
                <w:rFonts w:ascii="Garamond" w:hAnsi="Garamond" w:cs="Calibri"/>
                <w:color w:val="000000"/>
                <w:sz w:val="20"/>
                <w:szCs w:val="20"/>
              </w:rPr>
              <w:t>6,299</w:t>
            </w:r>
          </w:p>
        </w:tc>
        <w:tc>
          <w:tcPr>
            <w:tcW w:w="0" w:type="auto"/>
            <w:tcBorders>
              <w:top w:val="nil"/>
              <w:left w:val="nil"/>
              <w:right w:val="nil"/>
            </w:tcBorders>
            <w:shd w:val="clear" w:color="auto" w:fill="auto"/>
            <w:noWrap/>
            <w:hideMark/>
          </w:tcPr>
          <w:p w:rsidR="00583BD3" w:rsidRPr="004F6D3F" w:rsidRDefault="00583BD3" w:rsidP="000727E8">
            <w:pPr>
              <w:rPr>
                <w:rFonts w:ascii="Garamond" w:hAnsi="Garamond" w:cs="Calibri"/>
                <w:color w:val="000000"/>
                <w:sz w:val="20"/>
                <w:szCs w:val="20"/>
              </w:rPr>
            </w:pPr>
            <w:r w:rsidRPr="004F6D3F">
              <w:rPr>
                <w:rFonts w:ascii="Garamond" w:hAnsi="Garamond" w:cs="Calibri"/>
                <w:color w:val="000000"/>
                <w:sz w:val="20"/>
                <w:szCs w:val="20"/>
              </w:rPr>
              <w:t>6,299</w:t>
            </w:r>
          </w:p>
        </w:tc>
        <w:tc>
          <w:tcPr>
            <w:tcW w:w="0" w:type="auto"/>
            <w:tcBorders>
              <w:top w:val="nil"/>
              <w:left w:val="nil"/>
              <w:right w:val="nil"/>
            </w:tcBorders>
            <w:shd w:val="clear" w:color="auto" w:fill="auto"/>
            <w:noWrap/>
            <w:hideMark/>
          </w:tcPr>
          <w:p w:rsidR="00583BD3" w:rsidRPr="004F6D3F" w:rsidRDefault="00583BD3" w:rsidP="000727E8">
            <w:pPr>
              <w:rPr>
                <w:rFonts w:ascii="Garamond" w:hAnsi="Garamond" w:cs="Calibri"/>
                <w:color w:val="000000"/>
                <w:sz w:val="20"/>
                <w:szCs w:val="20"/>
              </w:rPr>
            </w:pPr>
            <w:r w:rsidRPr="004F6D3F">
              <w:rPr>
                <w:rFonts w:ascii="Garamond" w:hAnsi="Garamond" w:cs="Calibri"/>
                <w:color w:val="000000"/>
                <w:sz w:val="20"/>
                <w:szCs w:val="20"/>
              </w:rPr>
              <w:t>6,299</w:t>
            </w:r>
          </w:p>
        </w:tc>
        <w:tc>
          <w:tcPr>
            <w:tcW w:w="0" w:type="auto"/>
            <w:tcBorders>
              <w:top w:val="nil"/>
              <w:left w:val="nil"/>
              <w:right w:val="nil"/>
            </w:tcBorders>
            <w:shd w:val="clear" w:color="auto" w:fill="auto"/>
            <w:noWrap/>
            <w:hideMark/>
          </w:tcPr>
          <w:p w:rsidR="00583BD3" w:rsidRPr="004F6D3F" w:rsidRDefault="00583BD3" w:rsidP="000727E8">
            <w:pPr>
              <w:rPr>
                <w:rFonts w:ascii="Garamond" w:hAnsi="Garamond" w:cs="Calibri"/>
                <w:color w:val="000000"/>
                <w:sz w:val="20"/>
                <w:szCs w:val="20"/>
              </w:rPr>
            </w:pPr>
            <w:r w:rsidRPr="004F6D3F">
              <w:rPr>
                <w:rFonts w:ascii="Garamond" w:hAnsi="Garamond" w:cs="Calibri"/>
                <w:color w:val="000000"/>
                <w:sz w:val="20"/>
                <w:szCs w:val="20"/>
              </w:rPr>
              <w:t>6,299</w:t>
            </w:r>
          </w:p>
        </w:tc>
        <w:tc>
          <w:tcPr>
            <w:tcW w:w="0" w:type="auto"/>
            <w:tcBorders>
              <w:top w:val="nil"/>
              <w:left w:val="nil"/>
              <w:right w:val="nil"/>
            </w:tcBorders>
            <w:shd w:val="clear" w:color="auto" w:fill="auto"/>
            <w:noWrap/>
            <w:hideMark/>
          </w:tcPr>
          <w:p w:rsidR="00583BD3" w:rsidRPr="004F6D3F" w:rsidRDefault="00583BD3" w:rsidP="000727E8">
            <w:pPr>
              <w:rPr>
                <w:rFonts w:ascii="Garamond" w:hAnsi="Garamond" w:cs="Calibri"/>
                <w:color w:val="000000"/>
                <w:sz w:val="20"/>
                <w:szCs w:val="20"/>
              </w:rPr>
            </w:pPr>
            <w:r w:rsidRPr="004F6D3F">
              <w:rPr>
                <w:rFonts w:ascii="Garamond" w:hAnsi="Garamond" w:cs="Calibri"/>
                <w:color w:val="000000"/>
                <w:sz w:val="20"/>
                <w:szCs w:val="20"/>
              </w:rPr>
              <w:t>6,299</w:t>
            </w:r>
          </w:p>
        </w:tc>
        <w:tc>
          <w:tcPr>
            <w:tcW w:w="922" w:type="dxa"/>
            <w:tcBorders>
              <w:top w:val="nil"/>
              <w:left w:val="nil"/>
              <w:right w:val="nil"/>
            </w:tcBorders>
            <w:shd w:val="clear" w:color="auto" w:fill="auto"/>
            <w:noWrap/>
            <w:hideMark/>
          </w:tcPr>
          <w:p w:rsidR="00583BD3" w:rsidRPr="004F6D3F" w:rsidRDefault="00583BD3" w:rsidP="000727E8">
            <w:pPr>
              <w:rPr>
                <w:rFonts w:ascii="Garamond" w:hAnsi="Garamond" w:cs="Calibri"/>
                <w:color w:val="000000"/>
                <w:sz w:val="20"/>
                <w:szCs w:val="20"/>
              </w:rPr>
            </w:pPr>
            <w:r w:rsidRPr="004F6D3F">
              <w:rPr>
                <w:rFonts w:ascii="Garamond" w:hAnsi="Garamond" w:cs="Calibri"/>
                <w:color w:val="000000"/>
                <w:sz w:val="20"/>
                <w:szCs w:val="20"/>
              </w:rPr>
              <w:t>6,299</w:t>
            </w:r>
          </w:p>
        </w:tc>
      </w:tr>
      <w:tr w:rsidR="00583BD3" w:rsidRPr="004F6D3F" w:rsidTr="000727E8">
        <w:trPr>
          <w:trHeight w:hRule="exact" w:val="255"/>
        </w:trPr>
        <w:tc>
          <w:tcPr>
            <w:tcW w:w="0" w:type="auto"/>
            <w:tcBorders>
              <w:top w:val="nil"/>
              <w:left w:val="nil"/>
              <w:bottom w:val="nil"/>
              <w:right w:val="nil"/>
            </w:tcBorders>
            <w:shd w:val="clear" w:color="auto" w:fill="auto"/>
            <w:noWrap/>
            <w:hideMark/>
          </w:tcPr>
          <w:p w:rsidR="00583BD3" w:rsidRPr="004F6D3F" w:rsidRDefault="00583BD3" w:rsidP="000727E8">
            <w:pPr>
              <w:jc w:val="center"/>
              <w:rPr>
                <w:rFonts w:ascii="Garamond" w:hAnsi="Garamond" w:cs="Calibri"/>
                <w:color w:val="000000"/>
                <w:sz w:val="20"/>
                <w:szCs w:val="20"/>
              </w:rPr>
            </w:pPr>
            <w:r w:rsidRPr="004F6D3F">
              <w:rPr>
                <w:rFonts w:ascii="Garamond" w:hAnsi="Garamond" w:cs="Calibri"/>
                <w:color w:val="000000"/>
                <w:sz w:val="20"/>
                <w:szCs w:val="20"/>
              </w:rPr>
              <w:t>No. of Female CFO</w:t>
            </w:r>
          </w:p>
        </w:tc>
        <w:tc>
          <w:tcPr>
            <w:tcW w:w="0" w:type="auto"/>
            <w:tcBorders>
              <w:top w:val="nil"/>
              <w:left w:val="nil"/>
              <w:bottom w:val="nil"/>
              <w:right w:val="nil"/>
            </w:tcBorders>
            <w:shd w:val="clear" w:color="auto" w:fill="auto"/>
            <w:noWrap/>
            <w:hideMark/>
          </w:tcPr>
          <w:p w:rsidR="00583BD3" w:rsidRPr="004F6D3F" w:rsidRDefault="00583BD3" w:rsidP="000727E8">
            <w:pPr>
              <w:rPr>
                <w:rFonts w:ascii="Garamond" w:hAnsi="Garamond" w:cs="Calibri"/>
                <w:color w:val="000000"/>
                <w:sz w:val="20"/>
                <w:szCs w:val="20"/>
              </w:rPr>
            </w:pPr>
            <w:r w:rsidRPr="004F6D3F">
              <w:rPr>
                <w:rFonts w:ascii="Garamond" w:hAnsi="Garamond" w:cs="Calibri"/>
                <w:color w:val="000000"/>
                <w:sz w:val="20"/>
                <w:szCs w:val="20"/>
              </w:rPr>
              <w:t>329</w:t>
            </w:r>
          </w:p>
        </w:tc>
        <w:tc>
          <w:tcPr>
            <w:tcW w:w="0" w:type="auto"/>
            <w:tcBorders>
              <w:top w:val="nil"/>
              <w:left w:val="nil"/>
              <w:bottom w:val="nil"/>
              <w:right w:val="nil"/>
            </w:tcBorders>
            <w:shd w:val="clear" w:color="auto" w:fill="auto"/>
            <w:noWrap/>
            <w:hideMark/>
          </w:tcPr>
          <w:p w:rsidR="00583BD3" w:rsidRPr="004F6D3F" w:rsidRDefault="00583BD3" w:rsidP="000727E8">
            <w:pPr>
              <w:rPr>
                <w:rFonts w:ascii="Garamond" w:hAnsi="Garamond" w:cs="Calibri"/>
                <w:color w:val="000000"/>
                <w:sz w:val="20"/>
                <w:szCs w:val="20"/>
              </w:rPr>
            </w:pPr>
            <w:r w:rsidRPr="004F6D3F">
              <w:rPr>
                <w:rFonts w:ascii="Garamond" w:hAnsi="Garamond" w:cs="Calibri"/>
                <w:color w:val="000000"/>
                <w:sz w:val="20"/>
                <w:szCs w:val="20"/>
              </w:rPr>
              <w:t>329</w:t>
            </w:r>
          </w:p>
        </w:tc>
        <w:tc>
          <w:tcPr>
            <w:tcW w:w="0" w:type="auto"/>
            <w:tcBorders>
              <w:top w:val="nil"/>
              <w:left w:val="nil"/>
              <w:bottom w:val="nil"/>
              <w:right w:val="nil"/>
            </w:tcBorders>
            <w:shd w:val="clear" w:color="auto" w:fill="auto"/>
            <w:noWrap/>
            <w:hideMark/>
          </w:tcPr>
          <w:p w:rsidR="00583BD3" w:rsidRPr="004F6D3F" w:rsidRDefault="00583BD3" w:rsidP="000727E8">
            <w:pPr>
              <w:rPr>
                <w:rFonts w:ascii="Garamond" w:hAnsi="Garamond" w:cs="Calibri"/>
                <w:color w:val="000000"/>
                <w:sz w:val="20"/>
                <w:szCs w:val="20"/>
              </w:rPr>
            </w:pPr>
            <w:r w:rsidRPr="004F6D3F">
              <w:rPr>
                <w:rFonts w:ascii="Garamond" w:hAnsi="Garamond" w:cs="Calibri"/>
                <w:color w:val="000000"/>
                <w:sz w:val="20"/>
                <w:szCs w:val="20"/>
              </w:rPr>
              <w:t>329</w:t>
            </w:r>
          </w:p>
        </w:tc>
        <w:tc>
          <w:tcPr>
            <w:tcW w:w="0" w:type="auto"/>
            <w:tcBorders>
              <w:top w:val="nil"/>
              <w:left w:val="nil"/>
              <w:bottom w:val="nil"/>
              <w:right w:val="nil"/>
            </w:tcBorders>
            <w:shd w:val="clear" w:color="auto" w:fill="auto"/>
            <w:noWrap/>
            <w:hideMark/>
          </w:tcPr>
          <w:p w:rsidR="00583BD3" w:rsidRPr="004F6D3F" w:rsidRDefault="00583BD3" w:rsidP="000727E8">
            <w:pPr>
              <w:rPr>
                <w:rFonts w:ascii="Garamond" w:hAnsi="Garamond" w:cs="Calibri"/>
                <w:color w:val="000000"/>
                <w:sz w:val="20"/>
                <w:szCs w:val="20"/>
              </w:rPr>
            </w:pPr>
            <w:r w:rsidRPr="004F6D3F">
              <w:rPr>
                <w:rFonts w:ascii="Garamond" w:hAnsi="Garamond" w:cs="Calibri"/>
                <w:color w:val="000000"/>
                <w:sz w:val="20"/>
                <w:szCs w:val="20"/>
              </w:rPr>
              <w:t>329</w:t>
            </w:r>
          </w:p>
        </w:tc>
        <w:tc>
          <w:tcPr>
            <w:tcW w:w="0" w:type="auto"/>
            <w:tcBorders>
              <w:top w:val="nil"/>
              <w:left w:val="nil"/>
              <w:bottom w:val="nil"/>
              <w:right w:val="nil"/>
            </w:tcBorders>
            <w:shd w:val="clear" w:color="auto" w:fill="auto"/>
            <w:noWrap/>
            <w:hideMark/>
          </w:tcPr>
          <w:p w:rsidR="00583BD3" w:rsidRPr="004F6D3F" w:rsidRDefault="00583BD3" w:rsidP="000727E8">
            <w:pPr>
              <w:rPr>
                <w:rFonts w:ascii="Garamond" w:hAnsi="Garamond" w:cs="Calibri"/>
                <w:color w:val="000000"/>
                <w:sz w:val="20"/>
                <w:szCs w:val="20"/>
              </w:rPr>
            </w:pPr>
            <w:r w:rsidRPr="004F6D3F">
              <w:rPr>
                <w:rFonts w:ascii="Garamond" w:hAnsi="Garamond" w:cs="Calibri"/>
                <w:color w:val="000000"/>
                <w:sz w:val="20"/>
                <w:szCs w:val="20"/>
              </w:rPr>
              <w:t>329</w:t>
            </w:r>
          </w:p>
        </w:tc>
        <w:tc>
          <w:tcPr>
            <w:tcW w:w="922" w:type="dxa"/>
            <w:tcBorders>
              <w:top w:val="nil"/>
              <w:left w:val="nil"/>
              <w:bottom w:val="nil"/>
              <w:right w:val="nil"/>
            </w:tcBorders>
            <w:shd w:val="clear" w:color="auto" w:fill="auto"/>
            <w:noWrap/>
            <w:hideMark/>
          </w:tcPr>
          <w:p w:rsidR="00583BD3" w:rsidRPr="004F6D3F" w:rsidRDefault="00583BD3" w:rsidP="000727E8">
            <w:pPr>
              <w:rPr>
                <w:rFonts w:ascii="Garamond" w:hAnsi="Garamond" w:cs="Calibri"/>
                <w:color w:val="000000"/>
                <w:sz w:val="20"/>
                <w:szCs w:val="20"/>
              </w:rPr>
            </w:pPr>
            <w:r w:rsidRPr="004F6D3F">
              <w:rPr>
                <w:rFonts w:ascii="Garamond" w:hAnsi="Garamond" w:cs="Calibri"/>
                <w:color w:val="000000"/>
                <w:sz w:val="20"/>
                <w:szCs w:val="20"/>
              </w:rPr>
              <w:t>329</w:t>
            </w:r>
          </w:p>
        </w:tc>
      </w:tr>
      <w:tr w:rsidR="00583BD3" w:rsidRPr="004F6D3F" w:rsidTr="000727E8">
        <w:trPr>
          <w:trHeight w:hRule="exact" w:val="255"/>
        </w:trPr>
        <w:tc>
          <w:tcPr>
            <w:tcW w:w="0" w:type="auto"/>
            <w:tcBorders>
              <w:top w:val="nil"/>
              <w:left w:val="nil"/>
              <w:bottom w:val="single" w:sz="4" w:space="0" w:color="auto"/>
              <w:right w:val="nil"/>
            </w:tcBorders>
            <w:shd w:val="clear" w:color="auto" w:fill="auto"/>
            <w:noWrap/>
            <w:hideMark/>
          </w:tcPr>
          <w:p w:rsidR="00583BD3" w:rsidRPr="004F6D3F" w:rsidRDefault="00583BD3" w:rsidP="000727E8">
            <w:pPr>
              <w:jc w:val="center"/>
              <w:rPr>
                <w:rFonts w:ascii="Garamond" w:hAnsi="Garamond" w:cs="Calibri"/>
                <w:color w:val="000000"/>
                <w:sz w:val="20"/>
                <w:szCs w:val="20"/>
              </w:rPr>
            </w:pPr>
            <w:r>
              <w:rPr>
                <w:rFonts w:ascii="Garamond" w:hAnsi="Garamond" w:cs="Calibri"/>
                <w:color w:val="000000"/>
                <w:sz w:val="20"/>
                <w:szCs w:val="20"/>
              </w:rPr>
              <w:t>Average Leverage</w:t>
            </w:r>
          </w:p>
        </w:tc>
        <w:tc>
          <w:tcPr>
            <w:tcW w:w="0" w:type="auto"/>
            <w:tcBorders>
              <w:top w:val="nil"/>
              <w:left w:val="nil"/>
              <w:bottom w:val="single" w:sz="4" w:space="0" w:color="auto"/>
              <w:right w:val="nil"/>
            </w:tcBorders>
            <w:shd w:val="clear" w:color="auto" w:fill="auto"/>
            <w:noWrap/>
            <w:hideMark/>
          </w:tcPr>
          <w:p w:rsidR="00583BD3" w:rsidRPr="004F6D3F" w:rsidRDefault="00583BD3" w:rsidP="000727E8">
            <w:pPr>
              <w:rPr>
                <w:rFonts w:ascii="Garamond" w:hAnsi="Garamond" w:cs="Calibri"/>
                <w:color w:val="000000"/>
                <w:sz w:val="20"/>
                <w:szCs w:val="20"/>
              </w:rPr>
            </w:pPr>
            <w:r>
              <w:rPr>
                <w:rFonts w:ascii="Garamond" w:hAnsi="Garamond" w:cs="Calibri"/>
                <w:color w:val="000000"/>
                <w:sz w:val="20"/>
                <w:szCs w:val="20"/>
              </w:rPr>
              <w:t>0.2677</w:t>
            </w:r>
          </w:p>
        </w:tc>
        <w:tc>
          <w:tcPr>
            <w:tcW w:w="0" w:type="auto"/>
            <w:tcBorders>
              <w:top w:val="nil"/>
              <w:left w:val="nil"/>
              <w:bottom w:val="single" w:sz="4" w:space="0" w:color="auto"/>
              <w:right w:val="nil"/>
            </w:tcBorders>
            <w:shd w:val="clear" w:color="auto" w:fill="auto"/>
            <w:noWrap/>
            <w:hideMark/>
          </w:tcPr>
          <w:p w:rsidR="00583BD3" w:rsidRPr="004F6D3F" w:rsidRDefault="00583BD3" w:rsidP="000727E8">
            <w:pPr>
              <w:rPr>
                <w:rFonts w:ascii="Garamond" w:hAnsi="Garamond" w:cs="Calibri"/>
                <w:color w:val="000000"/>
                <w:sz w:val="20"/>
                <w:szCs w:val="20"/>
              </w:rPr>
            </w:pPr>
            <w:r>
              <w:rPr>
                <w:rFonts w:ascii="Garamond" w:hAnsi="Garamond" w:cs="Calibri"/>
                <w:color w:val="000000"/>
                <w:sz w:val="20"/>
                <w:szCs w:val="20"/>
              </w:rPr>
              <w:t>0.2677</w:t>
            </w:r>
          </w:p>
        </w:tc>
        <w:tc>
          <w:tcPr>
            <w:tcW w:w="0" w:type="auto"/>
            <w:tcBorders>
              <w:top w:val="nil"/>
              <w:left w:val="nil"/>
              <w:bottom w:val="single" w:sz="4" w:space="0" w:color="auto"/>
              <w:right w:val="nil"/>
            </w:tcBorders>
            <w:shd w:val="clear" w:color="auto" w:fill="auto"/>
            <w:noWrap/>
            <w:hideMark/>
          </w:tcPr>
          <w:p w:rsidR="00583BD3" w:rsidRPr="004F6D3F" w:rsidRDefault="00583BD3" w:rsidP="000727E8">
            <w:pPr>
              <w:rPr>
                <w:rFonts w:ascii="Garamond" w:hAnsi="Garamond" w:cs="Calibri"/>
                <w:color w:val="000000"/>
                <w:sz w:val="20"/>
                <w:szCs w:val="20"/>
              </w:rPr>
            </w:pPr>
            <w:r>
              <w:rPr>
                <w:rFonts w:ascii="Garamond" w:hAnsi="Garamond" w:cs="Calibri"/>
                <w:color w:val="000000"/>
                <w:sz w:val="20"/>
                <w:szCs w:val="20"/>
              </w:rPr>
              <w:t>0.2677</w:t>
            </w:r>
          </w:p>
        </w:tc>
        <w:tc>
          <w:tcPr>
            <w:tcW w:w="0" w:type="auto"/>
            <w:tcBorders>
              <w:top w:val="nil"/>
              <w:left w:val="nil"/>
              <w:bottom w:val="single" w:sz="4" w:space="0" w:color="auto"/>
              <w:right w:val="nil"/>
            </w:tcBorders>
            <w:shd w:val="clear" w:color="auto" w:fill="auto"/>
            <w:noWrap/>
            <w:hideMark/>
          </w:tcPr>
          <w:p w:rsidR="00583BD3" w:rsidRPr="004F6D3F" w:rsidRDefault="00583BD3" w:rsidP="000727E8">
            <w:pPr>
              <w:rPr>
                <w:rFonts w:ascii="Garamond" w:hAnsi="Garamond" w:cs="Calibri"/>
                <w:color w:val="000000"/>
                <w:sz w:val="20"/>
                <w:szCs w:val="20"/>
              </w:rPr>
            </w:pPr>
            <w:r>
              <w:rPr>
                <w:rFonts w:ascii="Garamond" w:hAnsi="Garamond" w:cs="Calibri"/>
                <w:color w:val="000000"/>
                <w:sz w:val="20"/>
                <w:szCs w:val="20"/>
              </w:rPr>
              <w:t>0.2677</w:t>
            </w:r>
          </w:p>
        </w:tc>
        <w:tc>
          <w:tcPr>
            <w:tcW w:w="0" w:type="auto"/>
            <w:tcBorders>
              <w:top w:val="nil"/>
              <w:left w:val="nil"/>
              <w:bottom w:val="single" w:sz="4" w:space="0" w:color="auto"/>
              <w:right w:val="nil"/>
            </w:tcBorders>
            <w:shd w:val="clear" w:color="auto" w:fill="auto"/>
            <w:noWrap/>
            <w:hideMark/>
          </w:tcPr>
          <w:p w:rsidR="00583BD3" w:rsidRPr="004F6D3F" w:rsidRDefault="00583BD3" w:rsidP="000727E8">
            <w:pPr>
              <w:rPr>
                <w:rFonts w:ascii="Garamond" w:hAnsi="Garamond" w:cs="Calibri"/>
                <w:color w:val="000000"/>
                <w:sz w:val="20"/>
                <w:szCs w:val="20"/>
              </w:rPr>
            </w:pPr>
            <w:r>
              <w:rPr>
                <w:rFonts w:ascii="Garamond" w:hAnsi="Garamond" w:cs="Calibri"/>
                <w:color w:val="000000"/>
                <w:sz w:val="20"/>
                <w:szCs w:val="20"/>
              </w:rPr>
              <w:t>0.2677</w:t>
            </w:r>
          </w:p>
        </w:tc>
        <w:tc>
          <w:tcPr>
            <w:tcW w:w="922" w:type="dxa"/>
            <w:tcBorders>
              <w:top w:val="nil"/>
              <w:left w:val="nil"/>
              <w:bottom w:val="single" w:sz="4" w:space="0" w:color="auto"/>
              <w:right w:val="nil"/>
            </w:tcBorders>
            <w:shd w:val="clear" w:color="auto" w:fill="auto"/>
            <w:noWrap/>
            <w:hideMark/>
          </w:tcPr>
          <w:p w:rsidR="00583BD3" w:rsidRPr="004F6D3F" w:rsidRDefault="00583BD3" w:rsidP="000727E8">
            <w:pPr>
              <w:rPr>
                <w:rFonts w:ascii="Garamond" w:hAnsi="Garamond" w:cs="Calibri"/>
                <w:color w:val="000000"/>
                <w:sz w:val="20"/>
                <w:szCs w:val="20"/>
              </w:rPr>
            </w:pPr>
            <w:r>
              <w:rPr>
                <w:rFonts w:ascii="Garamond" w:hAnsi="Garamond" w:cs="Calibri"/>
                <w:color w:val="000000"/>
                <w:sz w:val="20"/>
                <w:szCs w:val="20"/>
              </w:rPr>
              <w:t>0.2677</w:t>
            </w:r>
          </w:p>
        </w:tc>
      </w:tr>
    </w:tbl>
    <w:p w:rsidR="00583BD3" w:rsidRDefault="00583BD3" w:rsidP="00583BD3">
      <w:pPr>
        <w:pStyle w:val="af4"/>
      </w:pPr>
    </w:p>
    <w:p w:rsidR="00583BD3" w:rsidRDefault="00583BD3" w:rsidP="00583BD3">
      <w:pPr>
        <w:pStyle w:val="af4"/>
      </w:pPr>
    </w:p>
    <w:p w:rsidR="00583BD3" w:rsidRPr="00824024" w:rsidRDefault="00583BD3" w:rsidP="00583BD3">
      <w:pPr>
        <w:pageBreakBefore/>
        <w:rPr>
          <w:rFonts w:ascii="Garamond" w:hAnsi="Garamond"/>
          <w:b/>
          <w:bCs/>
          <w:color w:val="000000" w:themeColor="text1"/>
          <w:sz w:val="32"/>
          <w:szCs w:val="32"/>
        </w:rPr>
      </w:pPr>
      <w:r w:rsidRPr="00824024">
        <w:rPr>
          <w:rFonts w:ascii="Garamond" w:hAnsi="Garamond"/>
          <w:b/>
          <w:bCs/>
          <w:color w:val="000000" w:themeColor="text1"/>
          <w:sz w:val="32"/>
          <w:szCs w:val="32"/>
        </w:rPr>
        <w:lastRenderedPageBreak/>
        <w:t>Appendix</w:t>
      </w:r>
    </w:p>
    <w:p w:rsidR="00583BD3" w:rsidRPr="00174AE5" w:rsidRDefault="00583BD3" w:rsidP="00583BD3">
      <w:pPr>
        <w:rPr>
          <w:rFonts w:ascii="Garamond" w:hAnsi="Garamond"/>
          <w:sz w:val="10"/>
          <w:szCs w:val="10"/>
        </w:rPr>
      </w:pPr>
      <w:r w:rsidRPr="00824024">
        <w:rPr>
          <w:rFonts w:ascii="Garamond" w:hAnsi="Garamond"/>
          <w:b/>
          <w:bCs/>
          <w:color w:val="000000" w:themeColor="text1"/>
          <w:sz w:val="20"/>
          <w:szCs w:val="20"/>
        </w:rPr>
        <w:t xml:space="preserve">Table A1: </w:t>
      </w:r>
      <w:r w:rsidRPr="00824024">
        <w:rPr>
          <w:rFonts w:ascii="Garamond" w:hAnsi="Garamond"/>
          <w:color w:val="000000" w:themeColor="text1"/>
          <w:sz w:val="20"/>
          <w:szCs w:val="20"/>
        </w:rPr>
        <w:t>Variable definitions.</w:t>
      </w:r>
    </w:p>
    <w:tbl>
      <w:tblPr>
        <w:tblW w:w="10136" w:type="dxa"/>
        <w:tblInd w:w="-503"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2124"/>
        <w:gridCol w:w="7101"/>
        <w:gridCol w:w="904"/>
        <w:gridCol w:w="7"/>
      </w:tblGrid>
      <w:tr w:rsidR="00583BD3" w:rsidRPr="00174AE5" w:rsidTr="000727E8">
        <w:trPr>
          <w:trHeight w:val="20"/>
        </w:trPr>
        <w:tc>
          <w:tcPr>
            <w:tcW w:w="2124" w:type="dxa"/>
            <w:tcBorders>
              <w:top w:val="single" w:sz="4" w:space="0" w:color="auto"/>
              <w:left w:val="nil"/>
              <w:bottom w:val="single" w:sz="4" w:space="0" w:color="auto"/>
            </w:tcBorders>
            <w:tcMar>
              <w:top w:w="75" w:type="dxa"/>
              <w:left w:w="75" w:type="dxa"/>
              <w:bottom w:w="75" w:type="dxa"/>
              <w:right w:w="75" w:type="dxa"/>
            </w:tcMar>
          </w:tcPr>
          <w:p w:rsidR="00583BD3" w:rsidRPr="00824024" w:rsidRDefault="00583BD3" w:rsidP="000727E8">
            <w:pPr>
              <w:rPr>
                <w:rFonts w:ascii="Garamond" w:hAnsi="Garamond"/>
                <w:color w:val="000000" w:themeColor="text1"/>
                <w:sz w:val="20"/>
                <w:szCs w:val="20"/>
              </w:rPr>
            </w:pPr>
            <w:r w:rsidRPr="00824024">
              <w:rPr>
                <w:rFonts w:ascii="Garamond" w:hAnsi="Garamond"/>
                <w:color w:val="000000" w:themeColor="text1"/>
                <w:sz w:val="20"/>
                <w:szCs w:val="20"/>
              </w:rPr>
              <w:t>Variable</w:t>
            </w:r>
          </w:p>
        </w:tc>
        <w:tc>
          <w:tcPr>
            <w:tcW w:w="7101" w:type="dxa"/>
            <w:tcBorders>
              <w:top w:val="single" w:sz="4" w:space="0" w:color="auto"/>
              <w:bottom w:val="single" w:sz="4" w:space="0" w:color="auto"/>
            </w:tcBorders>
            <w:tcMar>
              <w:top w:w="75" w:type="dxa"/>
              <w:left w:w="75" w:type="dxa"/>
              <w:bottom w:w="75" w:type="dxa"/>
              <w:right w:w="75" w:type="dxa"/>
            </w:tcMar>
          </w:tcPr>
          <w:p w:rsidR="00583BD3" w:rsidRPr="00824024" w:rsidRDefault="00583BD3" w:rsidP="000727E8">
            <w:pPr>
              <w:rPr>
                <w:rFonts w:ascii="Garamond" w:hAnsi="Garamond"/>
                <w:color w:val="000000" w:themeColor="text1"/>
                <w:sz w:val="20"/>
                <w:szCs w:val="20"/>
              </w:rPr>
            </w:pPr>
            <w:r w:rsidRPr="00824024">
              <w:rPr>
                <w:rFonts w:ascii="Garamond" w:hAnsi="Garamond"/>
                <w:color w:val="000000" w:themeColor="text1"/>
                <w:sz w:val="20"/>
                <w:szCs w:val="20"/>
              </w:rPr>
              <w:t>Definition</w:t>
            </w:r>
          </w:p>
        </w:tc>
        <w:tc>
          <w:tcPr>
            <w:tcW w:w="911" w:type="dxa"/>
            <w:gridSpan w:val="2"/>
            <w:tcBorders>
              <w:top w:val="single" w:sz="4" w:space="0" w:color="auto"/>
              <w:bottom w:val="single" w:sz="4" w:space="0" w:color="auto"/>
              <w:right w:val="nil"/>
            </w:tcBorders>
          </w:tcPr>
          <w:p w:rsidR="00583BD3" w:rsidRPr="00824024" w:rsidRDefault="00583BD3" w:rsidP="000727E8">
            <w:pPr>
              <w:ind w:left="-7" w:firstLine="7"/>
              <w:rPr>
                <w:rFonts w:ascii="Garamond" w:hAnsi="Garamond"/>
                <w:color w:val="000000" w:themeColor="text1"/>
                <w:sz w:val="20"/>
                <w:szCs w:val="20"/>
              </w:rPr>
            </w:pPr>
            <w:r w:rsidRPr="00824024">
              <w:rPr>
                <w:rFonts w:ascii="Garamond" w:hAnsi="Garamond"/>
                <w:color w:val="000000" w:themeColor="text1"/>
                <w:sz w:val="20"/>
                <w:szCs w:val="20"/>
              </w:rPr>
              <w:t>Source</w:t>
            </w:r>
          </w:p>
        </w:tc>
      </w:tr>
      <w:tr w:rsidR="00583BD3" w:rsidRPr="00174AE5" w:rsidTr="000727E8">
        <w:trPr>
          <w:gridAfter w:val="1"/>
          <w:wAfter w:w="7" w:type="dxa"/>
          <w:trHeight w:val="20"/>
        </w:trPr>
        <w:tc>
          <w:tcPr>
            <w:tcW w:w="10129" w:type="dxa"/>
            <w:gridSpan w:val="3"/>
            <w:tcBorders>
              <w:top w:val="single" w:sz="4" w:space="0" w:color="auto"/>
              <w:left w:val="nil"/>
              <w:right w:val="nil"/>
            </w:tcBorders>
            <w:tcMar>
              <w:top w:w="75" w:type="dxa"/>
              <w:left w:w="75" w:type="dxa"/>
              <w:bottom w:w="75" w:type="dxa"/>
              <w:right w:w="75" w:type="dxa"/>
            </w:tcMar>
          </w:tcPr>
          <w:p w:rsidR="00583BD3" w:rsidRPr="00824024" w:rsidRDefault="00583BD3" w:rsidP="000727E8">
            <w:pPr>
              <w:rPr>
                <w:rFonts w:ascii="Garamond" w:hAnsi="Garamond"/>
                <w:i/>
                <w:iCs/>
                <w:color w:val="000000" w:themeColor="text1"/>
                <w:sz w:val="20"/>
                <w:szCs w:val="20"/>
              </w:rPr>
            </w:pPr>
            <w:r w:rsidRPr="00824024">
              <w:rPr>
                <w:rFonts w:ascii="Garamond" w:hAnsi="Garamond"/>
                <w:i/>
                <w:iCs/>
                <w:color w:val="000000" w:themeColor="text1"/>
                <w:sz w:val="20"/>
                <w:szCs w:val="20"/>
              </w:rPr>
              <w:t>Board characteristics</w:t>
            </w:r>
          </w:p>
        </w:tc>
      </w:tr>
      <w:tr w:rsidR="00583BD3" w:rsidRPr="00174AE5" w:rsidTr="000727E8">
        <w:trPr>
          <w:trHeight w:val="20"/>
        </w:trPr>
        <w:tc>
          <w:tcPr>
            <w:tcW w:w="2124" w:type="dxa"/>
            <w:tcBorders>
              <w:left w:val="nil"/>
            </w:tcBorders>
            <w:tcMar>
              <w:top w:w="75" w:type="dxa"/>
              <w:left w:w="75" w:type="dxa"/>
              <w:bottom w:w="75" w:type="dxa"/>
              <w:right w:w="75" w:type="dxa"/>
            </w:tcMar>
          </w:tcPr>
          <w:p w:rsidR="00583BD3" w:rsidRPr="00824024" w:rsidRDefault="00583BD3" w:rsidP="000727E8">
            <w:pPr>
              <w:rPr>
                <w:rFonts w:ascii="Garamond" w:hAnsi="Garamond"/>
                <w:color w:val="000000" w:themeColor="text1"/>
                <w:sz w:val="20"/>
                <w:szCs w:val="20"/>
              </w:rPr>
            </w:pPr>
            <w:r w:rsidRPr="00824024">
              <w:rPr>
                <w:rFonts w:ascii="Garamond" w:hAnsi="Garamond"/>
                <w:color w:val="000000" w:themeColor="text1"/>
                <w:sz w:val="20"/>
                <w:szCs w:val="20"/>
              </w:rPr>
              <w:t xml:space="preserve">% female directors </w:t>
            </w:r>
          </w:p>
        </w:tc>
        <w:tc>
          <w:tcPr>
            <w:tcW w:w="7101" w:type="dxa"/>
            <w:tcMar>
              <w:top w:w="75" w:type="dxa"/>
              <w:left w:w="75" w:type="dxa"/>
              <w:bottom w:w="75" w:type="dxa"/>
              <w:right w:w="75" w:type="dxa"/>
            </w:tcMar>
          </w:tcPr>
          <w:p w:rsidR="00583BD3" w:rsidRPr="00824024" w:rsidRDefault="00583BD3" w:rsidP="000727E8">
            <w:pPr>
              <w:rPr>
                <w:rFonts w:ascii="Garamond" w:hAnsi="Garamond"/>
                <w:color w:val="000000" w:themeColor="text1"/>
                <w:sz w:val="20"/>
                <w:szCs w:val="20"/>
              </w:rPr>
            </w:pPr>
            <w:r w:rsidRPr="00824024">
              <w:rPr>
                <w:rFonts w:ascii="Garamond" w:hAnsi="Garamond"/>
                <w:color w:val="000000" w:themeColor="text1"/>
                <w:sz w:val="20"/>
                <w:szCs w:val="20"/>
              </w:rPr>
              <w:t xml:space="preserve">The percentage of female directors on the board at the end of the fiscal year </w:t>
            </w:r>
            <w:r w:rsidRPr="00824024">
              <w:rPr>
                <w:rFonts w:ascii="Garamond" w:hAnsi="Garamond"/>
                <w:i/>
                <w:iCs/>
                <w:color w:val="000000" w:themeColor="text1"/>
                <w:sz w:val="20"/>
                <w:szCs w:val="20"/>
              </w:rPr>
              <w:t>t</w:t>
            </w:r>
            <w:r w:rsidRPr="00824024">
              <w:rPr>
                <w:rFonts w:ascii="Garamond" w:hAnsi="Garamond"/>
                <w:color w:val="000000" w:themeColor="text1"/>
                <w:sz w:val="20"/>
                <w:szCs w:val="20"/>
              </w:rPr>
              <w:t>.</w:t>
            </w:r>
          </w:p>
        </w:tc>
        <w:tc>
          <w:tcPr>
            <w:tcW w:w="911" w:type="dxa"/>
            <w:gridSpan w:val="2"/>
            <w:tcBorders>
              <w:right w:val="nil"/>
            </w:tcBorders>
          </w:tcPr>
          <w:p w:rsidR="00583BD3" w:rsidRPr="00824024" w:rsidRDefault="00583BD3" w:rsidP="000727E8">
            <w:pPr>
              <w:rPr>
                <w:rFonts w:ascii="Garamond" w:hAnsi="Garamond"/>
                <w:color w:val="000000" w:themeColor="text1"/>
                <w:sz w:val="20"/>
                <w:szCs w:val="20"/>
              </w:rPr>
            </w:pPr>
            <w:proofErr w:type="spellStart"/>
            <w:r w:rsidRPr="00824024">
              <w:rPr>
                <w:rFonts w:ascii="Garamond" w:hAnsi="Garamond"/>
                <w:color w:val="000000" w:themeColor="text1"/>
                <w:sz w:val="20"/>
                <w:szCs w:val="20"/>
              </w:rPr>
              <w:t>Boardex</w:t>
            </w:r>
            <w:proofErr w:type="spellEnd"/>
          </w:p>
        </w:tc>
      </w:tr>
      <w:tr w:rsidR="00583BD3" w:rsidRPr="00174AE5" w:rsidTr="000727E8">
        <w:trPr>
          <w:trHeight w:val="20"/>
        </w:trPr>
        <w:tc>
          <w:tcPr>
            <w:tcW w:w="2124" w:type="dxa"/>
            <w:tcBorders>
              <w:left w:val="nil"/>
            </w:tcBorders>
            <w:tcMar>
              <w:top w:w="75" w:type="dxa"/>
              <w:left w:w="75" w:type="dxa"/>
              <w:bottom w:w="75" w:type="dxa"/>
              <w:right w:w="75" w:type="dxa"/>
            </w:tcMar>
          </w:tcPr>
          <w:p w:rsidR="00583BD3" w:rsidRPr="00824024" w:rsidRDefault="00583BD3" w:rsidP="000727E8">
            <w:pPr>
              <w:rPr>
                <w:rFonts w:ascii="Garamond" w:hAnsi="Garamond"/>
                <w:color w:val="000000" w:themeColor="text1"/>
                <w:sz w:val="20"/>
                <w:szCs w:val="20"/>
              </w:rPr>
            </w:pPr>
            <w:r w:rsidRPr="00824024">
              <w:rPr>
                <w:rFonts w:ascii="Garamond" w:hAnsi="Garamond"/>
                <w:color w:val="000000" w:themeColor="text1"/>
                <w:sz w:val="20"/>
                <w:szCs w:val="20"/>
              </w:rPr>
              <w:t>% non-British directors</w:t>
            </w:r>
          </w:p>
        </w:tc>
        <w:tc>
          <w:tcPr>
            <w:tcW w:w="7101" w:type="dxa"/>
            <w:tcMar>
              <w:top w:w="75" w:type="dxa"/>
              <w:left w:w="75" w:type="dxa"/>
              <w:bottom w:w="75" w:type="dxa"/>
              <w:right w:w="75" w:type="dxa"/>
            </w:tcMar>
          </w:tcPr>
          <w:p w:rsidR="00583BD3" w:rsidRPr="00824024" w:rsidRDefault="00583BD3" w:rsidP="000727E8">
            <w:pPr>
              <w:rPr>
                <w:rFonts w:ascii="Garamond" w:hAnsi="Garamond"/>
                <w:color w:val="000000" w:themeColor="text1"/>
                <w:sz w:val="20"/>
                <w:szCs w:val="20"/>
              </w:rPr>
            </w:pPr>
            <w:r w:rsidRPr="00824024">
              <w:rPr>
                <w:rFonts w:ascii="Garamond" w:hAnsi="Garamond"/>
                <w:color w:val="000000" w:themeColor="text1"/>
                <w:sz w:val="20"/>
                <w:szCs w:val="20"/>
              </w:rPr>
              <w:t xml:space="preserve">The percentage of non-British directors on the board at the end of the fiscal year </w:t>
            </w:r>
            <w:r w:rsidRPr="00824024">
              <w:rPr>
                <w:rFonts w:ascii="Garamond" w:hAnsi="Garamond"/>
                <w:i/>
                <w:iCs/>
                <w:color w:val="000000" w:themeColor="text1"/>
                <w:sz w:val="20"/>
                <w:szCs w:val="20"/>
              </w:rPr>
              <w:t>t</w:t>
            </w:r>
            <w:r w:rsidRPr="00824024">
              <w:rPr>
                <w:rFonts w:ascii="Garamond" w:hAnsi="Garamond"/>
                <w:color w:val="000000" w:themeColor="text1"/>
                <w:sz w:val="20"/>
                <w:szCs w:val="20"/>
              </w:rPr>
              <w:t>.</w:t>
            </w:r>
          </w:p>
        </w:tc>
        <w:tc>
          <w:tcPr>
            <w:tcW w:w="911" w:type="dxa"/>
            <w:gridSpan w:val="2"/>
            <w:tcBorders>
              <w:right w:val="nil"/>
            </w:tcBorders>
          </w:tcPr>
          <w:p w:rsidR="00583BD3" w:rsidRPr="00824024" w:rsidRDefault="00583BD3" w:rsidP="000727E8">
            <w:pPr>
              <w:rPr>
                <w:rFonts w:ascii="Garamond" w:hAnsi="Garamond"/>
                <w:color w:val="000000" w:themeColor="text1"/>
                <w:sz w:val="20"/>
                <w:szCs w:val="20"/>
              </w:rPr>
            </w:pPr>
            <w:proofErr w:type="spellStart"/>
            <w:r w:rsidRPr="00824024">
              <w:rPr>
                <w:rFonts w:ascii="Garamond" w:hAnsi="Garamond"/>
                <w:color w:val="000000" w:themeColor="text1"/>
                <w:sz w:val="20"/>
                <w:szCs w:val="20"/>
              </w:rPr>
              <w:t>Boardex</w:t>
            </w:r>
            <w:proofErr w:type="spellEnd"/>
          </w:p>
        </w:tc>
      </w:tr>
      <w:tr w:rsidR="00583BD3" w:rsidRPr="00174AE5" w:rsidTr="000727E8">
        <w:trPr>
          <w:trHeight w:val="20"/>
        </w:trPr>
        <w:tc>
          <w:tcPr>
            <w:tcW w:w="2124" w:type="dxa"/>
            <w:tcBorders>
              <w:left w:val="nil"/>
            </w:tcBorders>
            <w:tcMar>
              <w:top w:w="75" w:type="dxa"/>
              <w:left w:w="75" w:type="dxa"/>
              <w:bottom w:w="75" w:type="dxa"/>
              <w:right w:w="75" w:type="dxa"/>
            </w:tcMar>
          </w:tcPr>
          <w:p w:rsidR="00583BD3" w:rsidRPr="00824024" w:rsidRDefault="00583BD3" w:rsidP="000727E8">
            <w:pPr>
              <w:rPr>
                <w:rFonts w:ascii="Garamond" w:hAnsi="Garamond"/>
                <w:color w:val="000000" w:themeColor="text1"/>
                <w:sz w:val="20"/>
                <w:szCs w:val="20"/>
              </w:rPr>
            </w:pPr>
            <w:proofErr w:type="spellStart"/>
            <w:r w:rsidRPr="00824024">
              <w:rPr>
                <w:rFonts w:ascii="Garamond" w:hAnsi="Garamond"/>
                <w:color w:val="000000" w:themeColor="text1"/>
                <w:sz w:val="20"/>
                <w:szCs w:val="20"/>
              </w:rPr>
              <w:t>Ln</w:t>
            </w:r>
            <w:proofErr w:type="spellEnd"/>
            <w:r w:rsidRPr="00824024">
              <w:rPr>
                <w:rFonts w:ascii="Garamond" w:hAnsi="Garamond"/>
                <w:color w:val="000000" w:themeColor="text1"/>
                <w:sz w:val="20"/>
                <w:szCs w:val="20"/>
              </w:rPr>
              <w:t>(SD of board age)</w:t>
            </w:r>
          </w:p>
        </w:tc>
        <w:tc>
          <w:tcPr>
            <w:tcW w:w="7101" w:type="dxa"/>
            <w:tcMar>
              <w:top w:w="75" w:type="dxa"/>
              <w:left w:w="75" w:type="dxa"/>
              <w:bottom w:w="75" w:type="dxa"/>
              <w:right w:w="75" w:type="dxa"/>
            </w:tcMar>
          </w:tcPr>
          <w:p w:rsidR="00583BD3" w:rsidRPr="00824024" w:rsidRDefault="00583BD3" w:rsidP="000727E8">
            <w:pPr>
              <w:rPr>
                <w:rFonts w:ascii="Garamond" w:hAnsi="Garamond"/>
                <w:color w:val="000000" w:themeColor="text1"/>
                <w:sz w:val="20"/>
                <w:szCs w:val="20"/>
              </w:rPr>
            </w:pPr>
            <w:r w:rsidRPr="00824024">
              <w:rPr>
                <w:rFonts w:ascii="Garamond" w:hAnsi="Garamond"/>
                <w:color w:val="000000" w:themeColor="text1"/>
                <w:sz w:val="20"/>
                <w:szCs w:val="20"/>
              </w:rPr>
              <w:t xml:space="preserve">The natural logarithm of the standard deviation of the age of directors of the board at the end of the fiscal year </w:t>
            </w:r>
            <w:r w:rsidRPr="00824024">
              <w:rPr>
                <w:rFonts w:ascii="Garamond" w:hAnsi="Garamond"/>
                <w:i/>
                <w:iCs/>
                <w:color w:val="000000" w:themeColor="text1"/>
                <w:sz w:val="20"/>
                <w:szCs w:val="20"/>
              </w:rPr>
              <w:t>t</w:t>
            </w:r>
            <w:r w:rsidRPr="00824024">
              <w:rPr>
                <w:rFonts w:ascii="Garamond" w:hAnsi="Garamond"/>
                <w:color w:val="000000" w:themeColor="text1"/>
                <w:sz w:val="20"/>
                <w:szCs w:val="20"/>
              </w:rPr>
              <w:t>.</w:t>
            </w:r>
          </w:p>
        </w:tc>
        <w:tc>
          <w:tcPr>
            <w:tcW w:w="911" w:type="dxa"/>
            <w:gridSpan w:val="2"/>
            <w:tcBorders>
              <w:right w:val="nil"/>
            </w:tcBorders>
          </w:tcPr>
          <w:p w:rsidR="00583BD3" w:rsidRPr="00824024" w:rsidRDefault="00583BD3" w:rsidP="000727E8">
            <w:pPr>
              <w:rPr>
                <w:rFonts w:ascii="Garamond" w:hAnsi="Garamond"/>
                <w:color w:val="000000" w:themeColor="text1"/>
                <w:sz w:val="20"/>
                <w:szCs w:val="20"/>
              </w:rPr>
            </w:pPr>
            <w:proofErr w:type="spellStart"/>
            <w:r w:rsidRPr="00824024">
              <w:rPr>
                <w:rFonts w:ascii="Garamond" w:hAnsi="Garamond"/>
                <w:color w:val="000000" w:themeColor="text1"/>
                <w:sz w:val="20"/>
                <w:szCs w:val="20"/>
              </w:rPr>
              <w:t>Boardex</w:t>
            </w:r>
            <w:proofErr w:type="spellEnd"/>
          </w:p>
        </w:tc>
      </w:tr>
      <w:tr w:rsidR="00583BD3" w:rsidRPr="00174AE5" w:rsidTr="000727E8">
        <w:trPr>
          <w:trHeight w:val="20"/>
        </w:trPr>
        <w:tc>
          <w:tcPr>
            <w:tcW w:w="2124" w:type="dxa"/>
            <w:tcBorders>
              <w:left w:val="nil"/>
            </w:tcBorders>
            <w:tcMar>
              <w:top w:w="75" w:type="dxa"/>
              <w:left w:w="75" w:type="dxa"/>
              <w:bottom w:w="75" w:type="dxa"/>
              <w:right w:w="75" w:type="dxa"/>
            </w:tcMar>
          </w:tcPr>
          <w:p w:rsidR="00583BD3" w:rsidRPr="00824024" w:rsidRDefault="00583BD3" w:rsidP="000727E8">
            <w:pPr>
              <w:rPr>
                <w:rFonts w:ascii="Garamond" w:hAnsi="Garamond"/>
                <w:color w:val="000000" w:themeColor="text1"/>
                <w:sz w:val="20"/>
                <w:szCs w:val="20"/>
              </w:rPr>
            </w:pPr>
            <w:r w:rsidRPr="00824024">
              <w:rPr>
                <w:rFonts w:ascii="Garamond" w:hAnsi="Garamond"/>
                <w:color w:val="000000" w:themeColor="text1"/>
                <w:sz w:val="20"/>
                <w:szCs w:val="20"/>
              </w:rPr>
              <w:t>Board Gender Diversity</w:t>
            </w:r>
          </w:p>
        </w:tc>
        <w:tc>
          <w:tcPr>
            <w:tcW w:w="7101" w:type="dxa"/>
            <w:tcMar>
              <w:top w:w="75" w:type="dxa"/>
              <w:left w:w="75" w:type="dxa"/>
              <w:bottom w:w="75" w:type="dxa"/>
              <w:right w:w="75" w:type="dxa"/>
            </w:tcMar>
          </w:tcPr>
          <w:p w:rsidR="00583BD3" w:rsidRPr="00824024" w:rsidRDefault="00583BD3" w:rsidP="000727E8">
            <w:pPr>
              <w:rPr>
                <w:rFonts w:ascii="Garamond" w:hAnsi="Garamond"/>
                <w:color w:val="000000" w:themeColor="text1"/>
                <w:sz w:val="20"/>
                <w:szCs w:val="20"/>
              </w:rPr>
            </w:pPr>
            <w:r w:rsidRPr="00824024">
              <w:rPr>
                <w:rFonts w:ascii="Garamond" w:hAnsi="Garamond"/>
                <w:color w:val="000000" w:themeColor="text1"/>
                <w:sz w:val="20"/>
                <w:szCs w:val="20"/>
              </w:rPr>
              <w:t>The standardized measure of board gender diversity (as in Fang et al</w:t>
            </w:r>
            <w:r w:rsidR="00174AE5" w:rsidRPr="00824024">
              <w:rPr>
                <w:rFonts w:ascii="Garamond" w:hAnsi="Garamond"/>
                <w:color w:val="000000" w:themeColor="text1"/>
                <w:sz w:val="20"/>
                <w:szCs w:val="20"/>
              </w:rPr>
              <w:t>.,</w:t>
            </w:r>
            <w:r w:rsidRPr="00824024">
              <w:rPr>
                <w:rFonts w:ascii="Garamond" w:hAnsi="Garamond"/>
                <w:color w:val="000000" w:themeColor="text1"/>
                <w:sz w:val="20"/>
                <w:szCs w:val="20"/>
              </w:rPr>
              <w:t xml:space="preserve"> 2018) at the end of the fiscal year </w:t>
            </w:r>
            <w:r w:rsidRPr="00824024">
              <w:rPr>
                <w:rFonts w:ascii="Garamond" w:hAnsi="Garamond"/>
                <w:i/>
                <w:iCs/>
                <w:color w:val="000000" w:themeColor="text1"/>
                <w:sz w:val="20"/>
                <w:szCs w:val="20"/>
              </w:rPr>
              <w:t>t</w:t>
            </w:r>
            <w:r w:rsidRPr="00824024">
              <w:rPr>
                <w:rFonts w:ascii="Garamond" w:hAnsi="Garamond"/>
                <w:color w:val="000000" w:themeColor="text1"/>
                <w:sz w:val="20"/>
                <w:szCs w:val="20"/>
              </w:rPr>
              <w:t>.</w:t>
            </w:r>
          </w:p>
        </w:tc>
        <w:tc>
          <w:tcPr>
            <w:tcW w:w="911" w:type="dxa"/>
            <w:gridSpan w:val="2"/>
            <w:tcBorders>
              <w:right w:val="nil"/>
            </w:tcBorders>
          </w:tcPr>
          <w:p w:rsidR="00583BD3" w:rsidRPr="00824024" w:rsidRDefault="00583BD3" w:rsidP="000727E8">
            <w:pPr>
              <w:rPr>
                <w:rFonts w:ascii="Garamond" w:hAnsi="Garamond"/>
                <w:color w:val="000000" w:themeColor="text1"/>
                <w:sz w:val="20"/>
                <w:szCs w:val="20"/>
              </w:rPr>
            </w:pPr>
            <w:proofErr w:type="spellStart"/>
            <w:r w:rsidRPr="00824024">
              <w:rPr>
                <w:rFonts w:ascii="Garamond" w:hAnsi="Garamond"/>
                <w:color w:val="000000" w:themeColor="text1"/>
                <w:sz w:val="20"/>
                <w:szCs w:val="20"/>
              </w:rPr>
              <w:t>Boardex</w:t>
            </w:r>
            <w:proofErr w:type="spellEnd"/>
          </w:p>
        </w:tc>
      </w:tr>
      <w:tr w:rsidR="00583BD3" w:rsidRPr="00174AE5" w:rsidTr="000727E8">
        <w:trPr>
          <w:trHeight w:val="20"/>
        </w:trPr>
        <w:tc>
          <w:tcPr>
            <w:tcW w:w="2124" w:type="dxa"/>
            <w:tcBorders>
              <w:left w:val="nil"/>
            </w:tcBorders>
            <w:tcMar>
              <w:top w:w="75" w:type="dxa"/>
              <w:left w:w="75" w:type="dxa"/>
              <w:bottom w:w="75" w:type="dxa"/>
              <w:right w:w="75" w:type="dxa"/>
            </w:tcMar>
          </w:tcPr>
          <w:p w:rsidR="00583BD3" w:rsidRPr="00824024" w:rsidRDefault="00583BD3" w:rsidP="000727E8">
            <w:pPr>
              <w:rPr>
                <w:rFonts w:ascii="Garamond" w:hAnsi="Garamond"/>
                <w:color w:val="000000" w:themeColor="text1"/>
                <w:sz w:val="20"/>
                <w:szCs w:val="20"/>
              </w:rPr>
            </w:pPr>
            <w:r w:rsidRPr="00824024">
              <w:rPr>
                <w:rFonts w:ascii="Garamond" w:hAnsi="Garamond"/>
                <w:color w:val="000000" w:themeColor="text1"/>
                <w:sz w:val="20"/>
                <w:szCs w:val="20"/>
              </w:rPr>
              <w:t>Board Nationality Diversity</w:t>
            </w:r>
          </w:p>
        </w:tc>
        <w:tc>
          <w:tcPr>
            <w:tcW w:w="7101" w:type="dxa"/>
            <w:tcMar>
              <w:top w:w="75" w:type="dxa"/>
              <w:left w:w="75" w:type="dxa"/>
              <w:bottom w:w="75" w:type="dxa"/>
              <w:right w:w="75" w:type="dxa"/>
            </w:tcMar>
          </w:tcPr>
          <w:p w:rsidR="00583BD3" w:rsidRPr="00824024" w:rsidRDefault="00583BD3" w:rsidP="000727E8">
            <w:pPr>
              <w:rPr>
                <w:rFonts w:ascii="Garamond" w:hAnsi="Garamond"/>
                <w:color w:val="000000" w:themeColor="text1"/>
                <w:sz w:val="20"/>
                <w:szCs w:val="20"/>
              </w:rPr>
            </w:pPr>
            <w:r w:rsidRPr="00824024">
              <w:rPr>
                <w:rFonts w:ascii="Garamond" w:hAnsi="Garamond"/>
                <w:color w:val="000000" w:themeColor="text1"/>
                <w:sz w:val="20"/>
                <w:szCs w:val="20"/>
              </w:rPr>
              <w:t>The standardized measure of board nationality diversity (as in Fang et al</w:t>
            </w:r>
            <w:r w:rsidR="00174AE5" w:rsidRPr="00824024">
              <w:rPr>
                <w:rFonts w:ascii="Garamond" w:hAnsi="Garamond"/>
                <w:color w:val="000000" w:themeColor="text1"/>
                <w:sz w:val="20"/>
                <w:szCs w:val="20"/>
              </w:rPr>
              <w:t>.,</w:t>
            </w:r>
            <w:r w:rsidRPr="00824024">
              <w:rPr>
                <w:rFonts w:ascii="Garamond" w:hAnsi="Garamond"/>
                <w:color w:val="000000" w:themeColor="text1"/>
                <w:sz w:val="20"/>
                <w:szCs w:val="20"/>
              </w:rPr>
              <w:t xml:space="preserve"> 2018) at the end of the fiscal year </w:t>
            </w:r>
            <w:r w:rsidRPr="00824024">
              <w:rPr>
                <w:rFonts w:ascii="Garamond" w:hAnsi="Garamond"/>
                <w:i/>
                <w:iCs/>
                <w:color w:val="000000" w:themeColor="text1"/>
                <w:sz w:val="20"/>
                <w:szCs w:val="20"/>
              </w:rPr>
              <w:t>t</w:t>
            </w:r>
            <w:r w:rsidRPr="00824024">
              <w:rPr>
                <w:rFonts w:ascii="Garamond" w:hAnsi="Garamond"/>
                <w:color w:val="000000" w:themeColor="text1"/>
                <w:sz w:val="20"/>
                <w:szCs w:val="20"/>
              </w:rPr>
              <w:t>.</w:t>
            </w:r>
          </w:p>
        </w:tc>
        <w:tc>
          <w:tcPr>
            <w:tcW w:w="911" w:type="dxa"/>
            <w:gridSpan w:val="2"/>
            <w:tcBorders>
              <w:right w:val="nil"/>
            </w:tcBorders>
          </w:tcPr>
          <w:p w:rsidR="00583BD3" w:rsidRPr="00824024" w:rsidRDefault="00583BD3" w:rsidP="000727E8">
            <w:pPr>
              <w:rPr>
                <w:rFonts w:ascii="Garamond" w:hAnsi="Garamond"/>
                <w:color w:val="000000" w:themeColor="text1"/>
                <w:sz w:val="20"/>
                <w:szCs w:val="20"/>
              </w:rPr>
            </w:pPr>
            <w:proofErr w:type="spellStart"/>
            <w:r w:rsidRPr="00824024">
              <w:rPr>
                <w:rFonts w:ascii="Garamond" w:hAnsi="Garamond"/>
                <w:color w:val="000000" w:themeColor="text1"/>
                <w:sz w:val="20"/>
                <w:szCs w:val="20"/>
              </w:rPr>
              <w:t>Boardex</w:t>
            </w:r>
            <w:proofErr w:type="spellEnd"/>
          </w:p>
        </w:tc>
      </w:tr>
      <w:tr w:rsidR="00583BD3" w:rsidRPr="00174AE5" w:rsidTr="000727E8">
        <w:trPr>
          <w:trHeight w:val="20"/>
        </w:trPr>
        <w:tc>
          <w:tcPr>
            <w:tcW w:w="2124" w:type="dxa"/>
            <w:tcBorders>
              <w:left w:val="nil"/>
            </w:tcBorders>
            <w:tcMar>
              <w:top w:w="75" w:type="dxa"/>
              <w:left w:w="75" w:type="dxa"/>
              <w:bottom w:w="75" w:type="dxa"/>
              <w:right w:w="75" w:type="dxa"/>
            </w:tcMar>
          </w:tcPr>
          <w:p w:rsidR="00583BD3" w:rsidRPr="00824024" w:rsidRDefault="00583BD3" w:rsidP="000727E8">
            <w:pPr>
              <w:rPr>
                <w:rFonts w:ascii="Garamond" w:hAnsi="Garamond"/>
                <w:color w:val="000000" w:themeColor="text1"/>
                <w:sz w:val="20"/>
                <w:szCs w:val="20"/>
              </w:rPr>
            </w:pPr>
            <w:r w:rsidRPr="00824024">
              <w:rPr>
                <w:rFonts w:ascii="Garamond" w:hAnsi="Garamond"/>
                <w:color w:val="000000" w:themeColor="text1"/>
                <w:sz w:val="20"/>
                <w:szCs w:val="20"/>
              </w:rPr>
              <w:t>Board Age Diversity</w:t>
            </w:r>
          </w:p>
        </w:tc>
        <w:tc>
          <w:tcPr>
            <w:tcW w:w="7101" w:type="dxa"/>
            <w:tcMar>
              <w:top w:w="75" w:type="dxa"/>
              <w:left w:w="75" w:type="dxa"/>
              <w:bottom w:w="75" w:type="dxa"/>
              <w:right w:w="75" w:type="dxa"/>
            </w:tcMar>
          </w:tcPr>
          <w:p w:rsidR="00583BD3" w:rsidRPr="00824024" w:rsidRDefault="00583BD3" w:rsidP="000727E8">
            <w:pPr>
              <w:rPr>
                <w:rFonts w:ascii="Garamond" w:hAnsi="Garamond"/>
                <w:color w:val="000000" w:themeColor="text1"/>
                <w:sz w:val="20"/>
                <w:szCs w:val="20"/>
              </w:rPr>
            </w:pPr>
            <w:r w:rsidRPr="00824024">
              <w:rPr>
                <w:rFonts w:ascii="Garamond" w:hAnsi="Garamond"/>
                <w:color w:val="000000" w:themeColor="text1"/>
                <w:sz w:val="20"/>
                <w:szCs w:val="20"/>
              </w:rPr>
              <w:t>The standardized measure of board age diversity (as in Fang et al</w:t>
            </w:r>
            <w:r w:rsidR="00174AE5" w:rsidRPr="00824024">
              <w:rPr>
                <w:rFonts w:ascii="Garamond" w:hAnsi="Garamond"/>
                <w:color w:val="000000" w:themeColor="text1"/>
                <w:sz w:val="20"/>
                <w:szCs w:val="20"/>
              </w:rPr>
              <w:t>.,</w:t>
            </w:r>
            <w:r w:rsidRPr="00824024">
              <w:rPr>
                <w:rFonts w:ascii="Garamond" w:hAnsi="Garamond"/>
                <w:color w:val="000000" w:themeColor="text1"/>
                <w:sz w:val="20"/>
                <w:szCs w:val="20"/>
              </w:rPr>
              <w:t xml:space="preserve"> 2018) at the end of the fiscal year </w:t>
            </w:r>
            <w:r w:rsidRPr="00824024">
              <w:rPr>
                <w:rFonts w:ascii="Garamond" w:hAnsi="Garamond"/>
                <w:i/>
                <w:iCs/>
                <w:color w:val="000000" w:themeColor="text1"/>
                <w:sz w:val="20"/>
                <w:szCs w:val="20"/>
              </w:rPr>
              <w:t>t</w:t>
            </w:r>
            <w:r w:rsidRPr="00824024">
              <w:rPr>
                <w:rFonts w:ascii="Garamond" w:hAnsi="Garamond"/>
                <w:color w:val="000000" w:themeColor="text1"/>
                <w:sz w:val="20"/>
                <w:szCs w:val="20"/>
              </w:rPr>
              <w:t>.</w:t>
            </w:r>
          </w:p>
        </w:tc>
        <w:tc>
          <w:tcPr>
            <w:tcW w:w="911" w:type="dxa"/>
            <w:gridSpan w:val="2"/>
            <w:tcBorders>
              <w:right w:val="nil"/>
            </w:tcBorders>
          </w:tcPr>
          <w:p w:rsidR="00583BD3" w:rsidRPr="00824024" w:rsidRDefault="00583BD3" w:rsidP="000727E8">
            <w:pPr>
              <w:rPr>
                <w:rFonts w:ascii="Garamond" w:hAnsi="Garamond"/>
                <w:color w:val="000000" w:themeColor="text1"/>
                <w:sz w:val="20"/>
                <w:szCs w:val="20"/>
              </w:rPr>
            </w:pPr>
            <w:proofErr w:type="spellStart"/>
            <w:r w:rsidRPr="00824024">
              <w:rPr>
                <w:rFonts w:ascii="Garamond" w:hAnsi="Garamond"/>
                <w:color w:val="000000" w:themeColor="text1"/>
                <w:sz w:val="20"/>
                <w:szCs w:val="20"/>
              </w:rPr>
              <w:t>Boardex</w:t>
            </w:r>
            <w:proofErr w:type="spellEnd"/>
          </w:p>
        </w:tc>
      </w:tr>
      <w:tr w:rsidR="00583BD3" w:rsidRPr="00174AE5" w:rsidTr="000727E8">
        <w:trPr>
          <w:trHeight w:val="20"/>
        </w:trPr>
        <w:tc>
          <w:tcPr>
            <w:tcW w:w="2124" w:type="dxa"/>
            <w:tcBorders>
              <w:left w:val="nil"/>
            </w:tcBorders>
            <w:tcMar>
              <w:top w:w="75" w:type="dxa"/>
              <w:left w:w="75" w:type="dxa"/>
              <w:bottom w:w="75" w:type="dxa"/>
              <w:right w:w="75" w:type="dxa"/>
            </w:tcMar>
          </w:tcPr>
          <w:p w:rsidR="00583BD3" w:rsidRPr="00824024" w:rsidRDefault="00583BD3" w:rsidP="000727E8">
            <w:pPr>
              <w:rPr>
                <w:rFonts w:ascii="Garamond" w:hAnsi="Garamond"/>
                <w:color w:val="000000" w:themeColor="text1"/>
                <w:sz w:val="20"/>
                <w:szCs w:val="20"/>
              </w:rPr>
            </w:pPr>
            <w:r w:rsidRPr="00824024">
              <w:rPr>
                <w:rFonts w:ascii="Garamond" w:hAnsi="Garamond"/>
                <w:color w:val="000000" w:themeColor="text1"/>
                <w:sz w:val="20"/>
                <w:szCs w:val="20"/>
              </w:rPr>
              <w:t>Board Aggregate Diversity</w:t>
            </w:r>
          </w:p>
        </w:tc>
        <w:tc>
          <w:tcPr>
            <w:tcW w:w="7101" w:type="dxa"/>
            <w:tcMar>
              <w:top w:w="75" w:type="dxa"/>
              <w:left w:w="75" w:type="dxa"/>
              <w:bottom w:w="75" w:type="dxa"/>
              <w:right w:w="75" w:type="dxa"/>
            </w:tcMar>
          </w:tcPr>
          <w:p w:rsidR="00583BD3" w:rsidRPr="00824024" w:rsidRDefault="00583BD3" w:rsidP="000727E8">
            <w:pPr>
              <w:rPr>
                <w:rFonts w:ascii="Garamond" w:hAnsi="Garamond"/>
                <w:color w:val="000000" w:themeColor="text1"/>
                <w:sz w:val="20"/>
                <w:szCs w:val="20"/>
              </w:rPr>
            </w:pPr>
            <w:r w:rsidRPr="00824024">
              <w:rPr>
                <w:rFonts w:ascii="Garamond" w:hAnsi="Garamond"/>
                <w:color w:val="000000" w:themeColor="text1"/>
                <w:sz w:val="20"/>
                <w:szCs w:val="20"/>
              </w:rPr>
              <w:t>The standardized measure of board aggregate diversity (as in Fang et al</w:t>
            </w:r>
            <w:r w:rsidR="00174AE5" w:rsidRPr="00824024">
              <w:rPr>
                <w:rFonts w:ascii="Garamond" w:hAnsi="Garamond"/>
                <w:color w:val="000000" w:themeColor="text1"/>
                <w:sz w:val="20"/>
                <w:szCs w:val="20"/>
              </w:rPr>
              <w:t>.,</w:t>
            </w:r>
            <w:r w:rsidRPr="00824024">
              <w:rPr>
                <w:rFonts w:ascii="Garamond" w:hAnsi="Garamond"/>
                <w:color w:val="000000" w:themeColor="text1"/>
                <w:sz w:val="20"/>
                <w:szCs w:val="20"/>
              </w:rPr>
              <w:t xml:space="preserve"> 2018) at the end of the fiscal year </w:t>
            </w:r>
            <w:r w:rsidRPr="00824024">
              <w:rPr>
                <w:rFonts w:ascii="Garamond" w:hAnsi="Garamond"/>
                <w:i/>
                <w:iCs/>
                <w:color w:val="000000" w:themeColor="text1"/>
                <w:sz w:val="20"/>
                <w:szCs w:val="20"/>
              </w:rPr>
              <w:t>t</w:t>
            </w:r>
            <w:r w:rsidRPr="00824024">
              <w:rPr>
                <w:rFonts w:ascii="Garamond" w:hAnsi="Garamond"/>
                <w:color w:val="000000" w:themeColor="text1"/>
                <w:sz w:val="20"/>
                <w:szCs w:val="20"/>
              </w:rPr>
              <w:t>.</w:t>
            </w:r>
          </w:p>
        </w:tc>
        <w:tc>
          <w:tcPr>
            <w:tcW w:w="911" w:type="dxa"/>
            <w:gridSpan w:val="2"/>
            <w:tcBorders>
              <w:right w:val="nil"/>
            </w:tcBorders>
          </w:tcPr>
          <w:p w:rsidR="00583BD3" w:rsidRPr="00824024" w:rsidRDefault="00583BD3" w:rsidP="000727E8">
            <w:pPr>
              <w:rPr>
                <w:rFonts w:ascii="Garamond" w:hAnsi="Garamond"/>
                <w:color w:val="000000" w:themeColor="text1"/>
                <w:sz w:val="20"/>
                <w:szCs w:val="20"/>
              </w:rPr>
            </w:pPr>
            <w:proofErr w:type="spellStart"/>
            <w:r w:rsidRPr="00824024">
              <w:rPr>
                <w:rFonts w:ascii="Garamond" w:hAnsi="Garamond"/>
                <w:color w:val="000000" w:themeColor="text1"/>
                <w:sz w:val="20"/>
                <w:szCs w:val="20"/>
              </w:rPr>
              <w:t>Boardex</w:t>
            </w:r>
            <w:proofErr w:type="spellEnd"/>
          </w:p>
        </w:tc>
      </w:tr>
      <w:tr w:rsidR="00583BD3" w:rsidRPr="00174AE5" w:rsidTr="000727E8">
        <w:trPr>
          <w:trHeight w:val="20"/>
        </w:trPr>
        <w:tc>
          <w:tcPr>
            <w:tcW w:w="2124" w:type="dxa"/>
            <w:tcBorders>
              <w:left w:val="nil"/>
            </w:tcBorders>
            <w:tcMar>
              <w:top w:w="75" w:type="dxa"/>
              <w:left w:w="75" w:type="dxa"/>
              <w:bottom w:w="75" w:type="dxa"/>
              <w:right w:w="75" w:type="dxa"/>
            </w:tcMar>
            <w:hideMark/>
          </w:tcPr>
          <w:p w:rsidR="00583BD3" w:rsidRPr="00824024" w:rsidRDefault="00583BD3" w:rsidP="000727E8">
            <w:pPr>
              <w:rPr>
                <w:rFonts w:ascii="Garamond" w:hAnsi="Garamond"/>
                <w:color w:val="000000" w:themeColor="text1"/>
                <w:sz w:val="20"/>
                <w:szCs w:val="20"/>
              </w:rPr>
            </w:pPr>
            <w:proofErr w:type="spellStart"/>
            <w:r w:rsidRPr="00824024">
              <w:rPr>
                <w:rFonts w:ascii="Garamond" w:hAnsi="Garamond"/>
                <w:color w:val="000000" w:themeColor="text1"/>
                <w:sz w:val="20"/>
                <w:szCs w:val="20"/>
              </w:rPr>
              <w:t>Ln</w:t>
            </w:r>
            <w:proofErr w:type="spellEnd"/>
            <w:r w:rsidRPr="00824024">
              <w:rPr>
                <w:rFonts w:ascii="Garamond" w:hAnsi="Garamond"/>
                <w:color w:val="000000" w:themeColor="text1"/>
                <w:sz w:val="20"/>
                <w:szCs w:val="20"/>
              </w:rPr>
              <w:t>(number of directors)</w:t>
            </w:r>
          </w:p>
        </w:tc>
        <w:tc>
          <w:tcPr>
            <w:tcW w:w="7101" w:type="dxa"/>
            <w:tcMar>
              <w:top w:w="75" w:type="dxa"/>
              <w:left w:w="75" w:type="dxa"/>
              <w:bottom w:w="75" w:type="dxa"/>
              <w:right w:w="75" w:type="dxa"/>
            </w:tcMar>
            <w:hideMark/>
          </w:tcPr>
          <w:p w:rsidR="00583BD3" w:rsidRPr="00824024" w:rsidRDefault="00583BD3" w:rsidP="000727E8">
            <w:pPr>
              <w:rPr>
                <w:rFonts w:ascii="Garamond" w:hAnsi="Garamond"/>
                <w:color w:val="000000" w:themeColor="text1"/>
                <w:sz w:val="20"/>
                <w:szCs w:val="20"/>
              </w:rPr>
            </w:pPr>
            <w:r w:rsidRPr="00824024">
              <w:rPr>
                <w:rFonts w:ascii="Garamond" w:hAnsi="Garamond"/>
                <w:color w:val="000000" w:themeColor="text1"/>
                <w:sz w:val="20"/>
                <w:szCs w:val="20"/>
              </w:rPr>
              <w:t>The natural logarithm of the number of directors at the end of fiscal year </w:t>
            </w:r>
            <w:r w:rsidRPr="00824024">
              <w:rPr>
                <w:rFonts w:ascii="Garamond" w:hAnsi="Garamond"/>
                <w:i/>
                <w:iCs/>
                <w:color w:val="000000" w:themeColor="text1"/>
                <w:sz w:val="20"/>
                <w:szCs w:val="20"/>
              </w:rPr>
              <w:t>t</w:t>
            </w:r>
            <w:r w:rsidRPr="00824024">
              <w:rPr>
                <w:rFonts w:ascii="Garamond" w:hAnsi="Garamond"/>
                <w:color w:val="000000" w:themeColor="text1"/>
                <w:sz w:val="20"/>
                <w:szCs w:val="20"/>
              </w:rPr>
              <w:t>.</w:t>
            </w:r>
          </w:p>
        </w:tc>
        <w:tc>
          <w:tcPr>
            <w:tcW w:w="911" w:type="dxa"/>
            <w:gridSpan w:val="2"/>
            <w:tcBorders>
              <w:right w:val="nil"/>
            </w:tcBorders>
          </w:tcPr>
          <w:p w:rsidR="00583BD3" w:rsidRPr="00824024" w:rsidRDefault="00583BD3" w:rsidP="000727E8">
            <w:pPr>
              <w:rPr>
                <w:rFonts w:ascii="Garamond" w:hAnsi="Garamond"/>
                <w:color w:val="000000" w:themeColor="text1"/>
                <w:sz w:val="20"/>
                <w:szCs w:val="20"/>
              </w:rPr>
            </w:pPr>
            <w:proofErr w:type="spellStart"/>
            <w:r w:rsidRPr="00824024">
              <w:rPr>
                <w:rFonts w:ascii="Garamond" w:hAnsi="Garamond"/>
                <w:color w:val="000000" w:themeColor="text1"/>
                <w:sz w:val="20"/>
                <w:szCs w:val="20"/>
              </w:rPr>
              <w:t>Boardex</w:t>
            </w:r>
            <w:proofErr w:type="spellEnd"/>
          </w:p>
        </w:tc>
      </w:tr>
      <w:tr w:rsidR="00583BD3" w:rsidRPr="00174AE5" w:rsidTr="000727E8">
        <w:trPr>
          <w:trHeight w:val="20"/>
        </w:trPr>
        <w:tc>
          <w:tcPr>
            <w:tcW w:w="2124" w:type="dxa"/>
            <w:tcBorders>
              <w:left w:val="nil"/>
            </w:tcBorders>
            <w:tcMar>
              <w:top w:w="75" w:type="dxa"/>
              <w:left w:w="75" w:type="dxa"/>
              <w:bottom w:w="75" w:type="dxa"/>
              <w:right w:w="75" w:type="dxa"/>
            </w:tcMar>
            <w:hideMark/>
          </w:tcPr>
          <w:p w:rsidR="00583BD3" w:rsidRPr="00824024" w:rsidRDefault="00583BD3" w:rsidP="000727E8">
            <w:pPr>
              <w:rPr>
                <w:rFonts w:ascii="Garamond" w:hAnsi="Garamond"/>
                <w:color w:val="000000" w:themeColor="text1"/>
                <w:sz w:val="20"/>
                <w:szCs w:val="20"/>
              </w:rPr>
            </w:pPr>
            <w:r w:rsidRPr="00824024">
              <w:rPr>
                <w:rFonts w:ascii="Garamond" w:hAnsi="Garamond"/>
                <w:color w:val="000000" w:themeColor="text1"/>
                <w:sz w:val="20"/>
                <w:szCs w:val="20"/>
              </w:rPr>
              <w:t>Board Independence</w:t>
            </w:r>
          </w:p>
        </w:tc>
        <w:tc>
          <w:tcPr>
            <w:tcW w:w="7101" w:type="dxa"/>
            <w:tcMar>
              <w:top w:w="75" w:type="dxa"/>
              <w:left w:w="75" w:type="dxa"/>
              <w:bottom w:w="75" w:type="dxa"/>
              <w:right w:w="75" w:type="dxa"/>
            </w:tcMar>
            <w:hideMark/>
          </w:tcPr>
          <w:p w:rsidR="00583BD3" w:rsidRPr="00824024" w:rsidRDefault="00583BD3" w:rsidP="000727E8">
            <w:pPr>
              <w:rPr>
                <w:rFonts w:ascii="Garamond" w:hAnsi="Garamond"/>
                <w:color w:val="000000" w:themeColor="text1"/>
                <w:sz w:val="20"/>
                <w:szCs w:val="20"/>
              </w:rPr>
            </w:pPr>
            <w:r w:rsidRPr="00824024">
              <w:rPr>
                <w:rFonts w:ascii="Garamond" w:hAnsi="Garamond"/>
                <w:color w:val="000000" w:themeColor="text1"/>
                <w:sz w:val="20"/>
                <w:szCs w:val="20"/>
              </w:rPr>
              <w:t>The percentage of independent directors over total directors at the end of fiscal year </w:t>
            </w:r>
            <w:r w:rsidRPr="00824024">
              <w:rPr>
                <w:rFonts w:ascii="Garamond" w:hAnsi="Garamond"/>
                <w:i/>
                <w:iCs/>
                <w:color w:val="000000" w:themeColor="text1"/>
                <w:sz w:val="20"/>
                <w:szCs w:val="20"/>
              </w:rPr>
              <w:t>t</w:t>
            </w:r>
            <w:r w:rsidRPr="00824024">
              <w:rPr>
                <w:rFonts w:ascii="Garamond" w:hAnsi="Garamond"/>
                <w:color w:val="000000" w:themeColor="text1"/>
                <w:sz w:val="20"/>
                <w:szCs w:val="20"/>
              </w:rPr>
              <w:t>.</w:t>
            </w:r>
          </w:p>
        </w:tc>
        <w:tc>
          <w:tcPr>
            <w:tcW w:w="911" w:type="dxa"/>
            <w:gridSpan w:val="2"/>
            <w:tcBorders>
              <w:right w:val="nil"/>
            </w:tcBorders>
          </w:tcPr>
          <w:p w:rsidR="00583BD3" w:rsidRPr="00824024" w:rsidRDefault="00583BD3" w:rsidP="000727E8">
            <w:pPr>
              <w:rPr>
                <w:rFonts w:ascii="Garamond" w:hAnsi="Garamond"/>
                <w:color w:val="000000" w:themeColor="text1"/>
                <w:sz w:val="20"/>
                <w:szCs w:val="20"/>
              </w:rPr>
            </w:pPr>
            <w:proofErr w:type="spellStart"/>
            <w:r w:rsidRPr="00824024">
              <w:rPr>
                <w:rFonts w:ascii="Garamond" w:hAnsi="Garamond"/>
                <w:color w:val="000000" w:themeColor="text1"/>
                <w:sz w:val="20"/>
                <w:szCs w:val="20"/>
              </w:rPr>
              <w:t>Boardex</w:t>
            </w:r>
            <w:proofErr w:type="spellEnd"/>
          </w:p>
        </w:tc>
      </w:tr>
      <w:tr w:rsidR="00583BD3" w:rsidRPr="00174AE5" w:rsidTr="000727E8">
        <w:trPr>
          <w:trHeight w:val="20"/>
        </w:trPr>
        <w:tc>
          <w:tcPr>
            <w:tcW w:w="2124" w:type="dxa"/>
            <w:tcBorders>
              <w:left w:val="nil"/>
              <w:bottom w:val="single" w:sz="4" w:space="0" w:color="auto"/>
            </w:tcBorders>
            <w:tcMar>
              <w:top w:w="75" w:type="dxa"/>
              <w:left w:w="75" w:type="dxa"/>
              <w:bottom w:w="75" w:type="dxa"/>
              <w:right w:w="75" w:type="dxa"/>
            </w:tcMar>
            <w:hideMark/>
          </w:tcPr>
          <w:p w:rsidR="00583BD3" w:rsidRPr="00824024" w:rsidRDefault="00583BD3" w:rsidP="000727E8">
            <w:pPr>
              <w:rPr>
                <w:rFonts w:ascii="Garamond" w:hAnsi="Garamond"/>
                <w:i/>
                <w:iCs/>
                <w:color w:val="000000" w:themeColor="text1"/>
                <w:sz w:val="20"/>
                <w:szCs w:val="20"/>
              </w:rPr>
            </w:pPr>
            <w:r w:rsidRPr="00824024">
              <w:rPr>
                <w:rFonts w:ascii="Garamond" w:hAnsi="Garamond"/>
                <w:color w:val="000000" w:themeColor="text1"/>
                <w:sz w:val="20"/>
                <w:szCs w:val="20"/>
              </w:rPr>
              <w:t>CEO is Chairman</w:t>
            </w:r>
          </w:p>
        </w:tc>
        <w:tc>
          <w:tcPr>
            <w:tcW w:w="7101" w:type="dxa"/>
            <w:tcBorders>
              <w:bottom w:val="single" w:sz="4" w:space="0" w:color="auto"/>
            </w:tcBorders>
            <w:tcMar>
              <w:top w:w="75" w:type="dxa"/>
              <w:left w:w="75" w:type="dxa"/>
              <w:bottom w:w="75" w:type="dxa"/>
              <w:right w:w="75" w:type="dxa"/>
            </w:tcMar>
            <w:hideMark/>
          </w:tcPr>
          <w:p w:rsidR="00583BD3" w:rsidRPr="00824024" w:rsidRDefault="00583BD3" w:rsidP="000727E8">
            <w:pPr>
              <w:rPr>
                <w:rFonts w:ascii="Garamond" w:hAnsi="Garamond"/>
                <w:color w:val="000000" w:themeColor="text1"/>
                <w:sz w:val="20"/>
                <w:szCs w:val="20"/>
              </w:rPr>
            </w:pPr>
            <w:r w:rsidRPr="00824024">
              <w:rPr>
                <w:rFonts w:ascii="Garamond" w:hAnsi="Garamond"/>
                <w:color w:val="000000" w:themeColor="text1"/>
                <w:sz w:val="20"/>
                <w:szCs w:val="20"/>
              </w:rPr>
              <w:t>A dummy variable equal to one if the Chief Executive Officer (CFO) is also the Chairman, zero otherwise at the end of fiscal year </w:t>
            </w:r>
            <w:r w:rsidRPr="00824024">
              <w:rPr>
                <w:rFonts w:ascii="Garamond" w:hAnsi="Garamond"/>
                <w:i/>
                <w:iCs/>
                <w:color w:val="000000" w:themeColor="text1"/>
                <w:sz w:val="20"/>
                <w:szCs w:val="20"/>
              </w:rPr>
              <w:t>t</w:t>
            </w:r>
            <w:r w:rsidRPr="00824024">
              <w:rPr>
                <w:rFonts w:ascii="Garamond" w:hAnsi="Garamond"/>
                <w:color w:val="000000" w:themeColor="text1"/>
                <w:sz w:val="20"/>
                <w:szCs w:val="20"/>
              </w:rPr>
              <w:t>.</w:t>
            </w:r>
          </w:p>
          <w:p w:rsidR="00583BD3" w:rsidRPr="00824024" w:rsidRDefault="00583BD3" w:rsidP="000727E8">
            <w:pPr>
              <w:rPr>
                <w:rFonts w:ascii="Garamond" w:hAnsi="Garamond"/>
                <w:color w:val="000000" w:themeColor="text1"/>
                <w:sz w:val="20"/>
                <w:szCs w:val="20"/>
              </w:rPr>
            </w:pPr>
          </w:p>
        </w:tc>
        <w:tc>
          <w:tcPr>
            <w:tcW w:w="911" w:type="dxa"/>
            <w:gridSpan w:val="2"/>
            <w:tcBorders>
              <w:bottom w:val="single" w:sz="4" w:space="0" w:color="auto"/>
              <w:right w:val="nil"/>
            </w:tcBorders>
          </w:tcPr>
          <w:p w:rsidR="00583BD3" w:rsidRPr="00824024" w:rsidRDefault="00583BD3" w:rsidP="000727E8">
            <w:pPr>
              <w:rPr>
                <w:rFonts w:ascii="Garamond" w:hAnsi="Garamond"/>
                <w:color w:val="000000" w:themeColor="text1"/>
                <w:sz w:val="20"/>
                <w:szCs w:val="20"/>
              </w:rPr>
            </w:pPr>
            <w:proofErr w:type="spellStart"/>
            <w:r w:rsidRPr="00824024">
              <w:rPr>
                <w:rFonts w:ascii="Garamond" w:hAnsi="Garamond"/>
                <w:color w:val="000000" w:themeColor="text1"/>
                <w:sz w:val="20"/>
                <w:szCs w:val="20"/>
              </w:rPr>
              <w:t>BoardEx</w:t>
            </w:r>
            <w:proofErr w:type="spellEnd"/>
          </w:p>
        </w:tc>
      </w:tr>
      <w:tr w:rsidR="00583BD3" w:rsidRPr="00174AE5" w:rsidTr="000727E8">
        <w:trPr>
          <w:gridAfter w:val="1"/>
          <w:wAfter w:w="7" w:type="dxa"/>
          <w:trHeight w:val="20"/>
        </w:trPr>
        <w:tc>
          <w:tcPr>
            <w:tcW w:w="10129" w:type="dxa"/>
            <w:gridSpan w:val="3"/>
            <w:tcBorders>
              <w:top w:val="single" w:sz="4" w:space="0" w:color="auto"/>
              <w:left w:val="nil"/>
              <w:bottom w:val="nil"/>
              <w:right w:val="nil"/>
            </w:tcBorders>
            <w:tcMar>
              <w:top w:w="75" w:type="dxa"/>
              <w:left w:w="75" w:type="dxa"/>
              <w:bottom w:w="75" w:type="dxa"/>
              <w:right w:w="75" w:type="dxa"/>
            </w:tcMar>
          </w:tcPr>
          <w:p w:rsidR="00583BD3" w:rsidRPr="00824024" w:rsidRDefault="00583BD3" w:rsidP="000727E8">
            <w:pPr>
              <w:rPr>
                <w:rFonts w:ascii="Garamond" w:hAnsi="Garamond"/>
                <w:i/>
                <w:iCs/>
                <w:color w:val="000000" w:themeColor="text1"/>
                <w:sz w:val="20"/>
                <w:szCs w:val="20"/>
              </w:rPr>
            </w:pPr>
            <w:r w:rsidRPr="00824024">
              <w:rPr>
                <w:rFonts w:ascii="Garamond" w:hAnsi="Garamond"/>
                <w:i/>
                <w:iCs/>
                <w:color w:val="000000" w:themeColor="text1"/>
                <w:sz w:val="20"/>
                <w:szCs w:val="20"/>
              </w:rPr>
              <w:t>Firm characteristics</w:t>
            </w:r>
          </w:p>
        </w:tc>
      </w:tr>
      <w:tr w:rsidR="00583BD3" w:rsidRPr="00174AE5" w:rsidTr="000727E8">
        <w:trPr>
          <w:trHeight w:val="20"/>
        </w:trPr>
        <w:tc>
          <w:tcPr>
            <w:tcW w:w="2124" w:type="dxa"/>
            <w:tcBorders>
              <w:left w:val="nil"/>
            </w:tcBorders>
            <w:tcMar>
              <w:top w:w="75" w:type="dxa"/>
              <w:left w:w="75" w:type="dxa"/>
              <w:bottom w:w="75" w:type="dxa"/>
              <w:right w:w="75" w:type="dxa"/>
            </w:tcMar>
          </w:tcPr>
          <w:p w:rsidR="00583BD3" w:rsidRPr="00824024" w:rsidRDefault="00583BD3" w:rsidP="000727E8">
            <w:pPr>
              <w:rPr>
                <w:rFonts w:ascii="Garamond" w:hAnsi="Garamond"/>
                <w:color w:val="000000" w:themeColor="text1"/>
                <w:sz w:val="20"/>
                <w:szCs w:val="20"/>
              </w:rPr>
            </w:pPr>
            <w:proofErr w:type="spellStart"/>
            <w:r w:rsidRPr="00824024">
              <w:rPr>
                <w:rFonts w:ascii="Garamond" w:hAnsi="Garamond"/>
                <w:color w:val="000000" w:themeColor="text1"/>
                <w:sz w:val="20"/>
                <w:szCs w:val="20"/>
              </w:rPr>
              <w:t>Ln</w:t>
            </w:r>
            <w:proofErr w:type="spellEnd"/>
            <w:r w:rsidRPr="00824024">
              <w:rPr>
                <w:rFonts w:ascii="Garamond" w:hAnsi="Garamond"/>
                <w:color w:val="000000" w:themeColor="text1"/>
                <w:sz w:val="20"/>
                <w:szCs w:val="20"/>
              </w:rPr>
              <w:t>(market-to-book)</w:t>
            </w:r>
          </w:p>
        </w:tc>
        <w:tc>
          <w:tcPr>
            <w:tcW w:w="7101" w:type="dxa"/>
            <w:tcMar>
              <w:top w:w="75" w:type="dxa"/>
              <w:left w:w="75" w:type="dxa"/>
              <w:bottom w:w="75" w:type="dxa"/>
              <w:right w:w="75" w:type="dxa"/>
            </w:tcMar>
          </w:tcPr>
          <w:p w:rsidR="00583BD3" w:rsidRPr="00824024" w:rsidRDefault="00583BD3" w:rsidP="000727E8">
            <w:pPr>
              <w:rPr>
                <w:rFonts w:ascii="Garamond" w:hAnsi="Garamond"/>
                <w:color w:val="000000" w:themeColor="text1"/>
                <w:sz w:val="20"/>
                <w:szCs w:val="20"/>
              </w:rPr>
            </w:pPr>
            <w:r w:rsidRPr="00824024">
              <w:rPr>
                <w:rFonts w:ascii="Garamond" w:hAnsi="Garamond"/>
                <w:color w:val="000000" w:themeColor="text1"/>
                <w:sz w:val="20"/>
                <w:szCs w:val="20"/>
              </w:rPr>
              <w:t>The natural logarithm of the Market-to-Book value of equity at the end of fiscal year </w:t>
            </w:r>
            <w:r w:rsidRPr="00824024">
              <w:rPr>
                <w:rFonts w:ascii="Garamond" w:hAnsi="Garamond"/>
                <w:i/>
                <w:iCs/>
                <w:color w:val="000000" w:themeColor="text1"/>
                <w:sz w:val="20"/>
                <w:szCs w:val="20"/>
              </w:rPr>
              <w:t>t</w:t>
            </w:r>
            <w:r w:rsidRPr="00824024">
              <w:rPr>
                <w:rFonts w:ascii="Garamond" w:hAnsi="Garamond"/>
                <w:color w:val="000000" w:themeColor="text1"/>
                <w:sz w:val="20"/>
                <w:szCs w:val="20"/>
              </w:rPr>
              <w:t>.</w:t>
            </w:r>
          </w:p>
        </w:tc>
        <w:tc>
          <w:tcPr>
            <w:tcW w:w="911" w:type="dxa"/>
            <w:gridSpan w:val="2"/>
            <w:tcBorders>
              <w:right w:val="nil"/>
            </w:tcBorders>
          </w:tcPr>
          <w:p w:rsidR="00583BD3" w:rsidRPr="00824024" w:rsidRDefault="00583BD3" w:rsidP="000727E8">
            <w:pPr>
              <w:rPr>
                <w:rFonts w:ascii="Garamond" w:hAnsi="Garamond"/>
                <w:color w:val="000000" w:themeColor="text1"/>
                <w:sz w:val="20"/>
                <w:szCs w:val="20"/>
              </w:rPr>
            </w:pPr>
            <w:proofErr w:type="spellStart"/>
            <w:r w:rsidRPr="00824024">
              <w:rPr>
                <w:rFonts w:ascii="Garamond" w:hAnsi="Garamond"/>
                <w:color w:val="000000" w:themeColor="text1"/>
                <w:sz w:val="20"/>
                <w:szCs w:val="20"/>
              </w:rPr>
              <w:t>Datastream</w:t>
            </w:r>
            <w:proofErr w:type="spellEnd"/>
          </w:p>
        </w:tc>
      </w:tr>
      <w:tr w:rsidR="00583BD3" w:rsidRPr="00174AE5" w:rsidTr="000727E8">
        <w:trPr>
          <w:trHeight w:val="20"/>
        </w:trPr>
        <w:tc>
          <w:tcPr>
            <w:tcW w:w="2124" w:type="dxa"/>
            <w:tcBorders>
              <w:left w:val="nil"/>
            </w:tcBorders>
            <w:tcMar>
              <w:top w:w="75" w:type="dxa"/>
              <w:left w:w="75" w:type="dxa"/>
              <w:bottom w:w="75" w:type="dxa"/>
              <w:right w:w="75" w:type="dxa"/>
            </w:tcMar>
          </w:tcPr>
          <w:p w:rsidR="00583BD3" w:rsidRPr="00824024" w:rsidRDefault="00583BD3" w:rsidP="000727E8">
            <w:pPr>
              <w:rPr>
                <w:rFonts w:ascii="Garamond" w:hAnsi="Garamond"/>
                <w:color w:val="000000" w:themeColor="text1"/>
                <w:sz w:val="20"/>
                <w:szCs w:val="20"/>
              </w:rPr>
            </w:pPr>
            <w:r w:rsidRPr="00824024">
              <w:rPr>
                <w:rFonts w:ascii="Garamond" w:hAnsi="Garamond"/>
                <w:color w:val="000000" w:themeColor="text1"/>
                <w:sz w:val="20"/>
                <w:szCs w:val="20"/>
              </w:rPr>
              <w:t>Capital expenditure</w:t>
            </w:r>
          </w:p>
        </w:tc>
        <w:tc>
          <w:tcPr>
            <w:tcW w:w="7101" w:type="dxa"/>
            <w:tcMar>
              <w:top w:w="75" w:type="dxa"/>
              <w:left w:w="75" w:type="dxa"/>
              <w:bottom w:w="75" w:type="dxa"/>
              <w:right w:w="75" w:type="dxa"/>
            </w:tcMar>
          </w:tcPr>
          <w:p w:rsidR="00583BD3" w:rsidRPr="00824024" w:rsidRDefault="00583BD3" w:rsidP="000727E8">
            <w:pPr>
              <w:rPr>
                <w:rFonts w:ascii="Garamond" w:hAnsi="Garamond"/>
                <w:color w:val="000000" w:themeColor="text1"/>
                <w:sz w:val="20"/>
                <w:szCs w:val="20"/>
              </w:rPr>
            </w:pPr>
            <w:r w:rsidRPr="00824024">
              <w:rPr>
                <w:rFonts w:ascii="Garamond" w:hAnsi="Garamond"/>
                <w:color w:val="000000" w:themeColor="text1"/>
                <w:sz w:val="20"/>
                <w:szCs w:val="20"/>
              </w:rPr>
              <w:t>Ratio of capital expenditures to total assets at the end of fiscal year </w:t>
            </w:r>
            <w:r w:rsidRPr="00824024">
              <w:rPr>
                <w:rFonts w:ascii="Garamond" w:hAnsi="Garamond"/>
                <w:i/>
                <w:iCs/>
                <w:color w:val="000000" w:themeColor="text1"/>
                <w:sz w:val="20"/>
                <w:szCs w:val="20"/>
              </w:rPr>
              <w:t>t</w:t>
            </w:r>
            <w:r w:rsidRPr="00824024">
              <w:rPr>
                <w:rFonts w:ascii="Garamond" w:hAnsi="Garamond"/>
                <w:color w:val="000000" w:themeColor="text1"/>
                <w:sz w:val="20"/>
                <w:szCs w:val="20"/>
              </w:rPr>
              <w:t>.</w:t>
            </w:r>
          </w:p>
        </w:tc>
        <w:tc>
          <w:tcPr>
            <w:tcW w:w="911" w:type="dxa"/>
            <w:gridSpan w:val="2"/>
            <w:tcBorders>
              <w:right w:val="nil"/>
            </w:tcBorders>
          </w:tcPr>
          <w:p w:rsidR="00583BD3" w:rsidRPr="00824024" w:rsidRDefault="00583BD3" w:rsidP="000727E8">
            <w:pPr>
              <w:rPr>
                <w:rFonts w:ascii="Garamond" w:hAnsi="Garamond"/>
                <w:color w:val="000000" w:themeColor="text1"/>
                <w:sz w:val="20"/>
                <w:szCs w:val="20"/>
              </w:rPr>
            </w:pPr>
            <w:proofErr w:type="spellStart"/>
            <w:r w:rsidRPr="00824024">
              <w:rPr>
                <w:rFonts w:ascii="Garamond" w:hAnsi="Garamond"/>
                <w:color w:val="000000" w:themeColor="text1"/>
                <w:sz w:val="20"/>
                <w:szCs w:val="20"/>
              </w:rPr>
              <w:t>Datastream</w:t>
            </w:r>
            <w:proofErr w:type="spellEnd"/>
          </w:p>
        </w:tc>
      </w:tr>
      <w:tr w:rsidR="00583BD3" w:rsidRPr="00174AE5" w:rsidTr="000727E8">
        <w:trPr>
          <w:trHeight w:val="20"/>
        </w:trPr>
        <w:tc>
          <w:tcPr>
            <w:tcW w:w="2124" w:type="dxa"/>
            <w:tcBorders>
              <w:left w:val="nil"/>
            </w:tcBorders>
            <w:tcMar>
              <w:top w:w="75" w:type="dxa"/>
              <w:left w:w="75" w:type="dxa"/>
              <w:bottom w:w="75" w:type="dxa"/>
              <w:right w:w="75" w:type="dxa"/>
            </w:tcMar>
          </w:tcPr>
          <w:p w:rsidR="00583BD3" w:rsidRPr="00824024" w:rsidRDefault="00583BD3" w:rsidP="000727E8">
            <w:pPr>
              <w:rPr>
                <w:rFonts w:ascii="Garamond" w:hAnsi="Garamond"/>
                <w:color w:val="000000" w:themeColor="text1"/>
                <w:sz w:val="20"/>
                <w:szCs w:val="20"/>
              </w:rPr>
            </w:pPr>
            <w:proofErr w:type="spellStart"/>
            <w:r w:rsidRPr="00824024">
              <w:rPr>
                <w:rFonts w:ascii="Garamond" w:hAnsi="Garamond"/>
                <w:color w:val="000000" w:themeColor="text1"/>
                <w:sz w:val="20"/>
                <w:szCs w:val="20"/>
              </w:rPr>
              <w:t>Ln</w:t>
            </w:r>
            <w:proofErr w:type="spellEnd"/>
            <w:r w:rsidRPr="00824024">
              <w:rPr>
                <w:rFonts w:ascii="Garamond" w:hAnsi="Garamond"/>
                <w:color w:val="000000" w:themeColor="text1"/>
                <w:sz w:val="20"/>
                <w:szCs w:val="20"/>
              </w:rPr>
              <w:t>(total assets) </w:t>
            </w:r>
          </w:p>
        </w:tc>
        <w:tc>
          <w:tcPr>
            <w:tcW w:w="7101" w:type="dxa"/>
            <w:tcMar>
              <w:top w:w="75" w:type="dxa"/>
              <w:left w:w="75" w:type="dxa"/>
              <w:bottom w:w="75" w:type="dxa"/>
              <w:right w:w="75" w:type="dxa"/>
            </w:tcMar>
          </w:tcPr>
          <w:p w:rsidR="00583BD3" w:rsidRPr="00824024" w:rsidRDefault="00583BD3" w:rsidP="000727E8">
            <w:pPr>
              <w:rPr>
                <w:rFonts w:ascii="Garamond" w:hAnsi="Garamond"/>
                <w:color w:val="000000" w:themeColor="text1"/>
                <w:sz w:val="20"/>
                <w:szCs w:val="20"/>
              </w:rPr>
            </w:pPr>
            <w:r w:rsidRPr="00824024">
              <w:rPr>
                <w:rFonts w:ascii="Garamond" w:hAnsi="Garamond"/>
                <w:color w:val="000000" w:themeColor="text1"/>
                <w:sz w:val="20"/>
                <w:szCs w:val="20"/>
              </w:rPr>
              <w:t>The natural logarithm of the book value of total assets at the end of fiscal year </w:t>
            </w:r>
            <w:r w:rsidRPr="00824024">
              <w:rPr>
                <w:rFonts w:ascii="Garamond" w:hAnsi="Garamond"/>
                <w:i/>
                <w:iCs/>
                <w:color w:val="000000" w:themeColor="text1"/>
                <w:sz w:val="20"/>
                <w:szCs w:val="20"/>
              </w:rPr>
              <w:t>t</w:t>
            </w:r>
            <w:r w:rsidRPr="00824024">
              <w:rPr>
                <w:rFonts w:ascii="Garamond" w:hAnsi="Garamond"/>
                <w:color w:val="000000" w:themeColor="text1"/>
                <w:sz w:val="20"/>
                <w:szCs w:val="20"/>
              </w:rPr>
              <w:t>.</w:t>
            </w:r>
          </w:p>
        </w:tc>
        <w:tc>
          <w:tcPr>
            <w:tcW w:w="911" w:type="dxa"/>
            <w:gridSpan w:val="2"/>
            <w:tcBorders>
              <w:right w:val="nil"/>
            </w:tcBorders>
          </w:tcPr>
          <w:p w:rsidR="00583BD3" w:rsidRPr="00824024" w:rsidRDefault="00583BD3" w:rsidP="000727E8">
            <w:pPr>
              <w:rPr>
                <w:rFonts w:ascii="Garamond" w:hAnsi="Garamond"/>
                <w:color w:val="000000" w:themeColor="text1"/>
                <w:sz w:val="20"/>
                <w:szCs w:val="20"/>
              </w:rPr>
            </w:pPr>
            <w:proofErr w:type="spellStart"/>
            <w:r w:rsidRPr="00824024">
              <w:rPr>
                <w:rFonts w:ascii="Garamond" w:hAnsi="Garamond"/>
                <w:color w:val="000000" w:themeColor="text1"/>
                <w:sz w:val="20"/>
                <w:szCs w:val="20"/>
              </w:rPr>
              <w:t>Datastream</w:t>
            </w:r>
            <w:proofErr w:type="spellEnd"/>
          </w:p>
        </w:tc>
      </w:tr>
      <w:tr w:rsidR="00583BD3" w:rsidRPr="00174AE5" w:rsidTr="000727E8">
        <w:trPr>
          <w:trHeight w:val="20"/>
        </w:trPr>
        <w:tc>
          <w:tcPr>
            <w:tcW w:w="2124" w:type="dxa"/>
            <w:tcBorders>
              <w:left w:val="nil"/>
            </w:tcBorders>
            <w:tcMar>
              <w:top w:w="75" w:type="dxa"/>
              <w:left w:w="75" w:type="dxa"/>
              <w:bottom w:w="75" w:type="dxa"/>
              <w:right w:w="75" w:type="dxa"/>
            </w:tcMar>
          </w:tcPr>
          <w:p w:rsidR="00583BD3" w:rsidRPr="00824024" w:rsidRDefault="00583BD3" w:rsidP="000727E8">
            <w:pPr>
              <w:rPr>
                <w:rFonts w:ascii="Garamond" w:hAnsi="Garamond"/>
                <w:color w:val="000000" w:themeColor="text1"/>
                <w:sz w:val="20"/>
                <w:szCs w:val="20"/>
              </w:rPr>
            </w:pPr>
            <w:proofErr w:type="spellStart"/>
            <w:r w:rsidRPr="00824024">
              <w:rPr>
                <w:rFonts w:ascii="Garamond" w:hAnsi="Garamond"/>
                <w:color w:val="000000" w:themeColor="text1"/>
                <w:sz w:val="20"/>
                <w:szCs w:val="20"/>
              </w:rPr>
              <w:t>Ln</w:t>
            </w:r>
            <w:proofErr w:type="spellEnd"/>
            <w:r w:rsidRPr="00824024">
              <w:rPr>
                <w:rFonts w:ascii="Garamond" w:hAnsi="Garamond"/>
                <w:color w:val="000000" w:themeColor="text1"/>
                <w:sz w:val="20"/>
                <w:szCs w:val="20"/>
              </w:rPr>
              <w:t>(Firm age)</w:t>
            </w:r>
          </w:p>
        </w:tc>
        <w:tc>
          <w:tcPr>
            <w:tcW w:w="7101" w:type="dxa"/>
            <w:tcMar>
              <w:top w:w="75" w:type="dxa"/>
              <w:left w:w="75" w:type="dxa"/>
              <w:bottom w:w="75" w:type="dxa"/>
              <w:right w:w="75" w:type="dxa"/>
            </w:tcMar>
          </w:tcPr>
          <w:p w:rsidR="00583BD3" w:rsidRPr="00824024" w:rsidRDefault="00583BD3" w:rsidP="000727E8">
            <w:pPr>
              <w:rPr>
                <w:rFonts w:ascii="Garamond" w:hAnsi="Garamond"/>
                <w:color w:val="000000" w:themeColor="text1"/>
                <w:sz w:val="20"/>
                <w:szCs w:val="20"/>
              </w:rPr>
            </w:pPr>
            <w:r w:rsidRPr="00824024">
              <w:rPr>
                <w:rFonts w:ascii="Garamond" w:hAnsi="Garamond"/>
                <w:color w:val="000000" w:themeColor="text1"/>
                <w:sz w:val="20"/>
                <w:szCs w:val="20"/>
              </w:rPr>
              <w:t>The number of years since a firm has been listed in the exchange at the end of year </w:t>
            </w:r>
            <w:r w:rsidRPr="00824024">
              <w:rPr>
                <w:rFonts w:ascii="Garamond" w:hAnsi="Garamond"/>
                <w:i/>
                <w:iCs/>
                <w:color w:val="000000" w:themeColor="text1"/>
                <w:sz w:val="20"/>
                <w:szCs w:val="20"/>
              </w:rPr>
              <w:t>t</w:t>
            </w:r>
            <w:r w:rsidRPr="00824024">
              <w:rPr>
                <w:rFonts w:ascii="Garamond" w:hAnsi="Garamond"/>
                <w:color w:val="000000" w:themeColor="text1"/>
                <w:sz w:val="20"/>
                <w:szCs w:val="20"/>
              </w:rPr>
              <w:t>.</w:t>
            </w:r>
          </w:p>
        </w:tc>
        <w:tc>
          <w:tcPr>
            <w:tcW w:w="911" w:type="dxa"/>
            <w:gridSpan w:val="2"/>
            <w:tcBorders>
              <w:right w:val="nil"/>
            </w:tcBorders>
          </w:tcPr>
          <w:p w:rsidR="00583BD3" w:rsidRPr="00824024" w:rsidRDefault="00583BD3" w:rsidP="000727E8">
            <w:pPr>
              <w:rPr>
                <w:rFonts w:ascii="Garamond" w:hAnsi="Garamond"/>
                <w:color w:val="000000" w:themeColor="text1"/>
                <w:sz w:val="20"/>
                <w:szCs w:val="20"/>
              </w:rPr>
            </w:pPr>
            <w:proofErr w:type="spellStart"/>
            <w:r w:rsidRPr="00824024">
              <w:rPr>
                <w:rFonts w:ascii="Garamond" w:hAnsi="Garamond"/>
                <w:color w:val="000000" w:themeColor="text1"/>
                <w:sz w:val="20"/>
                <w:szCs w:val="20"/>
              </w:rPr>
              <w:t>Datastream</w:t>
            </w:r>
            <w:proofErr w:type="spellEnd"/>
          </w:p>
        </w:tc>
      </w:tr>
      <w:tr w:rsidR="00583BD3" w:rsidRPr="00174AE5" w:rsidTr="000727E8">
        <w:trPr>
          <w:trHeight w:val="20"/>
        </w:trPr>
        <w:tc>
          <w:tcPr>
            <w:tcW w:w="2124" w:type="dxa"/>
            <w:tcBorders>
              <w:left w:val="nil"/>
            </w:tcBorders>
            <w:tcMar>
              <w:top w:w="75" w:type="dxa"/>
              <w:left w:w="75" w:type="dxa"/>
              <w:bottom w:w="75" w:type="dxa"/>
              <w:right w:w="75" w:type="dxa"/>
            </w:tcMar>
          </w:tcPr>
          <w:p w:rsidR="00583BD3" w:rsidRPr="00824024" w:rsidRDefault="00583BD3" w:rsidP="000727E8">
            <w:pPr>
              <w:rPr>
                <w:rFonts w:ascii="Garamond" w:hAnsi="Garamond"/>
                <w:color w:val="000000" w:themeColor="text1"/>
                <w:sz w:val="20"/>
                <w:szCs w:val="20"/>
              </w:rPr>
            </w:pPr>
            <w:r w:rsidRPr="00824024">
              <w:rPr>
                <w:rFonts w:ascii="Garamond" w:hAnsi="Garamond"/>
                <w:color w:val="000000" w:themeColor="text1"/>
                <w:sz w:val="20"/>
                <w:szCs w:val="20"/>
              </w:rPr>
              <w:t xml:space="preserve">Tobin’s </w:t>
            </w:r>
            <w:r w:rsidRPr="00824024">
              <w:rPr>
                <w:rFonts w:ascii="Garamond" w:hAnsi="Garamond"/>
                <w:i/>
                <w:iCs/>
                <w:color w:val="000000" w:themeColor="text1"/>
                <w:sz w:val="20"/>
                <w:szCs w:val="20"/>
              </w:rPr>
              <w:t>Q</w:t>
            </w:r>
          </w:p>
        </w:tc>
        <w:tc>
          <w:tcPr>
            <w:tcW w:w="7101" w:type="dxa"/>
            <w:tcMar>
              <w:top w:w="75" w:type="dxa"/>
              <w:left w:w="75" w:type="dxa"/>
              <w:bottom w:w="75" w:type="dxa"/>
              <w:right w:w="75" w:type="dxa"/>
            </w:tcMar>
          </w:tcPr>
          <w:p w:rsidR="00583BD3" w:rsidRPr="00824024" w:rsidRDefault="00583BD3" w:rsidP="000727E8">
            <w:pPr>
              <w:rPr>
                <w:rFonts w:ascii="Garamond" w:hAnsi="Garamond"/>
                <w:color w:val="000000" w:themeColor="text1"/>
                <w:sz w:val="20"/>
                <w:szCs w:val="20"/>
              </w:rPr>
            </w:pPr>
            <w:r w:rsidRPr="00824024">
              <w:rPr>
                <w:rFonts w:ascii="Garamond" w:hAnsi="Garamond"/>
                <w:color w:val="000000" w:themeColor="text1"/>
                <w:sz w:val="20"/>
                <w:szCs w:val="20"/>
              </w:rPr>
              <w:t xml:space="preserve">The total market value of the firm divided by the total asset value of firm at the end of the fiscal year </w:t>
            </w:r>
            <w:r w:rsidRPr="00824024">
              <w:rPr>
                <w:rFonts w:ascii="Garamond" w:hAnsi="Garamond"/>
                <w:i/>
                <w:iCs/>
                <w:color w:val="000000" w:themeColor="text1"/>
                <w:sz w:val="20"/>
                <w:szCs w:val="20"/>
              </w:rPr>
              <w:t>t</w:t>
            </w:r>
            <w:r w:rsidRPr="00824024">
              <w:rPr>
                <w:rFonts w:ascii="Garamond" w:hAnsi="Garamond"/>
                <w:color w:val="000000" w:themeColor="text1"/>
                <w:sz w:val="20"/>
                <w:szCs w:val="20"/>
              </w:rPr>
              <w:t>.</w:t>
            </w:r>
          </w:p>
        </w:tc>
        <w:tc>
          <w:tcPr>
            <w:tcW w:w="911" w:type="dxa"/>
            <w:gridSpan w:val="2"/>
            <w:tcBorders>
              <w:right w:val="nil"/>
            </w:tcBorders>
          </w:tcPr>
          <w:p w:rsidR="00583BD3" w:rsidRPr="00824024" w:rsidRDefault="00583BD3" w:rsidP="000727E8">
            <w:pPr>
              <w:rPr>
                <w:rFonts w:ascii="Garamond" w:hAnsi="Garamond"/>
                <w:color w:val="000000" w:themeColor="text1"/>
                <w:sz w:val="20"/>
                <w:szCs w:val="20"/>
              </w:rPr>
            </w:pPr>
            <w:proofErr w:type="spellStart"/>
            <w:r w:rsidRPr="00824024">
              <w:rPr>
                <w:rFonts w:ascii="Garamond" w:hAnsi="Garamond"/>
                <w:color w:val="000000" w:themeColor="text1"/>
                <w:sz w:val="20"/>
                <w:szCs w:val="20"/>
              </w:rPr>
              <w:t>Datastream</w:t>
            </w:r>
            <w:proofErr w:type="spellEnd"/>
          </w:p>
        </w:tc>
      </w:tr>
      <w:tr w:rsidR="00583BD3" w:rsidRPr="00174AE5" w:rsidTr="000727E8">
        <w:trPr>
          <w:trHeight w:val="20"/>
        </w:trPr>
        <w:tc>
          <w:tcPr>
            <w:tcW w:w="2124" w:type="dxa"/>
            <w:tcBorders>
              <w:left w:val="nil"/>
              <w:bottom w:val="single" w:sz="4" w:space="0" w:color="auto"/>
            </w:tcBorders>
            <w:tcMar>
              <w:top w:w="75" w:type="dxa"/>
              <w:left w:w="75" w:type="dxa"/>
              <w:bottom w:w="75" w:type="dxa"/>
              <w:right w:w="75" w:type="dxa"/>
            </w:tcMar>
          </w:tcPr>
          <w:p w:rsidR="00583BD3" w:rsidRPr="00824024" w:rsidRDefault="00583BD3" w:rsidP="000727E8">
            <w:pPr>
              <w:rPr>
                <w:rFonts w:ascii="Garamond" w:hAnsi="Garamond"/>
                <w:color w:val="000000" w:themeColor="text1"/>
                <w:sz w:val="20"/>
                <w:szCs w:val="20"/>
              </w:rPr>
            </w:pPr>
            <w:r w:rsidRPr="00824024">
              <w:rPr>
                <w:rFonts w:ascii="Garamond" w:hAnsi="Garamond"/>
                <w:color w:val="000000" w:themeColor="text1"/>
                <w:sz w:val="20"/>
                <w:szCs w:val="20"/>
              </w:rPr>
              <w:t>Industry-adjusted ROA</w:t>
            </w:r>
          </w:p>
        </w:tc>
        <w:tc>
          <w:tcPr>
            <w:tcW w:w="7101" w:type="dxa"/>
            <w:tcBorders>
              <w:bottom w:val="single" w:sz="4" w:space="0" w:color="auto"/>
            </w:tcBorders>
            <w:tcMar>
              <w:top w:w="75" w:type="dxa"/>
              <w:left w:w="75" w:type="dxa"/>
              <w:bottom w:w="75" w:type="dxa"/>
              <w:right w:w="75" w:type="dxa"/>
            </w:tcMar>
          </w:tcPr>
          <w:p w:rsidR="00583BD3" w:rsidRPr="00824024" w:rsidRDefault="00583BD3" w:rsidP="000727E8">
            <w:pPr>
              <w:rPr>
                <w:rFonts w:ascii="Garamond" w:hAnsi="Garamond"/>
                <w:color w:val="000000" w:themeColor="text1"/>
                <w:sz w:val="20"/>
                <w:szCs w:val="20"/>
              </w:rPr>
            </w:pPr>
            <w:r w:rsidRPr="00824024">
              <w:rPr>
                <w:rFonts w:ascii="Garamond" w:hAnsi="Garamond"/>
                <w:color w:val="000000" w:themeColor="text1"/>
                <w:sz w:val="20"/>
                <w:szCs w:val="20"/>
              </w:rPr>
              <w:t xml:space="preserve">The industry adjusted return on assets at the end of the fiscal year </w:t>
            </w:r>
            <w:r w:rsidRPr="00824024">
              <w:rPr>
                <w:rFonts w:ascii="Garamond" w:hAnsi="Garamond"/>
                <w:i/>
                <w:iCs/>
                <w:color w:val="000000" w:themeColor="text1"/>
                <w:sz w:val="20"/>
                <w:szCs w:val="20"/>
              </w:rPr>
              <w:t>t</w:t>
            </w:r>
            <w:r w:rsidRPr="00824024">
              <w:rPr>
                <w:rFonts w:ascii="Garamond" w:hAnsi="Garamond"/>
                <w:color w:val="000000" w:themeColor="text1"/>
                <w:sz w:val="20"/>
                <w:szCs w:val="20"/>
              </w:rPr>
              <w:t>.</w:t>
            </w:r>
          </w:p>
        </w:tc>
        <w:tc>
          <w:tcPr>
            <w:tcW w:w="911" w:type="dxa"/>
            <w:gridSpan w:val="2"/>
            <w:tcBorders>
              <w:bottom w:val="single" w:sz="4" w:space="0" w:color="auto"/>
              <w:right w:val="nil"/>
            </w:tcBorders>
          </w:tcPr>
          <w:p w:rsidR="00583BD3" w:rsidRPr="00824024" w:rsidRDefault="00583BD3" w:rsidP="000727E8">
            <w:pPr>
              <w:rPr>
                <w:rFonts w:ascii="Garamond" w:hAnsi="Garamond"/>
                <w:color w:val="000000" w:themeColor="text1"/>
                <w:sz w:val="20"/>
                <w:szCs w:val="20"/>
              </w:rPr>
            </w:pPr>
            <w:proofErr w:type="spellStart"/>
            <w:r w:rsidRPr="00824024">
              <w:rPr>
                <w:rFonts w:ascii="Garamond" w:hAnsi="Garamond"/>
                <w:color w:val="000000" w:themeColor="text1"/>
                <w:sz w:val="20"/>
                <w:szCs w:val="20"/>
              </w:rPr>
              <w:t>Datastream</w:t>
            </w:r>
            <w:proofErr w:type="spellEnd"/>
          </w:p>
        </w:tc>
      </w:tr>
      <w:tr w:rsidR="00583BD3" w:rsidRPr="00174AE5" w:rsidTr="000727E8">
        <w:trPr>
          <w:gridAfter w:val="1"/>
          <w:wAfter w:w="7" w:type="dxa"/>
          <w:trHeight w:val="20"/>
        </w:trPr>
        <w:tc>
          <w:tcPr>
            <w:tcW w:w="10129" w:type="dxa"/>
            <w:gridSpan w:val="3"/>
            <w:tcBorders>
              <w:top w:val="single" w:sz="4" w:space="0" w:color="auto"/>
              <w:left w:val="nil"/>
              <w:bottom w:val="nil"/>
              <w:right w:val="nil"/>
            </w:tcBorders>
            <w:tcMar>
              <w:top w:w="75" w:type="dxa"/>
              <w:left w:w="75" w:type="dxa"/>
              <w:bottom w:w="75" w:type="dxa"/>
              <w:right w:w="75" w:type="dxa"/>
            </w:tcMar>
            <w:hideMark/>
          </w:tcPr>
          <w:p w:rsidR="00583BD3" w:rsidRPr="00824024" w:rsidRDefault="00583BD3" w:rsidP="000727E8">
            <w:pPr>
              <w:rPr>
                <w:rFonts w:ascii="Garamond" w:hAnsi="Garamond"/>
                <w:i/>
                <w:iCs/>
                <w:color w:val="000000" w:themeColor="text1"/>
                <w:sz w:val="20"/>
                <w:szCs w:val="20"/>
              </w:rPr>
            </w:pPr>
            <w:r w:rsidRPr="00824024">
              <w:rPr>
                <w:rFonts w:ascii="Garamond" w:hAnsi="Garamond"/>
                <w:i/>
                <w:iCs/>
                <w:color w:val="000000" w:themeColor="text1"/>
                <w:sz w:val="20"/>
                <w:szCs w:val="20"/>
              </w:rPr>
              <w:t>CFO characteristics</w:t>
            </w:r>
          </w:p>
        </w:tc>
      </w:tr>
      <w:tr w:rsidR="00583BD3" w:rsidRPr="00174AE5" w:rsidTr="000727E8">
        <w:trPr>
          <w:trHeight w:val="20"/>
        </w:trPr>
        <w:tc>
          <w:tcPr>
            <w:tcW w:w="2124" w:type="dxa"/>
            <w:tcBorders>
              <w:top w:val="nil"/>
              <w:left w:val="nil"/>
            </w:tcBorders>
            <w:tcMar>
              <w:top w:w="75" w:type="dxa"/>
              <w:left w:w="75" w:type="dxa"/>
              <w:bottom w:w="75" w:type="dxa"/>
              <w:right w:w="75" w:type="dxa"/>
            </w:tcMar>
            <w:hideMark/>
          </w:tcPr>
          <w:p w:rsidR="00583BD3" w:rsidRPr="00824024" w:rsidRDefault="00583BD3" w:rsidP="000727E8">
            <w:pPr>
              <w:rPr>
                <w:rFonts w:ascii="Garamond" w:hAnsi="Garamond"/>
                <w:color w:val="000000" w:themeColor="text1"/>
                <w:sz w:val="20"/>
                <w:szCs w:val="20"/>
              </w:rPr>
            </w:pPr>
            <w:r w:rsidRPr="00824024">
              <w:rPr>
                <w:rFonts w:ascii="Garamond" w:hAnsi="Garamond"/>
                <w:color w:val="000000" w:themeColor="text1"/>
                <w:sz w:val="20"/>
                <w:szCs w:val="20"/>
              </w:rPr>
              <w:t>CFO Female Dummy</w:t>
            </w:r>
          </w:p>
        </w:tc>
        <w:tc>
          <w:tcPr>
            <w:tcW w:w="7101" w:type="dxa"/>
            <w:tcBorders>
              <w:top w:val="nil"/>
            </w:tcBorders>
            <w:tcMar>
              <w:top w:w="75" w:type="dxa"/>
              <w:left w:w="75" w:type="dxa"/>
              <w:bottom w:w="75" w:type="dxa"/>
              <w:right w:w="75" w:type="dxa"/>
            </w:tcMar>
          </w:tcPr>
          <w:p w:rsidR="00583BD3" w:rsidRPr="00824024" w:rsidRDefault="00583BD3" w:rsidP="000727E8">
            <w:pPr>
              <w:rPr>
                <w:rFonts w:ascii="Garamond" w:hAnsi="Garamond"/>
                <w:color w:val="000000" w:themeColor="text1"/>
                <w:sz w:val="20"/>
                <w:szCs w:val="20"/>
              </w:rPr>
            </w:pPr>
            <w:r w:rsidRPr="00824024">
              <w:rPr>
                <w:rFonts w:ascii="Garamond" w:hAnsi="Garamond"/>
                <w:color w:val="000000" w:themeColor="text1"/>
                <w:sz w:val="20"/>
                <w:szCs w:val="20"/>
              </w:rPr>
              <w:t xml:space="preserve">A dummy variable equal to one if the CFO is female, zero otherwise at the end of the fiscal year </w:t>
            </w:r>
            <w:r w:rsidRPr="00824024">
              <w:rPr>
                <w:rFonts w:ascii="Garamond" w:hAnsi="Garamond"/>
                <w:i/>
                <w:iCs/>
                <w:color w:val="000000" w:themeColor="text1"/>
                <w:sz w:val="20"/>
                <w:szCs w:val="20"/>
              </w:rPr>
              <w:t>t</w:t>
            </w:r>
            <w:r w:rsidRPr="00824024">
              <w:rPr>
                <w:rFonts w:ascii="Garamond" w:hAnsi="Garamond"/>
                <w:color w:val="000000" w:themeColor="text1"/>
                <w:sz w:val="20"/>
                <w:szCs w:val="20"/>
              </w:rPr>
              <w:t>.</w:t>
            </w:r>
          </w:p>
        </w:tc>
        <w:tc>
          <w:tcPr>
            <w:tcW w:w="911" w:type="dxa"/>
            <w:gridSpan w:val="2"/>
            <w:tcBorders>
              <w:top w:val="nil"/>
              <w:right w:val="nil"/>
            </w:tcBorders>
          </w:tcPr>
          <w:p w:rsidR="00583BD3" w:rsidRPr="00824024" w:rsidRDefault="00583BD3" w:rsidP="000727E8">
            <w:pPr>
              <w:rPr>
                <w:rFonts w:ascii="Garamond" w:hAnsi="Garamond"/>
                <w:color w:val="000000" w:themeColor="text1"/>
                <w:sz w:val="20"/>
                <w:szCs w:val="20"/>
              </w:rPr>
            </w:pPr>
            <w:proofErr w:type="spellStart"/>
            <w:r w:rsidRPr="00824024">
              <w:rPr>
                <w:rFonts w:ascii="Garamond" w:hAnsi="Garamond"/>
                <w:color w:val="000000" w:themeColor="text1"/>
                <w:sz w:val="20"/>
                <w:szCs w:val="20"/>
              </w:rPr>
              <w:t>Boardex</w:t>
            </w:r>
            <w:proofErr w:type="spellEnd"/>
          </w:p>
        </w:tc>
      </w:tr>
      <w:tr w:rsidR="00583BD3" w:rsidRPr="00174AE5" w:rsidTr="000727E8">
        <w:trPr>
          <w:trHeight w:val="20"/>
        </w:trPr>
        <w:tc>
          <w:tcPr>
            <w:tcW w:w="2124" w:type="dxa"/>
            <w:tcBorders>
              <w:left w:val="nil"/>
            </w:tcBorders>
            <w:tcMar>
              <w:top w:w="75" w:type="dxa"/>
              <w:left w:w="75" w:type="dxa"/>
              <w:bottom w:w="75" w:type="dxa"/>
              <w:right w:w="75" w:type="dxa"/>
            </w:tcMar>
          </w:tcPr>
          <w:p w:rsidR="00583BD3" w:rsidRPr="00824024" w:rsidRDefault="00583BD3" w:rsidP="000727E8">
            <w:pPr>
              <w:rPr>
                <w:rFonts w:ascii="Garamond" w:hAnsi="Garamond"/>
                <w:color w:val="000000" w:themeColor="text1"/>
                <w:sz w:val="20"/>
                <w:szCs w:val="20"/>
              </w:rPr>
            </w:pPr>
            <w:r w:rsidRPr="00824024">
              <w:rPr>
                <w:rFonts w:ascii="Garamond" w:hAnsi="Garamond"/>
                <w:color w:val="000000" w:themeColor="text1"/>
                <w:sz w:val="20"/>
                <w:szCs w:val="20"/>
              </w:rPr>
              <w:t>CFO British Dummy</w:t>
            </w:r>
          </w:p>
        </w:tc>
        <w:tc>
          <w:tcPr>
            <w:tcW w:w="7101" w:type="dxa"/>
            <w:tcMar>
              <w:top w:w="75" w:type="dxa"/>
              <w:left w:w="75" w:type="dxa"/>
              <w:bottom w:w="75" w:type="dxa"/>
              <w:right w:w="75" w:type="dxa"/>
            </w:tcMar>
          </w:tcPr>
          <w:p w:rsidR="00583BD3" w:rsidRPr="00824024" w:rsidRDefault="00583BD3" w:rsidP="000727E8">
            <w:pPr>
              <w:rPr>
                <w:rFonts w:ascii="Garamond" w:hAnsi="Garamond"/>
                <w:color w:val="000000" w:themeColor="text1"/>
                <w:sz w:val="20"/>
                <w:szCs w:val="20"/>
              </w:rPr>
            </w:pPr>
            <w:r w:rsidRPr="00824024">
              <w:rPr>
                <w:rFonts w:ascii="Garamond" w:hAnsi="Garamond"/>
                <w:color w:val="000000" w:themeColor="text1"/>
                <w:sz w:val="20"/>
                <w:szCs w:val="20"/>
              </w:rPr>
              <w:t xml:space="preserve">A dummy variable equal to one if the CFO is British, zero otherwise at the end of the fiscal year </w:t>
            </w:r>
            <w:r w:rsidRPr="00824024">
              <w:rPr>
                <w:rFonts w:ascii="Garamond" w:hAnsi="Garamond"/>
                <w:i/>
                <w:iCs/>
                <w:color w:val="000000" w:themeColor="text1"/>
                <w:sz w:val="20"/>
                <w:szCs w:val="20"/>
              </w:rPr>
              <w:t>t</w:t>
            </w:r>
            <w:r w:rsidRPr="00824024">
              <w:rPr>
                <w:rFonts w:ascii="Garamond" w:hAnsi="Garamond"/>
                <w:color w:val="000000" w:themeColor="text1"/>
                <w:sz w:val="20"/>
                <w:szCs w:val="20"/>
              </w:rPr>
              <w:t>.</w:t>
            </w:r>
          </w:p>
        </w:tc>
        <w:tc>
          <w:tcPr>
            <w:tcW w:w="911" w:type="dxa"/>
            <w:gridSpan w:val="2"/>
            <w:tcBorders>
              <w:right w:val="nil"/>
            </w:tcBorders>
          </w:tcPr>
          <w:p w:rsidR="00583BD3" w:rsidRPr="00824024" w:rsidRDefault="00583BD3" w:rsidP="000727E8">
            <w:pPr>
              <w:rPr>
                <w:rFonts w:ascii="Garamond" w:hAnsi="Garamond"/>
                <w:color w:val="000000" w:themeColor="text1"/>
                <w:sz w:val="20"/>
                <w:szCs w:val="20"/>
              </w:rPr>
            </w:pPr>
            <w:proofErr w:type="spellStart"/>
            <w:r w:rsidRPr="00824024">
              <w:rPr>
                <w:rFonts w:ascii="Garamond" w:hAnsi="Garamond"/>
                <w:color w:val="000000" w:themeColor="text1"/>
                <w:sz w:val="20"/>
                <w:szCs w:val="20"/>
              </w:rPr>
              <w:t>Boardex</w:t>
            </w:r>
            <w:proofErr w:type="spellEnd"/>
          </w:p>
        </w:tc>
      </w:tr>
      <w:tr w:rsidR="00583BD3" w:rsidRPr="00174AE5" w:rsidTr="000727E8">
        <w:trPr>
          <w:trHeight w:val="20"/>
        </w:trPr>
        <w:tc>
          <w:tcPr>
            <w:tcW w:w="2124" w:type="dxa"/>
            <w:tcBorders>
              <w:left w:val="nil"/>
            </w:tcBorders>
            <w:tcMar>
              <w:top w:w="75" w:type="dxa"/>
              <w:left w:w="75" w:type="dxa"/>
              <w:bottom w:w="75" w:type="dxa"/>
              <w:right w:w="75" w:type="dxa"/>
            </w:tcMar>
          </w:tcPr>
          <w:p w:rsidR="00583BD3" w:rsidRPr="00824024" w:rsidRDefault="00583BD3" w:rsidP="000727E8">
            <w:pPr>
              <w:rPr>
                <w:rFonts w:ascii="Garamond" w:hAnsi="Garamond"/>
                <w:color w:val="000000" w:themeColor="text1"/>
                <w:sz w:val="20"/>
                <w:szCs w:val="20"/>
              </w:rPr>
            </w:pPr>
            <w:r w:rsidRPr="00824024">
              <w:rPr>
                <w:rFonts w:ascii="Garamond" w:hAnsi="Garamond"/>
                <w:color w:val="000000" w:themeColor="text1"/>
                <w:sz w:val="20"/>
                <w:szCs w:val="20"/>
              </w:rPr>
              <w:t>LN(CFO tenure)</w:t>
            </w:r>
          </w:p>
        </w:tc>
        <w:tc>
          <w:tcPr>
            <w:tcW w:w="7101" w:type="dxa"/>
            <w:tcMar>
              <w:top w:w="75" w:type="dxa"/>
              <w:left w:w="75" w:type="dxa"/>
              <w:bottom w:w="75" w:type="dxa"/>
              <w:right w:w="75" w:type="dxa"/>
            </w:tcMar>
          </w:tcPr>
          <w:p w:rsidR="00583BD3" w:rsidRPr="00824024" w:rsidRDefault="00583BD3" w:rsidP="000727E8">
            <w:pPr>
              <w:rPr>
                <w:rFonts w:ascii="Garamond" w:hAnsi="Garamond"/>
                <w:color w:val="000000" w:themeColor="text1"/>
                <w:sz w:val="20"/>
                <w:szCs w:val="20"/>
              </w:rPr>
            </w:pPr>
            <w:r w:rsidRPr="00824024">
              <w:rPr>
                <w:rFonts w:ascii="Garamond" w:hAnsi="Garamond"/>
                <w:color w:val="000000" w:themeColor="text1"/>
                <w:sz w:val="20"/>
                <w:szCs w:val="20"/>
              </w:rPr>
              <w:t xml:space="preserve">The natural logarithm of the CFO tenure at the end of fiscal year </w:t>
            </w:r>
            <w:r w:rsidRPr="00824024">
              <w:rPr>
                <w:rFonts w:ascii="Garamond" w:hAnsi="Garamond"/>
                <w:i/>
                <w:color w:val="000000" w:themeColor="text1"/>
                <w:sz w:val="20"/>
                <w:szCs w:val="20"/>
              </w:rPr>
              <w:t>t</w:t>
            </w:r>
            <w:r w:rsidRPr="00824024">
              <w:rPr>
                <w:rFonts w:ascii="Garamond" w:hAnsi="Garamond"/>
                <w:color w:val="000000" w:themeColor="text1"/>
                <w:sz w:val="20"/>
                <w:szCs w:val="20"/>
              </w:rPr>
              <w:t>.</w:t>
            </w:r>
          </w:p>
        </w:tc>
        <w:tc>
          <w:tcPr>
            <w:tcW w:w="911" w:type="dxa"/>
            <w:gridSpan w:val="2"/>
            <w:tcBorders>
              <w:right w:val="nil"/>
            </w:tcBorders>
          </w:tcPr>
          <w:p w:rsidR="00583BD3" w:rsidRPr="00824024" w:rsidRDefault="00583BD3" w:rsidP="000727E8">
            <w:pPr>
              <w:rPr>
                <w:rFonts w:ascii="Garamond" w:hAnsi="Garamond"/>
                <w:color w:val="000000" w:themeColor="text1"/>
                <w:sz w:val="20"/>
                <w:szCs w:val="20"/>
              </w:rPr>
            </w:pPr>
            <w:proofErr w:type="spellStart"/>
            <w:r w:rsidRPr="00824024">
              <w:rPr>
                <w:rFonts w:ascii="Garamond" w:hAnsi="Garamond"/>
                <w:color w:val="000000" w:themeColor="text1"/>
                <w:sz w:val="20"/>
                <w:szCs w:val="20"/>
              </w:rPr>
              <w:t>Boardex</w:t>
            </w:r>
            <w:proofErr w:type="spellEnd"/>
          </w:p>
        </w:tc>
      </w:tr>
      <w:tr w:rsidR="00583BD3" w:rsidRPr="00174AE5" w:rsidTr="000727E8">
        <w:trPr>
          <w:trHeight w:val="20"/>
        </w:trPr>
        <w:tc>
          <w:tcPr>
            <w:tcW w:w="2124" w:type="dxa"/>
            <w:tcBorders>
              <w:left w:val="nil"/>
            </w:tcBorders>
            <w:tcMar>
              <w:top w:w="75" w:type="dxa"/>
              <w:left w:w="75" w:type="dxa"/>
              <w:bottom w:w="75" w:type="dxa"/>
              <w:right w:w="75" w:type="dxa"/>
            </w:tcMar>
          </w:tcPr>
          <w:p w:rsidR="00583BD3" w:rsidRPr="00824024" w:rsidRDefault="00583BD3" w:rsidP="000727E8">
            <w:pPr>
              <w:rPr>
                <w:rFonts w:ascii="Garamond" w:hAnsi="Garamond"/>
                <w:color w:val="000000" w:themeColor="text1"/>
                <w:sz w:val="20"/>
                <w:szCs w:val="20"/>
              </w:rPr>
            </w:pPr>
            <w:proofErr w:type="spellStart"/>
            <w:r w:rsidRPr="00824024">
              <w:rPr>
                <w:rFonts w:ascii="Garamond" w:hAnsi="Garamond"/>
                <w:color w:val="000000" w:themeColor="text1"/>
                <w:sz w:val="20"/>
                <w:szCs w:val="20"/>
              </w:rPr>
              <w:t>Ln</w:t>
            </w:r>
            <w:proofErr w:type="spellEnd"/>
            <w:r w:rsidRPr="00824024">
              <w:rPr>
                <w:rFonts w:ascii="Garamond" w:hAnsi="Garamond"/>
                <w:color w:val="000000" w:themeColor="text1"/>
                <w:sz w:val="20"/>
                <w:szCs w:val="20"/>
              </w:rPr>
              <w:t>(CFO age)</w:t>
            </w:r>
          </w:p>
        </w:tc>
        <w:tc>
          <w:tcPr>
            <w:tcW w:w="7101" w:type="dxa"/>
            <w:tcMar>
              <w:top w:w="75" w:type="dxa"/>
              <w:left w:w="75" w:type="dxa"/>
              <w:bottom w:w="75" w:type="dxa"/>
              <w:right w:w="75" w:type="dxa"/>
            </w:tcMar>
          </w:tcPr>
          <w:p w:rsidR="00583BD3" w:rsidRPr="00824024" w:rsidRDefault="00583BD3" w:rsidP="000727E8">
            <w:pPr>
              <w:rPr>
                <w:rFonts w:ascii="Garamond" w:hAnsi="Garamond"/>
                <w:color w:val="000000" w:themeColor="text1"/>
                <w:sz w:val="20"/>
                <w:szCs w:val="20"/>
              </w:rPr>
            </w:pPr>
            <w:r w:rsidRPr="00824024">
              <w:rPr>
                <w:rFonts w:ascii="Garamond" w:hAnsi="Garamond"/>
                <w:color w:val="000000" w:themeColor="text1"/>
                <w:sz w:val="20"/>
                <w:szCs w:val="20"/>
              </w:rPr>
              <w:t xml:space="preserve">The natural logarithm of the CFO age at the end of fiscal year </w:t>
            </w:r>
            <w:r w:rsidRPr="00824024">
              <w:rPr>
                <w:rFonts w:ascii="Garamond" w:hAnsi="Garamond"/>
                <w:i/>
                <w:color w:val="000000" w:themeColor="text1"/>
                <w:sz w:val="20"/>
                <w:szCs w:val="20"/>
              </w:rPr>
              <w:t>t</w:t>
            </w:r>
            <w:r w:rsidRPr="00824024">
              <w:rPr>
                <w:rFonts w:ascii="Garamond" w:hAnsi="Garamond"/>
                <w:color w:val="000000" w:themeColor="text1"/>
                <w:sz w:val="20"/>
                <w:szCs w:val="20"/>
              </w:rPr>
              <w:t>.</w:t>
            </w:r>
          </w:p>
        </w:tc>
        <w:tc>
          <w:tcPr>
            <w:tcW w:w="911" w:type="dxa"/>
            <w:gridSpan w:val="2"/>
            <w:tcBorders>
              <w:right w:val="nil"/>
            </w:tcBorders>
          </w:tcPr>
          <w:p w:rsidR="00583BD3" w:rsidRPr="00824024" w:rsidRDefault="00583BD3" w:rsidP="000727E8">
            <w:pPr>
              <w:rPr>
                <w:rFonts w:ascii="Garamond" w:hAnsi="Garamond"/>
                <w:color w:val="000000" w:themeColor="text1"/>
                <w:sz w:val="20"/>
                <w:szCs w:val="20"/>
              </w:rPr>
            </w:pPr>
            <w:proofErr w:type="spellStart"/>
            <w:r w:rsidRPr="00824024">
              <w:rPr>
                <w:rFonts w:ascii="Garamond" w:hAnsi="Garamond"/>
                <w:color w:val="000000" w:themeColor="text1"/>
                <w:sz w:val="20"/>
                <w:szCs w:val="20"/>
              </w:rPr>
              <w:t>Boardex</w:t>
            </w:r>
            <w:proofErr w:type="spellEnd"/>
          </w:p>
        </w:tc>
      </w:tr>
      <w:tr w:rsidR="00583BD3" w:rsidRPr="00174AE5" w:rsidTr="000727E8">
        <w:trPr>
          <w:trHeight w:val="20"/>
        </w:trPr>
        <w:tc>
          <w:tcPr>
            <w:tcW w:w="2124" w:type="dxa"/>
            <w:tcBorders>
              <w:left w:val="nil"/>
            </w:tcBorders>
            <w:tcMar>
              <w:top w:w="75" w:type="dxa"/>
              <w:left w:w="75" w:type="dxa"/>
              <w:bottom w:w="75" w:type="dxa"/>
              <w:right w:w="75" w:type="dxa"/>
            </w:tcMar>
          </w:tcPr>
          <w:p w:rsidR="00583BD3" w:rsidRPr="00824024" w:rsidRDefault="00583BD3" w:rsidP="000727E8">
            <w:pPr>
              <w:rPr>
                <w:rFonts w:ascii="Garamond" w:hAnsi="Garamond"/>
                <w:color w:val="000000" w:themeColor="text1"/>
                <w:sz w:val="20"/>
                <w:szCs w:val="20"/>
              </w:rPr>
            </w:pPr>
            <w:proofErr w:type="spellStart"/>
            <w:r w:rsidRPr="00824024">
              <w:rPr>
                <w:rFonts w:ascii="Garamond" w:hAnsi="Garamond"/>
                <w:color w:val="000000" w:themeColor="text1"/>
                <w:sz w:val="20"/>
                <w:szCs w:val="20"/>
              </w:rPr>
              <w:t>Ln</w:t>
            </w:r>
            <w:proofErr w:type="spellEnd"/>
            <w:r w:rsidRPr="00824024">
              <w:rPr>
                <w:rFonts w:ascii="Garamond" w:hAnsi="Garamond"/>
                <w:color w:val="000000" w:themeColor="text1"/>
                <w:sz w:val="20"/>
                <w:szCs w:val="20"/>
              </w:rPr>
              <w:t>(CFO network size)</w:t>
            </w:r>
          </w:p>
        </w:tc>
        <w:tc>
          <w:tcPr>
            <w:tcW w:w="7101" w:type="dxa"/>
            <w:tcMar>
              <w:top w:w="75" w:type="dxa"/>
              <w:left w:w="75" w:type="dxa"/>
              <w:bottom w:w="75" w:type="dxa"/>
              <w:right w:w="75" w:type="dxa"/>
            </w:tcMar>
          </w:tcPr>
          <w:p w:rsidR="00583BD3" w:rsidRPr="00824024" w:rsidRDefault="00583BD3" w:rsidP="000727E8">
            <w:pPr>
              <w:rPr>
                <w:rFonts w:ascii="Garamond" w:hAnsi="Garamond"/>
                <w:color w:val="000000" w:themeColor="text1"/>
                <w:sz w:val="20"/>
                <w:szCs w:val="20"/>
              </w:rPr>
            </w:pPr>
            <w:r w:rsidRPr="00824024">
              <w:rPr>
                <w:rFonts w:ascii="Garamond" w:hAnsi="Garamond"/>
                <w:color w:val="000000" w:themeColor="text1"/>
                <w:sz w:val="20"/>
                <w:szCs w:val="20"/>
              </w:rPr>
              <w:t xml:space="preserve">The natural logarithm of the director network size at the end of fiscal year </w:t>
            </w:r>
            <w:r w:rsidRPr="00824024">
              <w:rPr>
                <w:rFonts w:ascii="Garamond" w:hAnsi="Garamond"/>
                <w:i/>
                <w:color w:val="000000" w:themeColor="text1"/>
                <w:sz w:val="20"/>
                <w:szCs w:val="20"/>
              </w:rPr>
              <w:t>t</w:t>
            </w:r>
            <w:r w:rsidRPr="00824024">
              <w:rPr>
                <w:rFonts w:ascii="Garamond" w:hAnsi="Garamond"/>
                <w:color w:val="000000" w:themeColor="text1"/>
                <w:sz w:val="20"/>
                <w:szCs w:val="20"/>
              </w:rPr>
              <w:t>.</w:t>
            </w:r>
          </w:p>
        </w:tc>
        <w:tc>
          <w:tcPr>
            <w:tcW w:w="911" w:type="dxa"/>
            <w:gridSpan w:val="2"/>
            <w:tcBorders>
              <w:right w:val="nil"/>
            </w:tcBorders>
          </w:tcPr>
          <w:p w:rsidR="00583BD3" w:rsidRPr="00824024" w:rsidRDefault="00583BD3" w:rsidP="000727E8">
            <w:pPr>
              <w:rPr>
                <w:rFonts w:ascii="Garamond" w:hAnsi="Garamond"/>
                <w:color w:val="000000" w:themeColor="text1"/>
                <w:sz w:val="20"/>
                <w:szCs w:val="20"/>
              </w:rPr>
            </w:pPr>
            <w:proofErr w:type="spellStart"/>
            <w:r w:rsidRPr="00824024">
              <w:rPr>
                <w:rFonts w:ascii="Garamond" w:hAnsi="Garamond"/>
                <w:color w:val="000000" w:themeColor="text1"/>
                <w:sz w:val="20"/>
                <w:szCs w:val="20"/>
              </w:rPr>
              <w:t>Boardex</w:t>
            </w:r>
            <w:proofErr w:type="spellEnd"/>
          </w:p>
        </w:tc>
      </w:tr>
      <w:tr w:rsidR="00583BD3" w:rsidRPr="00174AE5" w:rsidTr="000727E8">
        <w:trPr>
          <w:trHeight w:val="20"/>
        </w:trPr>
        <w:tc>
          <w:tcPr>
            <w:tcW w:w="2124" w:type="dxa"/>
            <w:tcBorders>
              <w:left w:val="nil"/>
              <w:bottom w:val="single" w:sz="4" w:space="0" w:color="auto"/>
            </w:tcBorders>
            <w:tcMar>
              <w:top w:w="75" w:type="dxa"/>
              <w:left w:w="75" w:type="dxa"/>
              <w:bottom w:w="75" w:type="dxa"/>
              <w:right w:w="75" w:type="dxa"/>
            </w:tcMar>
          </w:tcPr>
          <w:p w:rsidR="00583BD3" w:rsidRPr="00824024" w:rsidRDefault="00583BD3" w:rsidP="000727E8">
            <w:pPr>
              <w:rPr>
                <w:rFonts w:ascii="Garamond" w:hAnsi="Garamond"/>
                <w:color w:val="000000" w:themeColor="text1"/>
                <w:sz w:val="20"/>
                <w:szCs w:val="20"/>
              </w:rPr>
            </w:pPr>
            <w:proofErr w:type="spellStart"/>
            <w:r w:rsidRPr="00824024">
              <w:rPr>
                <w:rFonts w:ascii="Garamond" w:hAnsi="Garamond"/>
                <w:color w:val="000000" w:themeColor="text1"/>
                <w:sz w:val="20"/>
                <w:szCs w:val="20"/>
              </w:rPr>
              <w:t>Ln</w:t>
            </w:r>
            <w:proofErr w:type="spellEnd"/>
            <w:r w:rsidRPr="00824024">
              <w:rPr>
                <w:rFonts w:ascii="Garamond" w:hAnsi="Garamond"/>
                <w:color w:val="000000" w:themeColor="text1"/>
                <w:sz w:val="20"/>
                <w:szCs w:val="20"/>
              </w:rPr>
              <w:t>(CFO total compensation)</w:t>
            </w:r>
          </w:p>
        </w:tc>
        <w:tc>
          <w:tcPr>
            <w:tcW w:w="7101" w:type="dxa"/>
            <w:tcBorders>
              <w:bottom w:val="single" w:sz="4" w:space="0" w:color="auto"/>
            </w:tcBorders>
            <w:tcMar>
              <w:top w:w="75" w:type="dxa"/>
              <w:left w:w="75" w:type="dxa"/>
              <w:bottom w:w="75" w:type="dxa"/>
              <w:right w:w="75" w:type="dxa"/>
            </w:tcMar>
          </w:tcPr>
          <w:p w:rsidR="00583BD3" w:rsidRPr="00824024" w:rsidRDefault="00583BD3" w:rsidP="000727E8">
            <w:pPr>
              <w:rPr>
                <w:rFonts w:ascii="Garamond" w:hAnsi="Garamond"/>
                <w:color w:val="000000" w:themeColor="text1"/>
                <w:sz w:val="20"/>
                <w:szCs w:val="20"/>
              </w:rPr>
            </w:pPr>
            <w:r w:rsidRPr="00824024">
              <w:rPr>
                <w:rFonts w:ascii="Garamond" w:hAnsi="Garamond"/>
                <w:color w:val="000000" w:themeColor="text1"/>
                <w:sz w:val="20"/>
                <w:szCs w:val="20"/>
              </w:rPr>
              <w:t xml:space="preserve">The natural logarithm of the director total compensation at the end of fiscal year </w:t>
            </w:r>
            <w:r w:rsidRPr="00824024">
              <w:rPr>
                <w:rFonts w:ascii="Garamond" w:hAnsi="Garamond"/>
                <w:i/>
                <w:color w:val="000000" w:themeColor="text1"/>
                <w:sz w:val="20"/>
                <w:szCs w:val="20"/>
              </w:rPr>
              <w:t>t</w:t>
            </w:r>
            <w:r w:rsidRPr="00824024">
              <w:rPr>
                <w:rFonts w:ascii="Garamond" w:hAnsi="Garamond"/>
                <w:color w:val="000000" w:themeColor="text1"/>
                <w:sz w:val="20"/>
                <w:szCs w:val="20"/>
              </w:rPr>
              <w:t>.</w:t>
            </w:r>
          </w:p>
        </w:tc>
        <w:tc>
          <w:tcPr>
            <w:tcW w:w="911" w:type="dxa"/>
            <w:gridSpan w:val="2"/>
            <w:tcBorders>
              <w:bottom w:val="single" w:sz="4" w:space="0" w:color="auto"/>
              <w:right w:val="nil"/>
            </w:tcBorders>
          </w:tcPr>
          <w:p w:rsidR="00583BD3" w:rsidRPr="00824024" w:rsidRDefault="00583BD3" w:rsidP="000727E8">
            <w:pPr>
              <w:rPr>
                <w:rFonts w:ascii="Garamond" w:hAnsi="Garamond"/>
                <w:color w:val="000000" w:themeColor="text1"/>
                <w:sz w:val="20"/>
                <w:szCs w:val="20"/>
              </w:rPr>
            </w:pPr>
            <w:proofErr w:type="spellStart"/>
            <w:r w:rsidRPr="00824024">
              <w:rPr>
                <w:rFonts w:ascii="Garamond" w:hAnsi="Garamond"/>
                <w:color w:val="000000" w:themeColor="text1"/>
                <w:sz w:val="20"/>
                <w:szCs w:val="20"/>
              </w:rPr>
              <w:t>Boardex</w:t>
            </w:r>
            <w:proofErr w:type="spellEnd"/>
          </w:p>
        </w:tc>
      </w:tr>
    </w:tbl>
    <w:p w:rsidR="00583BD3" w:rsidRDefault="00583BD3" w:rsidP="00583BD3">
      <w:pPr>
        <w:jc w:val="both"/>
        <w:rPr>
          <w:rFonts w:ascii="Garamond" w:eastAsiaTheme="minorEastAsia" w:hAnsi="Garamond"/>
          <w:b/>
          <w:sz w:val="20"/>
          <w:lang w:eastAsia="zh-CN"/>
        </w:rPr>
      </w:pPr>
    </w:p>
    <w:p w:rsidR="00583BD3" w:rsidRDefault="00583BD3" w:rsidP="00583BD3">
      <w:pPr>
        <w:rPr>
          <w:rFonts w:ascii="Garamond" w:eastAsiaTheme="minorEastAsia" w:hAnsi="Garamond" w:cs="Calibri"/>
          <w:b/>
          <w:bCs/>
          <w:color w:val="000000"/>
          <w:sz w:val="20"/>
          <w:szCs w:val="20"/>
          <w:lang w:val="en-US" w:eastAsia="zh-CN"/>
        </w:rPr>
        <w:sectPr w:rsidR="00583BD3" w:rsidSect="00583BD3">
          <w:pgSz w:w="11906" w:h="16838"/>
          <w:pgMar w:top="1440" w:right="1440" w:bottom="1440" w:left="1440" w:header="708" w:footer="708" w:gutter="0"/>
          <w:cols w:space="708"/>
          <w:docGrid w:linePitch="360"/>
        </w:sectPr>
      </w:pPr>
    </w:p>
    <w:p w:rsidR="00F8232A" w:rsidRDefault="00583BD3" w:rsidP="00F16C06">
      <w:pPr>
        <w:spacing w:after="60"/>
        <w:rPr>
          <w:rFonts w:ascii="Garamond" w:eastAsiaTheme="minorEastAsia" w:hAnsi="Garamond" w:cs="Calibri"/>
          <w:color w:val="000000"/>
          <w:sz w:val="20"/>
          <w:szCs w:val="20"/>
          <w:lang w:val="en-US" w:eastAsia="zh-CN"/>
        </w:rPr>
      </w:pPr>
      <w:r w:rsidRPr="00B065C2">
        <w:rPr>
          <w:rFonts w:ascii="Garamond" w:eastAsiaTheme="minorEastAsia" w:hAnsi="Garamond" w:cs="Calibri"/>
          <w:b/>
          <w:bCs/>
          <w:color w:val="000000"/>
          <w:sz w:val="20"/>
          <w:szCs w:val="20"/>
          <w:lang w:val="en-US" w:eastAsia="zh-CN"/>
        </w:rPr>
        <w:lastRenderedPageBreak/>
        <w:t>Table A2</w:t>
      </w:r>
      <w:r>
        <w:rPr>
          <w:rFonts w:ascii="Garamond" w:eastAsiaTheme="minorEastAsia" w:hAnsi="Garamond" w:cs="Calibri"/>
          <w:color w:val="000000"/>
          <w:sz w:val="20"/>
          <w:szCs w:val="20"/>
          <w:lang w:val="en-US" w:eastAsia="zh-CN"/>
        </w:rPr>
        <w:t>: Correlation matrix</w:t>
      </w:r>
    </w:p>
    <w:tbl>
      <w:tblPr>
        <w:tblW w:w="13809" w:type="dxa"/>
        <w:tblLook w:val="04A0"/>
      </w:tblPr>
      <w:tblGrid>
        <w:gridCol w:w="2612"/>
        <w:gridCol w:w="860"/>
        <w:gridCol w:w="860"/>
        <w:gridCol w:w="860"/>
        <w:gridCol w:w="860"/>
        <w:gridCol w:w="798"/>
        <w:gridCol w:w="798"/>
        <w:gridCol w:w="860"/>
        <w:gridCol w:w="860"/>
        <w:gridCol w:w="860"/>
        <w:gridCol w:w="860"/>
        <w:gridCol w:w="907"/>
        <w:gridCol w:w="907"/>
        <w:gridCol w:w="907"/>
      </w:tblGrid>
      <w:tr w:rsidR="00F8232A" w:rsidRPr="00583BD3" w:rsidTr="00F16C06">
        <w:trPr>
          <w:trHeight w:val="285"/>
        </w:trPr>
        <w:tc>
          <w:tcPr>
            <w:tcW w:w="0" w:type="auto"/>
            <w:tcBorders>
              <w:top w:val="single" w:sz="4" w:space="0" w:color="auto"/>
              <w:left w:val="nil"/>
              <w:bottom w:val="single" w:sz="4" w:space="0" w:color="auto"/>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single" w:sz="4" w:space="0" w:color="auto"/>
              <w:left w:val="nil"/>
              <w:bottom w:val="single" w:sz="4" w:space="0" w:color="auto"/>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(1)</w:t>
            </w:r>
          </w:p>
        </w:tc>
        <w:tc>
          <w:tcPr>
            <w:tcW w:w="0" w:type="auto"/>
            <w:tcBorders>
              <w:top w:val="single" w:sz="4" w:space="0" w:color="auto"/>
              <w:left w:val="nil"/>
              <w:bottom w:val="single" w:sz="4" w:space="0" w:color="auto"/>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(2)</w:t>
            </w:r>
          </w:p>
        </w:tc>
        <w:tc>
          <w:tcPr>
            <w:tcW w:w="0" w:type="auto"/>
            <w:tcBorders>
              <w:top w:val="single" w:sz="4" w:space="0" w:color="auto"/>
              <w:left w:val="nil"/>
              <w:bottom w:val="single" w:sz="4" w:space="0" w:color="auto"/>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(3)</w:t>
            </w:r>
          </w:p>
        </w:tc>
        <w:tc>
          <w:tcPr>
            <w:tcW w:w="0" w:type="auto"/>
            <w:tcBorders>
              <w:top w:val="single" w:sz="4" w:space="0" w:color="auto"/>
              <w:left w:val="nil"/>
              <w:bottom w:val="single" w:sz="4" w:space="0" w:color="auto"/>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(4)</w:t>
            </w:r>
          </w:p>
        </w:tc>
        <w:tc>
          <w:tcPr>
            <w:tcW w:w="0" w:type="auto"/>
            <w:tcBorders>
              <w:top w:val="single" w:sz="4" w:space="0" w:color="auto"/>
              <w:left w:val="nil"/>
              <w:bottom w:val="single" w:sz="4" w:space="0" w:color="auto"/>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(5)</w:t>
            </w:r>
          </w:p>
        </w:tc>
        <w:tc>
          <w:tcPr>
            <w:tcW w:w="0" w:type="auto"/>
            <w:tcBorders>
              <w:top w:val="single" w:sz="4" w:space="0" w:color="auto"/>
              <w:left w:val="nil"/>
              <w:bottom w:val="single" w:sz="4" w:space="0" w:color="auto"/>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(6)</w:t>
            </w:r>
          </w:p>
        </w:tc>
        <w:tc>
          <w:tcPr>
            <w:tcW w:w="0" w:type="auto"/>
            <w:tcBorders>
              <w:top w:val="single" w:sz="4" w:space="0" w:color="auto"/>
              <w:left w:val="nil"/>
              <w:bottom w:val="single" w:sz="4" w:space="0" w:color="auto"/>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(7)</w:t>
            </w:r>
          </w:p>
        </w:tc>
        <w:tc>
          <w:tcPr>
            <w:tcW w:w="0" w:type="auto"/>
            <w:tcBorders>
              <w:top w:val="single" w:sz="4" w:space="0" w:color="auto"/>
              <w:left w:val="nil"/>
              <w:bottom w:val="single" w:sz="4" w:space="0" w:color="auto"/>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(8)</w:t>
            </w:r>
          </w:p>
        </w:tc>
        <w:tc>
          <w:tcPr>
            <w:tcW w:w="0" w:type="auto"/>
            <w:tcBorders>
              <w:top w:val="single" w:sz="4" w:space="0" w:color="auto"/>
              <w:left w:val="nil"/>
              <w:bottom w:val="single" w:sz="4" w:space="0" w:color="auto"/>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(9)</w:t>
            </w:r>
          </w:p>
        </w:tc>
        <w:tc>
          <w:tcPr>
            <w:tcW w:w="0" w:type="auto"/>
            <w:tcBorders>
              <w:top w:val="single" w:sz="4" w:space="0" w:color="auto"/>
              <w:left w:val="nil"/>
              <w:bottom w:val="single" w:sz="4" w:space="0" w:color="auto"/>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(10)</w:t>
            </w:r>
          </w:p>
        </w:tc>
        <w:tc>
          <w:tcPr>
            <w:tcW w:w="907" w:type="dxa"/>
            <w:tcBorders>
              <w:top w:val="single" w:sz="4" w:space="0" w:color="auto"/>
              <w:left w:val="nil"/>
              <w:bottom w:val="single" w:sz="4" w:space="0" w:color="auto"/>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(11)</w:t>
            </w:r>
          </w:p>
        </w:tc>
        <w:tc>
          <w:tcPr>
            <w:tcW w:w="907" w:type="dxa"/>
            <w:tcBorders>
              <w:top w:val="single" w:sz="4" w:space="0" w:color="auto"/>
              <w:left w:val="nil"/>
              <w:bottom w:val="single" w:sz="4" w:space="0" w:color="auto"/>
              <w:right w:val="nil"/>
            </w:tcBorders>
            <w:vAlign w:val="center"/>
          </w:tcPr>
          <w:p w:rsidR="00F8232A" w:rsidRPr="00583BD3" w:rsidRDefault="00F8232A" w:rsidP="00F16C06">
            <w:pPr>
              <w:rPr>
                <w:rFonts w:ascii="Garamond" w:hAnsi="Garamond" w:cs="Calibri"/>
                <w:color w:val="000000"/>
                <w:sz w:val="20"/>
                <w:szCs w:val="20"/>
              </w:rPr>
            </w:pPr>
            <w:r>
              <w:rPr>
                <w:rFonts w:ascii="Garamond" w:hAnsi="Garamond" w:cs="Calibri"/>
                <w:color w:val="000000"/>
                <w:sz w:val="20"/>
                <w:szCs w:val="20"/>
              </w:rPr>
              <w:t>(12)</w:t>
            </w:r>
          </w:p>
        </w:tc>
        <w:tc>
          <w:tcPr>
            <w:tcW w:w="907" w:type="dxa"/>
            <w:tcBorders>
              <w:top w:val="single" w:sz="4" w:space="0" w:color="auto"/>
              <w:left w:val="nil"/>
              <w:bottom w:val="single" w:sz="4" w:space="0" w:color="auto"/>
              <w:right w:val="nil"/>
            </w:tcBorders>
            <w:vAlign w:val="center"/>
          </w:tcPr>
          <w:p w:rsidR="00F8232A" w:rsidRDefault="00F8232A" w:rsidP="00F16C06">
            <w:pPr>
              <w:rPr>
                <w:rFonts w:ascii="Garamond" w:hAnsi="Garamond" w:cs="Calibri"/>
                <w:color w:val="000000"/>
                <w:sz w:val="20"/>
                <w:szCs w:val="20"/>
              </w:rPr>
            </w:pPr>
            <w:r>
              <w:rPr>
                <w:rFonts w:ascii="Garamond" w:hAnsi="Garamond" w:cs="Calibri"/>
                <w:color w:val="000000"/>
                <w:sz w:val="20"/>
                <w:szCs w:val="20"/>
              </w:rPr>
              <w:t>(13)</w:t>
            </w:r>
          </w:p>
        </w:tc>
      </w:tr>
      <w:tr w:rsidR="00F8232A" w:rsidRPr="00583BD3" w:rsidTr="00F16C06">
        <w:trPr>
          <w:trHeight w:val="270"/>
        </w:trPr>
        <w:tc>
          <w:tcPr>
            <w:tcW w:w="0" w:type="auto"/>
            <w:tcBorders>
              <w:top w:val="single" w:sz="4" w:space="0" w:color="auto"/>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(1) Leverage</w:t>
            </w:r>
          </w:p>
        </w:tc>
        <w:tc>
          <w:tcPr>
            <w:tcW w:w="0" w:type="auto"/>
            <w:tcBorders>
              <w:top w:val="single" w:sz="4" w:space="0" w:color="auto"/>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1.00</w:t>
            </w:r>
          </w:p>
        </w:tc>
        <w:tc>
          <w:tcPr>
            <w:tcW w:w="0" w:type="auto"/>
            <w:tcBorders>
              <w:top w:val="single" w:sz="4" w:space="0" w:color="auto"/>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single" w:sz="4" w:space="0" w:color="auto"/>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single" w:sz="4" w:space="0" w:color="auto"/>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single" w:sz="4" w:space="0" w:color="auto"/>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single" w:sz="4" w:space="0" w:color="auto"/>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single" w:sz="4" w:space="0" w:color="auto"/>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single" w:sz="4" w:space="0" w:color="auto"/>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single" w:sz="4" w:space="0" w:color="auto"/>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single" w:sz="4" w:space="0" w:color="auto"/>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907" w:type="dxa"/>
            <w:tcBorders>
              <w:top w:val="single" w:sz="4" w:space="0" w:color="auto"/>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907" w:type="dxa"/>
            <w:tcBorders>
              <w:top w:val="single" w:sz="4" w:space="0" w:color="auto"/>
              <w:left w:val="nil"/>
              <w:bottom w:val="nil"/>
              <w:right w:val="nil"/>
            </w:tcBorders>
          </w:tcPr>
          <w:p w:rsidR="00F8232A" w:rsidRPr="00583BD3" w:rsidRDefault="00F8232A" w:rsidP="00F8232A">
            <w:pPr>
              <w:rPr>
                <w:rFonts w:ascii="Garamond" w:hAnsi="Garamond" w:cs="Calibri"/>
                <w:color w:val="000000"/>
                <w:sz w:val="20"/>
                <w:szCs w:val="20"/>
              </w:rPr>
            </w:pPr>
          </w:p>
        </w:tc>
        <w:tc>
          <w:tcPr>
            <w:tcW w:w="907" w:type="dxa"/>
            <w:tcBorders>
              <w:top w:val="single" w:sz="4" w:space="0" w:color="auto"/>
              <w:left w:val="nil"/>
              <w:bottom w:val="nil"/>
              <w:right w:val="nil"/>
            </w:tcBorders>
          </w:tcPr>
          <w:p w:rsidR="00F8232A" w:rsidRPr="00583BD3" w:rsidRDefault="00F8232A" w:rsidP="00F8232A">
            <w:pPr>
              <w:rPr>
                <w:rFonts w:ascii="Garamond" w:hAnsi="Garamond" w:cs="Calibri"/>
                <w:color w:val="000000"/>
                <w:sz w:val="20"/>
                <w:szCs w:val="20"/>
              </w:rPr>
            </w:pPr>
          </w:p>
        </w:tc>
      </w:tr>
      <w:tr w:rsidR="00F8232A" w:rsidRPr="00583BD3" w:rsidTr="00F16C06">
        <w:trPr>
          <w:trHeight w:val="270"/>
        </w:trPr>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(2) CFO Female Dummy</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-0.05***</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1.00</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907" w:type="dxa"/>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907" w:type="dxa"/>
            <w:tcBorders>
              <w:top w:val="nil"/>
              <w:left w:val="nil"/>
              <w:bottom w:val="nil"/>
              <w:right w:val="nil"/>
            </w:tcBorders>
          </w:tcPr>
          <w:p w:rsidR="00F8232A" w:rsidRPr="00583BD3" w:rsidRDefault="00F8232A" w:rsidP="00F8232A">
            <w:pPr>
              <w:rPr>
                <w:rFonts w:ascii="Garamond" w:hAnsi="Garamond" w:cs="Calibri"/>
                <w:color w:val="000000"/>
                <w:sz w:val="20"/>
                <w:szCs w:val="20"/>
              </w:rPr>
            </w:pPr>
          </w:p>
        </w:tc>
        <w:tc>
          <w:tcPr>
            <w:tcW w:w="907" w:type="dxa"/>
            <w:tcBorders>
              <w:top w:val="nil"/>
              <w:left w:val="nil"/>
              <w:bottom w:val="nil"/>
              <w:right w:val="nil"/>
            </w:tcBorders>
          </w:tcPr>
          <w:p w:rsidR="00F8232A" w:rsidRPr="00583BD3" w:rsidRDefault="00F8232A" w:rsidP="00F8232A">
            <w:pPr>
              <w:rPr>
                <w:rFonts w:ascii="Garamond" w:hAnsi="Garamond" w:cs="Calibri"/>
                <w:color w:val="000000"/>
                <w:sz w:val="20"/>
                <w:szCs w:val="20"/>
              </w:rPr>
            </w:pPr>
          </w:p>
        </w:tc>
      </w:tr>
      <w:tr w:rsidR="00F8232A" w:rsidRPr="00583BD3" w:rsidTr="00F16C06">
        <w:trPr>
          <w:trHeight w:val="270"/>
        </w:trPr>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(3) CEO Female Dummy</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-0.01</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0.07***</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1.00</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907" w:type="dxa"/>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907" w:type="dxa"/>
            <w:tcBorders>
              <w:top w:val="nil"/>
              <w:left w:val="nil"/>
              <w:bottom w:val="nil"/>
              <w:right w:val="nil"/>
            </w:tcBorders>
          </w:tcPr>
          <w:p w:rsidR="00F8232A" w:rsidRPr="00583BD3" w:rsidRDefault="00F8232A" w:rsidP="00F8232A">
            <w:pPr>
              <w:rPr>
                <w:rFonts w:ascii="Garamond" w:hAnsi="Garamond" w:cs="Calibri"/>
                <w:color w:val="000000"/>
                <w:sz w:val="20"/>
                <w:szCs w:val="20"/>
              </w:rPr>
            </w:pPr>
          </w:p>
        </w:tc>
        <w:tc>
          <w:tcPr>
            <w:tcW w:w="907" w:type="dxa"/>
            <w:tcBorders>
              <w:top w:val="nil"/>
              <w:left w:val="nil"/>
              <w:bottom w:val="nil"/>
              <w:right w:val="nil"/>
            </w:tcBorders>
          </w:tcPr>
          <w:p w:rsidR="00F8232A" w:rsidRPr="00583BD3" w:rsidRDefault="00F8232A" w:rsidP="00F8232A">
            <w:pPr>
              <w:rPr>
                <w:rFonts w:ascii="Garamond" w:hAnsi="Garamond" w:cs="Calibri"/>
                <w:color w:val="000000"/>
                <w:sz w:val="20"/>
                <w:szCs w:val="20"/>
              </w:rPr>
            </w:pPr>
          </w:p>
        </w:tc>
      </w:tr>
      <w:tr w:rsidR="00F8232A" w:rsidRPr="00583BD3" w:rsidTr="00F16C06">
        <w:trPr>
          <w:trHeight w:val="270"/>
        </w:trPr>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(4) Board Gender Diversity</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0.01</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-0.00</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0.10***</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1.00</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907" w:type="dxa"/>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907" w:type="dxa"/>
            <w:tcBorders>
              <w:top w:val="nil"/>
              <w:left w:val="nil"/>
              <w:bottom w:val="nil"/>
              <w:right w:val="nil"/>
            </w:tcBorders>
          </w:tcPr>
          <w:p w:rsidR="00F8232A" w:rsidRPr="00583BD3" w:rsidRDefault="00F8232A" w:rsidP="00F8232A">
            <w:pPr>
              <w:rPr>
                <w:rFonts w:ascii="Garamond" w:hAnsi="Garamond" w:cs="Calibri"/>
                <w:color w:val="000000"/>
                <w:sz w:val="20"/>
                <w:szCs w:val="20"/>
              </w:rPr>
            </w:pPr>
          </w:p>
        </w:tc>
        <w:tc>
          <w:tcPr>
            <w:tcW w:w="907" w:type="dxa"/>
            <w:tcBorders>
              <w:top w:val="nil"/>
              <w:left w:val="nil"/>
              <w:bottom w:val="nil"/>
              <w:right w:val="nil"/>
            </w:tcBorders>
          </w:tcPr>
          <w:p w:rsidR="00F8232A" w:rsidRPr="00583BD3" w:rsidRDefault="00F8232A" w:rsidP="00F8232A">
            <w:pPr>
              <w:rPr>
                <w:rFonts w:ascii="Garamond" w:hAnsi="Garamond" w:cs="Calibri"/>
                <w:color w:val="000000"/>
                <w:sz w:val="20"/>
                <w:szCs w:val="20"/>
              </w:rPr>
            </w:pPr>
          </w:p>
        </w:tc>
      </w:tr>
      <w:tr w:rsidR="00F8232A" w:rsidRPr="00583BD3" w:rsidTr="00F16C06">
        <w:trPr>
          <w:trHeight w:val="270"/>
        </w:trPr>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(5) Board Nationality Diversity</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0.00</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-0.00</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-0.01</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0.07***</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1.00</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907" w:type="dxa"/>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907" w:type="dxa"/>
            <w:tcBorders>
              <w:top w:val="nil"/>
              <w:left w:val="nil"/>
              <w:bottom w:val="nil"/>
              <w:right w:val="nil"/>
            </w:tcBorders>
          </w:tcPr>
          <w:p w:rsidR="00F8232A" w:rsidRPr="00583BD3" w:rsidRDefault="00F8232A" w:rsidP="00F8232A">
            <w:pPr>
              <w:rPr>
                <w:rFonts w:ascii="Garamond" w:hAnsi="Garamond" w:cs="Calibri"/>
                <w:color w:val="000000"/>
                <w:sz w:val="20"/>
                <w:szCs w:val="20"/>
              </w:rPr>
            </w:pPr>
          </w:p>
        </w:tc>
        <w:tc>
          <w:tcPr>
            <w:tcW w:w="907" w:type="dxa"/>
            <w:tcBorders>
              <w:top w:val="nil"/>
              <w:left w:val="nil"/>
              <w:bottom w:val="nil"/>
              <w:right w:val="nil"/>
            </w:tcBorders>
          </w:tcPr>
          <w:p w:rsidR="00F8232A" w:rsidRPr="00583BD3" w:rsidRDefault="00F8232A" w:rsidP="00F8232A">
            <w:pPr>
              <w:rPr>
                <w:rFonts w:ascii="Garamond" w:hAnsi="Garamond" w:cs="Calibri"/>
                <w:color w:val="000000"/>
                <w:sz w:val="20"/>
                <w:szCs w:val="20"/>
              </w:rPr>
            </w:pPr>
          </w:p>
        </w:tc>
      </w:tr>
      <w:tr w:rsidR="00F8232A" w:rsidRPr="00583BD3" w:rsidTr="00F16C06">
        <w:trPr>
          <w:trHeight w:val="270"/>
        </w:trPr>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(6) Board Age Diversity</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-0.00</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-0.00</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0.02</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-0.03**</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-0.02*</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1.00</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907" w:type="dxa"/>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907" w:type="dxa"/>
            <w:tcBorders>
              <w:top w:val="nil"/>
              <w:left w:val="nil"/>
              <w:bottom w:val="nil"/>
              <w:right w:val="nil"/>
            </w:tcBorders>
          </w:tcPr>
          <w:p w:rsidR="00F8232A" w:rsidRPr="00583BD3" w:rsidRDefault="00F8232A" w:rsidP="00F8232A">
            <w:pPr>
              <w:rPr>
                <w:rFonts w:ascii="Garamond" w:hAnsi="Garamond" w:cs="Calibri"/>
                <w:color w:val="000000"/>
                <w:sz w:val="20"/>
                <w:szCs w:val="20"/>
              </w:rPr>
            </w:pPr>
          </w:p>
        </w:tc>
        <w:tc>
          <w:tcPr>
            <w:tcW w:w="907" w:type="dxa"/>
            <w:tcBorders>
              <w:top w:val="nil"/>
              <w:left w:val="nil"/>
              <w:bottom w:val="nil"/>
              <w:right w:val="nil"/>
            </w:tcBorders>
          </w:tcPr>
          <w:p w:rsidR="00F8232A" w:rsidRPr="00583BD3" w:rsidRDefault="00F8232A" w:rsidP="00F8232A">
            <w:pPr>
              <w:rPr>
                <w:rFonts w:ascii="Garamond" w:hAnsi="Garamond" w:cs="Calibri"/>
                <w:color w:val="000000"/>
                <w:sz w:val="20"/>
                <w:szCs w:val="20"/>
              </w:rPr>
            </w:pPr>
          </w:p>
        </w:tc>
      </w:tr>
      <w:tr w:rsidR="00F8232A" w:rsidRPr="00583BD3" w:rsidTr="00F16C06">
        <w:trPr>
          <w:trHeight w:val="270"/>
        </w:trPr>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(7) Board Aggregate Diversity</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0.05***</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0.22***</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0.16***</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0.31***</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0.23***</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0.32***</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1.00</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907" w:type="dxa"/>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907" w:type="dxa"/>
            <w:tcBorders>
              <w:top w:val="nil"/>
              <w:left w:val="nil"/>
              <w:bottom w:val="nil"/>
              <w:right w:val="nil"/>
            </w:tcBorders>
          </w:tcPr>
          <w:p w:rsidR="00F8232A" w:rsidRPr="00583BD3" w:rsidRDefault="00F8232A" w:rsidP="00F8232A">
            <w:pPr>
              <w:rPr>
                <w:rFonts w:ascii="Garamond" w:hAnsi="Garamond" w:cs="Calibri"/>
                <w:color w:val="000000"/>
                <w:sz w:val="20"/>
                <w:szCs w:val="20"/>
              </w:rPr>
            </w:pPr>
          </w:p>
        </w:tc>
        <w:tc>
          <w:tcPr>
            <w:tcW w:w="907" w:type="dxa"/>
            <w:tcBorders>
              <w:top w:val="nil"/>
              <w:left w:val="nil"/>
              <w:bottom w:val="nil"/>
              <w:right w:val="nil"/>
            </w:tcBorders>
          </w:tcPr>
          <w:p w:rsidR="00F8232A" w:rsidRPr="00583BD3" w:rsidRDefault="00F8232A" w:rsidP="00F8232A">
            <w:pPr>
              <w:rPr>
                <w:rFonts w:ascii="Garamond" w:hAnsi="Garamond" w:cs="Calibri"/>
                <w:color w:val="000000"/>
                <w:sz w:val="20"/>
                <w:szCs w:val="20"/>
              </w:rPr>
            </w:pPr>
          </w:p>
        </w:tc>
      </w:tr>
      <w:tr w:rsidR="00F8232A" w:rsidRPr="00583BD3" w:rsidTr="00F16C06">
        <w:trPr>
          <w:trHeight w:val="270"/>
        </w:trPr>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 xml:space="preserve">(8) </w:t>
            </w:r>
            <w:proofErr w:type="spellStart"/>
            <w:r w:rsidRPr="00583BD3">
              <w:rPr>
                <w:rFonts w:ascii="Garamond" w:hAnsi="Garamond" w:cs="Calibri" w:hint="eastAsia"/>
                <w:color w:val="000000"/>
                <w:sz w:val="20"/>
                <w:szCs w:val="20"/>
              </w:rPr>
              <w:t>Ln</w:t>
            </w:r>
            <w:proofErr w:type="spellEnd"/>
            <w:r w:rsidRPr="00583BD3">
              <w:rPr>
                <w:rFonts w:ascii="Garamond" w:hAnsi="Garamond" w:cs="Calibri" w:hint="eastAsia"/>
                <w:color w:val="000000"/>
                <w:sz w:val="20"/>
                <w:szCs w:val="20"/>
              </w:rPr>
              <w:t>(number of directors)</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0.26***</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-0.01</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0.01</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0.01</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0.05***</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0.05***</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0.24***</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1.00</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907" w:type="dxa"/>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907" w:type="dxa"/>
            <w:tcBorders>
              <w:top w:val="nil"/>
              <w:left w:val="nil"/>
              <w:bottom w:val="nil"/>
              <w:right w:val="nil"/>
            </w:tcBorders>
          </w:tcPr>
          <w:p w:rsidR="00F8232A" w:rsidRPr="00583BD3" w:rsidRDefault="00F8232A" w:rsidP="00F8232A">
            <w:pPr>
              <w:rPr>
                <w:rFonts w:ascii="Garamond" w:hAnsi="Garamond" w:cs="Calibri"/>
                <w:color w:val="000000"/>
                <w:sz w:val="20"/>
                <w:szCs w:val="20"/>
              </w:rPr>
            </w:pPr>
          </w:p>
        </w:tc>
        <w:tc>
          <w:tcPr>
            <w:tcW w:w="907" w:type="dxa"/>
            <w:tcBorders>
              <w:top w:val="nil"/>
              <w:left w:val="nil"/>
              <w:bottom w:val="nil"/>
              <w:right w:val="nil"/>
            </w:tcBorders>
          </w:tcPr>
          <w:p w:rsidR="00F8232A" w:rsidRPr="00583BD3" w:rsidRDefault="00F8232A" w:rsidP="00F8232A">
            <w:pPr>
              <w:rPr>
                <w:rFonts w:ascii="Garamond" w:hAnsi="Garamond" w:cs="Calibri"/>
                <w:color w:val="000000"/>
                <w:sz w:val="20"/>
                <w:szCs w:val="20"/>
              </w:rPr>
            </w:pPr>
          </w:p>
        </w:tc>
      </w:tr>
      <w:tr w:rsidR="00F8232A" w:rsidRPr="00583BD3" w:rsidTr="00F16C06">
        <w:trPr>
          <w:trHeight w:val="270"/>
        </w:trPr>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(9) Board independence</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0.22***</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0.01</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0.03**</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0.05***</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-0.02</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-0.02*</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0.12***</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0.32***</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1.00</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907" w:type="dxa"/>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907" w:type="dxa"/>
            <w:tcBorders>
              <w:top w:val="nil"/>
              <w:left w:val="nil"/>
              <w:bottom w:val="nil"/>
              <w:right w:val="nil"/>
            </w:tcBorders>
          </w:tcPr>
          <w:p w:rsidR="00F8232A" w:rsidRPr="00583BD3" w:rsidRDefault="00F8232A" w:rsidP="00F8232A">
            <w:pPr>
              <w:rPr>
                <w:rFonts w:ascii="Garamond" w:hAnsi="Garamond" w:cs="Calibri"/>
                <w:color w:val="000000"/>
                <w:sz w:val="20"/>
                <w:szCs w:val="20"/>
              </w:rPr>
            </w:pPr>
          </w:p>
        </w:tc>
        <w:tc>
          <w:tcPr>
            <w:tcW w:w="907" w:type="dxa"/>
            <w:tcBorders>
              <w:top w:val="nil"/>
              <w:left w:val="nil"/>
              <w:bottom w:val="nil"/>
              <w:right w:val="nil"/>
            </w:tcBorders>
          </w:tcPr>
          <w:p w:rsidR="00F8232A" w:rsidRPr="00583BD3" w:rsidRDefault="00F8232A" w:rsidP="00F8232A">
            <w:pPr>
              <w:rPr>
                <w:rFonts w:ascii="Garamond" w:hAnsi="Garamond" w:cs="Calibri"/>
                <w:color w:val="000000"/>
                <w:sz w:val="20"/>
                <w:szCs w:val="20"/>
              </w:rPr>
            </w:pPr>
          </w:p>
        </w:tc>
      </w:tr>
      <w:tr w:rsidR="00F8232A" w:rsidRPr="00583BD3" w:rsidTr="00F16C06">
        <w:trPr>
          <w:trHeight w:val="270"/>
        </w:trPr>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(10) Tobin's Q</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-0.14***</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0.01</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-0.02*</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0.02*</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0.02</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0.00</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0.06***</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0.01</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-0.05***</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1.00</w:t>
            </w:r>
          </w:p>
        </w:tc>
        <w:tc>
          <w:tcPr>
            <w:tcW w:w="907" w:type="dxa"/>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907" w:type="dxa"/>
            <w:tcBorders>
              <w:top w:val="nil"/>
              <w:left w:val="nil"/>
              <w:bottom w:val="nil"/>
              <w:right w:val="nil"/>
            </w:tcBorders>
          </w:tcPr>
          <w:p w:rsidR="00F8232A" w:rsidRPr="00583BD3" w:rsidRDefault="00F8232A" w:rsidP="00F8232A">
            <w:pPr>
              <w:rPr>
                <w:rFonts w:ascii="Garamond" w:hAnsi="Garamond" w:cs="Calibri"/>
                <w:color w:val="000000"/>
                <w:sz w:val="20"/>
                <w:szCs w:val="20"/>
              </w:rPr>
            </w:pPr>
          </w:p>
        </w:tc>
        <w:tc>
          <w:tcPr>
            <w:tcW w:w="907" w:type="dxa"/>
            <w:tcBorders>
              <w:top w:val="nil"/>
              <w:left w:val="nil"/>
              <w:bottom w:val="nil"/>
              <w:right w:val="nil"/>
            </w:tcBorders>
          </w:tcPr>
          <w:p w:rsidR="00F8232A" w:rsidRPr="00583BD3" w:rsidRDefault="00F8232A" w:rsidP="00F8232A">
            <w:pPr>
              <w:rPr>
                <w:rFonts w:ascii="Garamond" w:hAnsi="Garamond" w:cs="Calibri"/>
                <w:color w:val="000000"/>
                <w:sz w:val="20"/>
                <w:szCs w:val="20"/>
              </w:rPr>
            </w:pPr>
          </w:p>
        </w:tc>
      </w:tr>
      <w:tr w:rsidR="00F8232A" w:rsidRPr="00583BD3" w:rsidTr="00F16C06">
        <w:trPr>
          <w:trHeight w:val="270"/>
        </w:trPr>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(11) Industry-</w:t>
            </w:r>
            <w:proofErr w:type="spellStart"/>
            <w:r w:rsidRPr="00583BD3">
              <w:rPr>
                <w:rFonts w:ascii="Garamond" w:hAnsi="Garamond" w:cs="Calibri" w:hint="eastAsia"/>
                <w:color w:val="000000"/>
                <w:sz w:val="20"/>
                <w:szCs w:val="20"/>
              </w:rPr>
              <w:t>Adj</w:t>
            </w:r>
            <w:proofErr w:type="spellEnd"/>
            <w:r w:rsidRPr="00583BD3">
              <w:rPr>
                <w:rFonts w:ascii="Garamond" w:hAnsi="Garamond" w:cs="Calibri" w:hint="eastAsia"/>
                <w:color w:val="000000"/>
                <w:sz w:val="20"/>
                <w:szCs w:val="20"/>
              </w:rPr>
              <w:t xml:space="preserve"> ROA</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-0.07</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-0.01</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-0.00</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-0.00</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-0.01</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-0.00</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0.02*</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0.06***</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0.05***</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-0.05***</w:t>
            </w:r>
          </w:p>
        </w:tc>
        <w:tc>
          <w:tcPr>
            <w:tcW w:w="907" w:type="dxa"/>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1.00</w:t>
            </w:r>
          </w:p>
        </w:tc>
        <w:tc>
          <w:tcPr>
            <w:tcW w:w="907" w:type="dxa"/>
            <w:tcBorders>
              <w:top w:val="nil"/>
              <w:left w:val="nil"/>
              <w:bottom w:val="nil"/>
              <w:right w:val="nil"/>
            </w:tcBorders>
          </w:tcPr>
          <w:p w:rsidR="00F8232A" w:rsidRPr="00583BD3" w:rsidRDefault="00F8232A" w:rsidP="00F8232A">
            <w:pPr>
              <w:rPr>
                <w:rFonts w:ascii="Garamond" w:hAnsi="Garamond" w:cs="Calibri"/>
                <w:color w:val="000000"/>
                <w:sz w:val="20"/>
                <w:szCs w:val="20"/>
              </w:rPr>
            </w:pPr>
          </w:p>
        </w:tc>
        <w:tc>
          <w:tcPr>
            <w:tcW w:w="907" w:type="dxa"/>
            <w:tcBorders>
              <w:top w:val="nil"/>
              <w:left w:val="nil"/>
              <w:bottom w:val="nil"/>
              <w:right w:val="nil"/>
            </w:tcBorders>
          </w:tcPr>
          <w:p w:rsidR="00F8232A" w:rsidRPr="00583BD3" w:rsidRDefault="00F8232A" w:rsidP="00F8232A">
            <w:pPr>
              <w:rPr>
                <w:rFonts w:ascii="Garamond" w:hAnsi="Garamond" w:cs="Calibri"/>
                <w:color w:val="000000"/>
                <w:sz w:val="20"/>
                <w:szCs w:val="20"/>
              </w:rPr>
            </w:pPr>
          </w:p>
        </w:tc>
      </w:tr>
      <w:tr w:rsidR="00F8232A" w:rsidRPr="00583BD3" w:rsidTr="00F16C06">
        <w:trPr>
          <w:trHeight w:val="270"/>
        </w:trPr>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(12) CEO is Chairman dummy</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-0.06***</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-0.03**</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-0.03***</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-0.02*</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-0.00</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0.01</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-0.07***</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-0.08***</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-0.25***</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-0.00</w:t>
            </w:r>
          </w:p>
        </w:tc>
        <w:tc>
          <w:tcPr>
            <w:tcW w:w="907" w:type="dxa"/>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-0.03**</w:t>
            </w:r>
          </w:p>
        </w:tc>
        <w:tc>
          <w:tcPr>
            <w:tcW w:w="907" w:type="dxa"/>
            <w:tcBorders>
              <w:top w:val="nil"/>
              <w:left w:val="nil"/>
              <w:bottom w:val="nil"/>
              <w:right w:val="nil"/>
            </w:tcBorders>
            <w:vAlign w:val="center"/>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1.00</w:t>
            </w:r>
          </w:p>
        </w:tc>
        <w:tc>
          <w:tcPr>
            <w:tcW w:w="907" w:type="dxa"/>
            <w:tcBorders>
              <w:top w:val="nil"/>
              <w:left w:val="nil"/>
              <w:bottom w:val="nil"/>
              <w:right w:val="nil"/>
            </w:tcBorders>
          </w:tcPr>
          <w:p w:rsidR="00F8232A" w:rsidRPr="00583BD3" w:rsidRDefault="00F8232A" w:rsidP="00F8232A">
            <w:pPr>
              <w:rPr>
                <w:rFonts w:ascii="Garamond" w:hAnsi="Garamond" w:cs="Calibri"/>
                <w:color w:val="000000"/>
                <w:sz w:val="20"/>
                <w:szCs w:val="20"/>
              </w:rPr>
            </w:pPr>
          </w:p>
        </w:tc>
      </w:tr>
      <w:tr w:rsidR="00F8232A" w:rsidRPr="00583BD3" w:rsidTr="00F16C06">
        <w:trPr>
          <w:trHeight w:val="270"/>
        </w:trPr>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 xml:space="preserve">(13) </w:t>
            </w:r>
            <w:proofErr w:type="spellStart"/>
            <w:r w:rsidRPr="00583BD3">
              <w:rPr>
                <w:rFonts w:ascii="Garamond" w:hAnsi="Garamond" w:cs="Calibri" w:hint="eastAsia"/>
                <w:color w:val="000000"/>
                <w:sz w:val="20"/>
                <w:szCs w:val="20"/>
              </w:rPr>
              <w:t>Ln</w:t>
            </w:r>
            <w:proofErr w:type="spellEnd"/>
            <w:r w:rsidRPr="00583BD3">
              <w:rPr>
                <w:rFonts w:ascii="Garamond" w:hAnsi="Garamond" w:cs="Calibri" w:hint="eastAsia"/>
                <w:color w:val="000000"/>
                <w:sz w:val="20"/>
                <w:szCs w:val="20"/>
              </w:rPr>
              <w:t>(market-to-book)</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0.17***</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0.01</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0.00</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0.01</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-0.00</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0.01</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0.07***</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0.17***</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0.13***</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0.64***</w:t>
            </w:r>
          </w:p>
        </w:tc>
        <w:tc>
          <w:tcPr>
            <w:tcW w:w="907" w:type="dxa"/>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-0.03***</w:t>
            </w:r>
          </w:p>
        </w:tc>
        <w:tc>
          <w:tcPr>
            <w:tcW w:w="907" w:type="dxa"/>
            <w:tcBorders>
              <w:top w:val="nil"/>
              <w:left w:val="nil"/>
              <w:bottom w:val="nil"/>
              <w:right w:val="nil"/>
            </w:tcBorders>
            <w:vAlign w:val="center"/>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-0.04***</w:t>
            </w:r>
          </w:p>
        </w:tc>
        <w:tc>
          <w:tcPr>
            <w:tcW w:w="907" w:type="dxa"/>
            <w:tcBorders>
              <w:top w:val="nil"/>
              <w:left w:val="nil"/>
              <w:bottom w:val="nil"/>
              <w:right w:val="nil"/>
            </w:tcBorders>
            <w:vAlign w:val="center"/>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1.00</w:t>
            </w:r>
          </w:p>
        </w:tc>
      </w:tr>
      <w:tr w:rsidR="00F8232A" w:rsidRPr="00583BD3" w:rsidTr="00F16C06">
        <w:trPr>
          <w:trHeight w:val="270"/>
        </w:trPr>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(14) Capital expenditure</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0.08***</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0.00</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-0.04***</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0.01</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-0.02</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-0.00</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0.01</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0.03***</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0.00</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0.03***</w:t>
            </w:r>
          </w:p>
        </w:tc>
        <w:tc>
          <w:tcPr>
            <w:tcW w:w="907" w:type="dxa"/>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0.05***</w:t>
            </w:r>
          </w:p>
        </w:tc>
        <w:tc>
          <w:tcPr>
            <w:tcW w:w="907" w:type="dxa"/>
            <w:tcBorders>
              <w:top w:val="nil"/>
              <w:left w:val="nil"/>
              <w:bottom w:val="nil"/>
              <w:right w:val="nil"/>
            </w:tcBorders>
            <w:vAlign w:val="center"/>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0.01</w:t>
            </w:r>
          </w:p>
        </w:tc>
        <w:tc>
          <w:tcPr>
            <w:tcW w:w="907" w:type="dxa"/>
            <w:tcBorders>
              <w:top w:val="nil"/>
              <w:left w:val="nil"/>
              <w:bottom w:val="nil"/>
              <w:right w:val="nil"/>
            </w:tcBorders>
            <w:vAlign w:val="center"/>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0.03**</w:t>
            </w:r>
          </w:p>
        </w:tc>
      </w:tr>
      <w:tr w:rsidR="00F8232A" w:rsidRPr="00583BD3" w:rsidTr="00F16C06">
        <w:trPr>
          <w:trHeight w:val="270"/>
        </w:trPr>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 xml:space="preserve">(15) </w:t>
            </w:r>
            <w:proofErr w:type="spellStart"/>
            <w:r w:rsidRPr="00583BD3">
              <w:rPr>
                <w:rFonts w:ascii="Garamond" w:hAnsi="Garamond" w:cs="Calibri" w:hint="eastAsia"/>
                <w:color w:val="000000"/>
                <w:sz w:val="20"/>
                <w:szCs w:val="20"/>
              </w:rPr>
              <w:t>Ln</w:t>
            </w:r>
            <w:proofErr w:type="spellEnd"/>
            <w:r w:rsidRPr="00583BD3">
              <w:rPr>
                <w:rFonts w:ascii="Garamond" w:hAnsi="Garamond" w:cs="Calibri" w:hint="eastAsia"/>
                <w:color w:val="000000"/>
                <w:sz w:val="20"/>
                <w:szCs w:val="20"/>
              </w:rPr>
              <w:t>(total assets)</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0.41***</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-0.03***</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0.03**</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0.00</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0.00</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-0.00</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0.21***</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0.68***</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0.56***</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-0.17***</w:t>
            </w:r>
          </w:p>
        </w:tc>
        <w:tc>
          <w:tcPr>
            <w:tcW w:w="907" w:type="dxa"/>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0.09***</w:t>
            </w:r>
          </w:p>
        </w:tc>
        <w:tc>
          <w:tcPr>
            <w:tcW w:w="907" w:type="dxa"/>
            <w:tcBorders>
              <w:top w:val="nil"/>
              <w:left w:val="nil"/>
              <w:bottom w:val="nil"/>
              <w:right w:val="nil"/>
            </w:tcBorders>
            <w:vAlign w:val="center"/>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-0.15***</w:t>
            </w:r>
          </w:p>
        </w:tc>
        <w:tc>
          <w:tcPr>
            <w:tcW w:w="907" w:type="dxa"/>
            <w:tcBorders>
              <w:top w:val="nil"/>
              <w:left w:val="nil"/>
              <w:bottom w:val="nil"/>
              <w:right w:val="nil"/>
            </w:tcBorders>
            <w:vAlign w:val="center"/>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0.09***</w:t>
            </w:r>
          </w:p>
        </w:tc>
      </w:tr>
      <w:tr w:rsidR="00F8232A" w:rsidRPr="00583BD3" w:rsidTr="00F16C06">
        <w:trPr>
          <w:trHeight w:val="270"/>
        </w:trPr>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 xml:space="preserve">(16) </w:t>
            </w:r>
            <w:proofErr w:type="spellStart"/>
            <w:r w:rsidRPr="00583BD3">
              <w:rPr>
                <w:rFonts w:ascii="Garamond" w:hAnsi="Garamond" w:cs="Calibri" w:hint="eastAsia"/>
                <w:color w:val="000000"/>
                <w:sz w:val="20"/>
                <w:szCs w:val="20"/>
              </w:rPr>
              <w:t>Ln</w:t>
            </w:r>
            <w:proofErr w:type="spellEnd"/>
            <w:r w:rsidRPr="00583BD3">
              <w:rPr>
                <w:rFonts w:ascii="Garamond" w:hAnsi="Garamond" w:cs="Calibri" w:hint="eastAsia"/>
                <w:color w:val="000000"/>
                <w:sz w:val="20"/>
                <w:szCs w:val="20"/>
              </w:rPr>
              <w:t>(firm age)</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0.17***</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0.00</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-0.01</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-0.02**</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-0.02</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0.02</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0.01</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0.24***</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0.29***</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-0.19***</w:t>
            </w:r>
          </w:p>
        </w:tc>
        <w:tc>
          <w:tcPr>
            <w:tcW w:w="907" w:type="dxa"/>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0.05***</w:t>
            </w:r>
          </w:p>
        </w:tc>
        <w:tc>
          <w:tcPr>
            <w:tcW w:w="907" w:type="dxa"/>
            <w:tcBorders>
              <w:top w:val="nil"/>
              <w:left w:val="nil"/>
              <w:bottom w:val="nil"/>
              <w:right w:val="nil"/>
            </w:tcBorders>
            <w:vAlign w:val="center"/>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-0.05***</w:t>
            </w:r>
          </w:p>
        </w:tc>
        <w:tc>
          <w:tcPr>
            <w:tcW w:w="907" w:type="dxa"/>
            <w:tcBorders>
              <w:top w:val="nil"/>
              <w:left w:val="nil"/>
              <w:bottom w:val="nil"/>
              <w:right w:val="nil"/>
            </w:tcBorders>
            <w:vAlign w:val="center"/>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-0.06***</w:t>
            </w:r>
          </w:p>
        </w:tc>
      </w:tr>
      <w:tr w:rsidR="00F8232A" w:rsidRPr="00583BD3" w:rsidTr="00F16C06">
        <w:trPr>
          <w:trHeight w:val="270"/>
        </w:trPr>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(17) CFO British Dummy</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0.01</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-0.05***</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0.01</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-0.00</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-0.00</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0.00</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-0.30***</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-0.07***</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-0.02</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-0.00</w:t>
            </w:r>
          </w:p>
        </w:tc>
        <w:tc>
          <w:tcPr>
            <w:tcW w:w="907" w:type="dxa"/>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-0.01</w:t>
            </w:r>
          </w:p>
        </w:tc>
        <w:tc>
          <w:tcPr>
            <w:tcW w:w="907" w:type="dxa"/>
            <w:tcBorders>
              <w:top w:val="nil"/>
              <w:left w:val="nil"/>
              <w:bottom w:val="nil"/>
              <w:right w:val="nil"/>
            </w:tcBorders>
            <w:vAlign w:val="center"/>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-0.01</w:t>
            </w:r>
          </w:p>
        </w:tc>
        <w:tc>
          <w:tcPr>
            <w:tcW w:w="907" w:type="dxa"/>
            <w:tcBorders>
              <w:top w:val="nil"/>
              <w:left w:val="nil"/>
              <w:bottom w:val="nil"/>
              <w:right w:val="nil"/>
            </w:tcBorders>
            <w:vAlign w:val="center"/>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0.02</w:t>
            </w:r>
          </w:p>
        </w:tc>
      </w:tr>
      <w:tr w:rsidR="00F8232A" w:rsidRPr="00583BD3" w:rsidTr="00F16C06">
        <w:trPr>
          <w:trHeight w:val="270"/>
        </w:trPr>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 xml:space="preserve">(18) </w:t>
            </w:r>
            <w:proofErr w:type="spellStart"/>
            <w:r w:rsidRPr="00583BD3">
              <w:rPr>
                <w:rFonts w:ascii="Garamond" w:hAnsi="Garamond" w:cs="Calibri" w:hint="eastAsia"/>
                <w:color w:val="000000"/>
                <w:sz w:val="20"/>
                <w:szCs w:val="20"/>
              </w:rPr>
              <w:t>Ln</w:t>
            </w:r>
            <w:proofErr w:type="spellEnd"/>
            <w:r w:rsidRPr="00583BD3">
              <w:rPr>
                <w:rFonts w:ascii="Garamond" w:hAnsi="Garamond" w:cs="Calibri" w:hint="eastAsia"/>
                <w:color w:val="000000"/>
                <w:sz w:val="20"/>
                <w:szCs w:val="20"/>
              </w:rPr>
              <w:t>(CFO tenure)</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-0.00</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-0.09***</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-0.01</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-0.05***</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-0.01</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0.01</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-0.10***</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0.07***</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0.06***</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-0.03**</w:t>
            </w:r>
          </w:p>
        </w:tc>
        <w:tc>
          <w:tcPr>
            <w:tcW w:w="907" w:type="dxa"/>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0.03**</w:t>
            </w:r>
          </w:p>
        </w:tc>
        <w:tc>
          <w:tcPr>
            <w:tcW w:w="907" w:type="dxa"/>
            <w:tcBorders>
              <w:top w:val="nil"/>
              <w:left w:val="nil"/>
              <w:bottom w:val="nil"/>
              <w:right w:val="nil"/>
            </w:tcBorders>
            <w:vAlign w:val="center"/>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0.02</w:t>
            </w:r>
          </w:p>
        </w:tc>
        <w:tc>
          <w:tcPr>
            <w:tcW w:w="907" w:type="dxa"/>
            <w:tcBorders>
              <w:top w:val="nil"/>
              <w:left w:val="nil"/>
              <w:bottom w:val="nil"/>
              <w:right w:val="nil"/>
            </w:tcBorders>
            <w:vAlign w:val="center"/>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0.01</w:t>
            </w:r>
          </w:p>
        </w:tc>
      </w:tr>
      <w:tr w:rsidR="00F8232A" w:rsidRPr="00583BD3" w:rsidTr="00F16C06">
        <w:trPr>
          <w:trHeight w:val="270"/>
        </w:trPr>
        <w:tc>
          <w:tcPr>
            <w:tcW w:w="0" w:type="auto"/>
            <w:tcBorders>
              <w:top w:val="nil"/>
              <w:left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 xml:space="preserve">(19) </w:t>
            </w:r>
            <w:proofErr w:type="spellStart"/>
            <w:r w:rsidRPr="00583BD3">
              <w:rPr>
                <w:rFonts w:ascii="Garamond" w:hAnsi="Garamond" w:cs="Calibri" w:hint="eastAsia"/>
                <w:color w:val="000000"/>
                <w:sz w:val="20"/>
                <w:szCs w:val="20"/>
              </w:rPr>
              <w:t>Ln</w:t>
            </w:r>
            <w:proofErr w:type="spellEnd"/>
            <w:r w:rsidRPr="00583BD3">
              <w:rPr>
                <w:rFonts w:ascii="Garamond" w:hAnsi="Garamond" w:cs="Calibri" w:hint="eastAsia"/>
                <w:color w:val="000000"/>
                <w:sz w:val="20"/>
                <w:szCs w:val="20"/>
              </w:rPr>
              <w:t>(CFO age)</w:t>
            </w:r>
          </w:p>
        </w:tc>
        <w:tc>
          <w:tcPr>
            <w:tcW w:w="0" w:type="auto"/>
            <w:tcBorders>
              <w:top w:val="nil"/>
              <w:left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0.01</w:t>
            </w:r>
          </w:p>
        </w:tc>
        <w:tc>
          <w:tcPr>
            <w:tcW w:w="0" w:type="auto"/>
            <w:tcBorders>
              <w:top w:val="nil"/>
              <w:left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-0.12***</w:t>
            </w:r>
          </w:p>
        </w:tc>
        <w:tc>
          <w:tcPr>
            <w:tcW w:w="0" w:type="auto"/>
            <w:tcBorders>
              <w:top w:val="nil"/>
              <w:left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0.01</w:t>
            </w:r>
          </w:p>
        </w:tc>
        <w:tc>
          <w:tcPr>
            <w:tcW w:w="0" w:type="auto"/>
            <w:tcBorders>
              <w:top w:val="nil"/>
              <w:left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-0.00</w:t>
            </w:r>
          </w:p>
        </w:tc>
        <w:tc>
          <w:tcPr>
            <w:tcW w:w="0" w:type="auto"/>
            <w:tcBorders>
              <w:top w:val="nil"/>
              <w:left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0.00</w:t>
            </w:r>
          </w:p>
        </w:tc>
        <w:tc>
          <w:tcPr>
            <w:tcW w:w="0" w:type="auto"/>
            <w:tcBorders>
              <w:top w:val="nil"/>
              <w:left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-0.00</w:t>
            </w:r>
          </w:p>
        </w:tc>
        <w:tc>
          <w:tcPr>
            <w:tcW w:w="0" w:type="auto"/>
            <w:tcBorders>
              <w:top w:val="nil"/>
              <w:left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-0.12***</w:t>
            </w:r>
          </w:p>
        </w:tc>
        <w:tc>
          <w:tcPr>
            <w:tcW w:w="0" w:type="auto"/>
            <w:tcBorders>
              <w:top w:val="nil"/>
              <w:left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0.06***</w:t>
            </w:r>
          </w:p>
        </w:tc>
        <w:tc>
          <w:tcPr>
            <w:tcW w:w="0" w:type="auto"/>
            <w:tcBorders>
              <w:top w:val="nil"/>
              <w:left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0.05***</w:t>
            </w:r>
          </w:p>
        </w:tc>
        <w:tc>
          <w:tcPr>
            <w:tcW w:w="0" w:type="auto"/>
            <w:tcBorders>
              <w:top w:val="nil"/>
              <w:left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0.00</w:t>
            </w:r>
          </w:p>
        </w:tc>
        <w:tc>
          <w:tcPr>
            <w:tcW w:w="907" w:type="dxa"/>
            <w:tcBorders>
              <w:top w:val="nil"/>
              <w:left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0.03***</w:t>
            </w:r>
          </w:p>
        </w:tc>
        <w:tc>
          <w:tcPr>
            <w:tcW w:w="907" w:type="dxa"/>
            <w:tcBorders>
              <w:top w:val="nil"/>
              <w:left w:val="nil"/>
              <w:right w:val="nil"/>
            </w:tcBorders>
            <w:vAlign w:val="center"/>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-0.00</w:t>
            </w:r>
          </w:p>
        </w:tc>
        <w:tc>
          <w:tcPr>
            <w:tcW w:w="907" w:type="dxa"/>
            <w:tcBorders>
              <w:top w:val="nil"/>
              <w:left w:val="nil"/>
              <w:right w:val="nil"/>
            </w:tcBorders>
            <w:vAlign w:val="center"/>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0.01</w:t>
            </w:r>
          </w:p>
        </w:tc>
      </w:tr>
      <w:tr w:rsidR="00F8232A" w:rsidRPr="00583BD3" w:rsidTr="00F16C06">
        <w:trPr>
          <w:trHeight w:val="270"/>
        </w:trPr>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 xml:space="preserve">(20) </w:t>
            </w:r>
            <w:proofErr w:type="spellStart"/>
            <w:r w:rsidRPr="00583BD3">
              <w:rPr>
                <w:rFonts w:ascii="Garamond" w:hAnsi="Garamond" w:cs="Calibri" w:hint="eastAsia"/>
                <w:color w:val="000000"/>
                <w:sz w:val="20"/>
                <w:szCs w:val="20"/>
              </w:rPr>
              <w:t>Ln</w:t>
            </w:r>
            <w:proofErr w:type="spellEnd"/>
            <w:r w:rsidRPr="00583BD3">
              <w:rPr>
                <w:rFonts w:ascii="Garamond" w:hAnsi="Garamond" w:cs="Calibri" w:hint="eastAsia"/>
                <w:color w:val="000000"/>
                <w:sz w:val="20"/>
                <w:szCs w:val="20"/>
              </w:rPr>
              <w:t>(CFO network size)</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0.07***</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0.05***</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0.03***</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-0.02**</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0.03***</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0.00</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0.12***</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0.15***</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0.18***</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0.02**</w:t>
            </w:r>
          </w:p>
        </w:tc>
        <w:tc>
          <w:tcPr>
            <w:tcW w:w="907" w:type="dxa"/>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0.01</w:t>
            </w:r>
          </w:p>
        </w:tc>
        <w:tc>
          <w:tcPr>
            <w:tcW w:w="907" w:type="dxa"/>
            <w:tcBorders>
              <w:top w:val="nil"/>
              <w:left w:val="nil"/>
              <w:bottom w:val="nil"/>
              <w:right w:val="nil"/>
            </w:tcBorders>
            <w:vAlign w:val="center"/>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-0.08***</w:t>
            </w:r>
          </w:p>
        </w:tc>
        <w:tc>
          <w:tcPr>
            <w:tcW w:w="907" w:type="dxa"/>
            <w:tcBorders>
              <w:top w:val="nil"/>
              <w:left w:val="nil"/>
              <w:bottom w:val="nil"/>
              <w:right w:val="nil"/>
            </w:tcBorders>
            <w:vAlign w:val="center"/>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0.07***</w:t>
            </w:r>
          </w:p>
        </w:tc>
      </w:tr>
      <w:tr w:rsidR="00F8232A" w:rsidRPr="00583BD3" w:rsidTr="00F16C06">
        <w:trPr>
          <w:trHeight w:val="270"/>
        </w:trPr>
        <w:tc>
          <w:tcPr>
            <w:tcW w:w="0" w:type="auto"/>
            <w:tcBorders>
              <w:top w:val="nil"/>
              <w:left w:val="nil"/>
              <w:bottom w:val="single" w:sz="4" w:space="0" w:color="auto"/>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 xml:space="preserve">(21) </w:t>
            </w:r>
            <w:proofErr w:type="spellStart"/>
            <w:r w:rsidRPr="00583BD3">
              <w:rPr>
                <w:rFonts w:ascii="Garamond" w:hAnsi="Garamond" w:cs="Calibri" w:hint="eastAsia"/>
                <w:color w:val="000000"/>
                <w:sz w:val="20"/>
                <w:szCs w:val="20"/>
              </w:rPr>
              <w:t>Ln</w:t>
            </w:r>
            <w:proofErr w:type="spellEnd"/>
            <w:r w:rsidRPr="00583BD3">
              <w:rPr>
                <w:rFonts w:ascii="Garamond" w:hAnsi="Garamond" w:cs="Calibri" w:hint="eastAsia"/>
                <w:color w:val="000000"/>
                <w:sz w:val="20"/>
                <w:szCs w:val="20"/>
              </w:rPr>
              <w:t>(CFO compensation)</w:t>
            </w:r>
          </w:p>
        </w:tc>
        <w:tc>
          <w:tcPr>
            <w:tcW w:w="0" w:type="auto"/>
            <w:tcBorders>
              <w:top w:val="nil"/>
              <w:left w:val="nil"/>
              <w:bottom w:val="single" w:sz="4" w:space="0" w:color="auto"/>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0.26***</w:t>
            </w:r>
          </w:p>
        </w:tc>
        <w:tc>
          <w:tcPr>
            <w:tcW w:w="0" w:type="auto"/>
            <w:tcBorders>
              <w:top w:val="nil"/>
              <w:left w:val="nil"/>
              <w:bottom w:val="single" w:sz="4" w:space="0" w:color="auto"/>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-0.03***</w:t>
            </w:r>
          </w:p>
        </w:tc>
        <w:tc>
          <w:tcPr>
            <w:tcW w:w="0" w:type="auto"/>
            <w:tcBorders>
              <w:top w:val="nil"/>
              <w:left w:val="nil"/>
              <w:bottom w:val="single" w:sz="4" w:space="0" w:color="auto"/>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0.03**</w:t>
            </w:r>
          </w:p>
        </w:tc>
        <w:tc>
          <w:tcPr>
            <w:tcW w:w="0" w:type="auto"/>
            <w:tcBorders>
              <w:top w:val="nil"/>
              <w:left w:val="nil"/>
              <w:bottom w:val="single" w:sz="4" w:space="0" w:color="auto"/>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0.01</w:t>
            </w:r>
          </w:p>
        </w:tc>
        <w:tc>
          <w:tcPr>
            <w:tcW w:w="0" w:type="auto"/>
            <w:tcBorders>
              <w:top w:val="nil"/>
              <w:left w:val="nil"/>
              <w:bottom w:val="single" w:sz="4" w:space="0" w:color="auto"/>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-0.02</w:t>
            </w:r>
          </w:p>
        </w:tc>
        <w:tc>
          <w:tcPr>
            <w:tcW w:w="0" w:type="auto"/>
            <w:tcBorders>
              <w:top w:val="nil"/>
              <w:left w:val="nil"/>
              <w:bottom w:val="single" w:sz="4" w:space="0" w:color="auto"/>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0.00</w:t>
            </w:r>
          </w:p>
        </w:tc>
        <w:tc>
          <w:tcPr>
            <w:tcW w:w="0" w:type="auto"/>
            <w:tcBorders>
              <w:top w:val="nil"/>
              <w:left w:val="nil"/>
              <w:bottom w:val="single" w:sz="4" w:space="0" w:color="auto"/>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0.19***</w:t>
            </w:r>
          </w:p>
        </w:tc>
        <w:tc>
          <w:tcPr>
            <w:tcW w:w="0" w:type="auto"/>
            <w:tcBorders>
              <w:top w:val="nil"/>
              <w:left w:val="nil"/>
              <w:bottom w:val="single" w:sz="4" w:space="0" w:color="auto"/>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0.54***</w:t>
            </w:r>
          </w:p>
        </w:tc>
        <w:tc>
          <w:tcPr>
            <w:tcW w:w="0" w:type="auto"/>
            <w:tcBorders>
              <w:top w:val="nil"/>
              <w:left w:val="nil"/>
              <w:bottom w:val="single" w:sz="4" w:space="0" w:color="auto"/>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0.54***</w:t>
            </w:r>
          </w:p>
        </w:tc>
        <w:tc>
          <w:tcPr>
            <w:tcW w:w="0" w:type="auto"/>
            <w:tcBorders>
              <w:top w:val="nil"/>
              <w:left w:val="nil"/>
              <w:bottom w:val="single" w:sz="4" w:space="0" w:color="auto"/>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0.01</w:t>
            </w:r>
          </w:p>
        </w:tc>
        <w:tc>
          <w:tcPr>
            <w:tcW w:w="907" w:type="dxa"/>
            <w:tcBorders>
              <w:top w:val="nil"/>
              <w:left w:val="nil"/>
              <w:bottom w:val="single" w:sz="4" w:space="0" w:color="auto"/>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0.08***</w:t>
            </w:r>
          </w:p>
        </w:tc>
        <w:tc>
          <w:tcPr>
            <w:tcW w:w="907" w:type="dxa"/>
            <w:tcBorders>
              <w:top w:val="nil"/>
              <w:left w:val="nil"/>
              <w:bottom w:val="single" w:sz="4" w:space="0" w:color="auto"/>
              <w:right w:val="nil"/>
            </w:tcBorders>
            <w:vAlign w:val="center"/>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-0.20***</w:t>
            </w:r>
          </w:p>
        </w:tc>
        <w:tc>
          <w:tcPr>
            <w:tcW w:w="907" w:type="dxa"/>
            <w:tcBorders>
              <w:top w:val="nil"/>
              <w:left w:val="nil"/>
              <w:bottom w:val="single" w:sz="4" w:space="0" w:color="auto"/>
              <w:right w:val="nil"/>
            </w:tcBorders>
            <w:vAlign w:val="center"/>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0.23***</w:t>
            </w:r>
          </w:p>
        </w:tc>
      </w:tr>
    </w:tbl>
    <w:p w:rsidR="00583BD3" w:rsidRPr="00F16C06" w:rsidRDefault="00583BD3" w:rsidP="00583BD3">
      <w:pPr>
        <w:rPr>
          <w:rFonts w:ascii="Garamond" w:eastAsiaTheme="minorEastAsia" w:hAnsi="Garamond" w:cs="Calibri"/>
          <w:color w:val="000000"/>
          <w:sz w:val="10"/>
          <w:szCs w:val="10"/>
          <w:lang w:val="en-US" w:eastAsia="zh-CN"/>
        </w:rPr>
      </w:pPr>
    </w:p>
    <w:tbl>
      <w:tblPr>
        <w:tblW w:w="9041" w:type="dxa"/>
        <w:tblLook w:val="04A0"/>
      </w:tblPr>
      <w:tblGrid>
        <w:gridCol w:w="2484"/>
        <w:gridCol w:w="876"/>
        <w:gridCol w:w="876"/>
        <w:gridCol w:w="813"/>
        <w:gridCol w:w="876"/>
        <w:gridCol w:w="876"/>
        <w:gridCol w:w="876"/>
        <w:gridCol w:w="813"/>
        <w:gridCol w:w="551"/>
      </w:tblGrid>
      <w:tr w:rsidR="00F8232A" w:rsidRPr="00583BD3" w:rsidTr="00F16C06">
        <w:trPr>
          <w:trHeight w:val="265"/>
        </w:trPr>
        <w:tc>
          <w:tcPr>
            <w:tcW w:w="0" w:type="auto"/>
            <w:tcBorders>
              <w:top w:val="single" w:sz="4" w:space="0" w:color="auto"/>
              <w:left w:val="nil"/>
              <w:bottom w:val="single" w:sz="4" w:space="0" w:color="auto"/>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single" w:sz="4" w:space="0" w:color="auto"/>
              <w:left w:val="nil"/>
              <w:bottom w:val="single" w:sz="4" w:space="0" w:color="auto"/>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color w:val="000000"/>
                <w:sz w:val="20"/>
                <w:szCs w:val="20"/>
              </w:rPr>
              <w:t>(14)</w:t>
            </w:r>
          </w:p>
        </w:tc>
        <w:tc>
          <w:tcPr>
            <w:tcW w:w="0" w:type="auto"/>
            <w:tcBorders>
              <w:top w:val="single" w:sz="4" w:space="0" w:color="auto"/>
              <w:left w:val="nil"/>
              <w:bottom w:val="single" w:sz="4" w:space="0" w:color="auto"/>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color w:val="000000"/>
                <w:sz w:val="20"/>
                <w:szCs w:val="20"/>
              </w:rPr>
              <w:t>(15)</w:t>
            </w:r>
          </w:p>
        </w:tc>
        <w:tc>
          <w:tcPr>
            <w:tcW w:w="0" w:type="auto"/>
            <w:tcBorders>
              <w:top w:val="single" w:sz="4" w:space="0" w:color="auto"/>
              <w:left w:val="nil"/>
              <w:bottom w:val="single" w:sz="4" w:space="0" w:color="auto"/>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color w:val="000000"/>
                <w:sz w:val="20"/>
                <w:szCs w:val="20"/>
              </w:rPr>
              <w:t>(16)</w:t>
            </w:r>
          </w:p>
        </w:tc>
        <w:tc>
          <w:tcPr>
            <w:tcW w:w="0" w:type="auto"/>
            <w:tcBorders>
              <w:top w:val="single" w:sz="4" w:space="0" w:color="auto"/>
              <w:left w:val="nil"/>
              <w:bottom w:val="single" w:sz="4" w:space="0" w:color="auto"/>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color w:val="000000"/>
                <w:sz w:val="20"/>
                <w:szCs w:val="20"/>
              </w:rPr>
              <w:t>(17)</w:t>
            </w:r>
          </w:p>
        </w:tc>
        <w:tc>
          <w:tcPr>
            <w:tcW w:w="0" w:type="auto"/>
            <w:tcBorders>
              <w:top w:val="single" w:sz="4" w:space="0" w:color="auto"/>
              <w:left w:val="nil"/>
              <w:bottom w:val="single" w:sz="4" w:space="0" w:color="auto"/>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color w:val="000000"/>
                <w:sz w:val="20"/>
                <w:szCs w:val="20"/>
              </w:rPr>
              <w:t>(18)</w:t>
            </w:r>
          </w:p>
        </w:tc>
        <w:tc>
          <w:tcPr>
            <w:tcW w:w="0" w:type="auto"/>
            <w:tcBorders>
              <w:top w:val="single" w:sz="4" w:space="0" w:color="auto"/>
              <w:left w:val="nil"/>
              <w:bottom w:val="single" w:sz="4" w:space="0" w:color="auto"/>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color w:val="000000"/>
                <w:sz w:val="20"/>
                <w:szCs w:val="20"/>
              </w:rPr>
              <w:t>(19)</w:t>
            </w:r>
          </w:p>
        </w:tc>
        <w:tc>
          <w:tcPr>
            <w:tcW w:w="0" w:type="auto"/>
            <w:tcBorders>
              <w:top w:val="single" w:sz="4" w:space="0" w:color="auto"/>
              <w:left w:val="nil"/>
              <w:bottom w:val="single" w:sz="4" w:space="0" w:color="auto"/>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color w:val="000000"/>
                <w:sz w:val="20"/>
                <w:szCs w:val="20"/>
              </w:rPr>
              <w:t>(20)</w:t>
            </w:r>
          </w:p>
        </w:tc>
        <w:tc>
          <w:tcPr>
            <w:tcW w:w="0" w:type="auto"/>
            <w:tcBorders>
              <w:top w:val="single" w:sz="4" w:space="0" w:color="auto"/>
              <w:left w:val="nil"/>
              <w:bottom w:val="single" w:sz="4" w:space="0" w:color="auto"/>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color w:val="000000"/>
                <w:sz w:val="20"/>
                <w:szCs w:val="20"/>
              </w:rPr>
              <w:t>(21)</w:t>
            </w:r>
          </w:p>
        </w:tc>
      </w:tr>
      <w:tr w:rsidR="00F8232A" w:rsidRPr="00583BD3" w:rsidTr="00F16C06">
        <w:trPr>
          <w:trHeight w:val="265"/>
        </w:trPr>
        <w:tc>
          <w:tcPr>
            <w:tcW w:w="0" w:type="auto"/>
            <w:tcBorders>
              <w:top w:val="single" w:sz="4" w:space="0" w:color="auto"/>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(14) Capital expenditure</w:t>
            </w:r>
          </w:p>
        </w:tc>
        <w:tc>
          <w:tcPr>
            <w:tcW w:w="0" w:type="auto"/>
            <w:tcBorders>
              <w:top w:val="single" w:sz="4" w:space="0" w:color="auto"/>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1.00</w:t>
            </w:r>
          </w:p>
        </w:tc>
        <w:tc>
          <w:tcPr>
            <w:tcW w:w="0" w:type="auto"/>
            <w:tcBorders>
              <w:top w:val="single" w:sz="4" w:space="0" w:color="auto"/>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single" w:sz="4" w:space="0" w:color="auto"/>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single" w:sz="4" w:space="0" w:color="auto"/>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single" w:sz="4" w:space="0" w:color="auto"/>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single" w:sz="4" w:space="0" w:color="auto"/>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single" w:sz="4" w:space="0" w:color="auto"/>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single" w:sz="4" w:space="0" w:color="auto"/>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r>
      <w:tr w:rsidR="00F8232A" w:rsidRPr="00583BD3" w:rsidTr="00F16C06">
        <w:trPr>
          <w:trHeight w:val="265"/>
        </w:trPr>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 xml:space="preserve">(15) </w:t>
            </w:r>
            <w:proofErr w:type="spellStart"/>
            <w:r w:rsidRPr="00583BD3">
              <w:rPr>
                <w:rFonts w:ascii="Garamond" w:hAnsi="Garamond" w:cs="Calibri" w:hint="eastAsia"/>
                <w:color w:val="000000"/>
                <w:sz w:val="20"/>
                <w:szCs w:val="20"/>
              </w:rPr>
              <w:t>Ln</w:t>
            </w:r>
            <w:proofErr w:type="spellEnd"/>
            <w:r w:rsidRPr="00583BD3">
              <w:rPr>
                <w:rFonts w:ascii="Garamond" w:hAnsi="Garamond" w:cs="Calibri" w:hint="eastAsia"/>
                <w:color w:val="000000"/>
                <w:sz w:val="20"/>
                <w:szCs w:val="20"/>
              </w:rPr>
              <w:t>(total assets)</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0.04***</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1.00</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r>
      <w:tr w:rsidR="00F8232A" w:rsidRPr="00583BD3" w:rsidTr="00F16C06">
        <w:trPr>
          <w:trHeight w:val="265"/>
        </w:trPr>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 xml:space="preserve">(16) </w:t>
            </w:r>
            <w:proofErr w:type="spellStart"/>
            <w:r w:rsidRPr="00583BD3">
              <w:rPr>
                <w:rFonts w:ascii="Garamond" w:hAnsi="Garamond" w:cs="Calibri" w:hint="eastAsia"/>
                <w:color w:val="000000"/>
                <w:sz w:val="20"/>
                <w:szCs w:val="20"/>
              </w:rPr>
              <w:t>Ln</w:t>
            </w:r>
            <w:proofErr w:type="spellEnd"/>
            <w:r w:rsidRPr="00583BD3">
              <w:rPr>
                <w:rFonts w:ascii="Garamond" w:hAnsi="Garamond" w:cs="Calibri" w:hint="eastAsia"/>
                <w:color w:val="000000"/>
                <w:sz w:val="20"/>
                <w:szCs w:val="20"/>
              </w:rPr>
              <w:t>(firm age)</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-0.07***</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0.40***</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1.00</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r>
      <w:tr w:rsidR="00F8232A" w:rsidRPr="00583BD3" w:rsidTr="00F16C06">
        <w:trPr>
          <w:trHeight w:val="265"/>
        </w:trPr>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(17) CFO British Dummy</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-0.03***</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-0.07***</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0.05***</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1.00</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r>
      <w:tr w:rsidR="00F8232A" w:rsidRPr="00583BD3" w:rsidTr="00F16C06">
        <w:trPr>
          <w:trHeight w:val="265"/>
        </w:trPr>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 xml:space="preserve">(18) </w:t>
            </w:r>
            <w:proofErr w:type="spellStart"/>
            <w:r w:rsidRPr="00583BD3">
              <w:rPr>
                <w:rFonts w:ascii="Garamond" w:hAnsi="Garamond" w:cs="Calibri" w:hint="eastAsia"/>
                <w:color w:val="000000"/>
                <w:sz w:val="20"/>
                <w:szCs w:val="20"/>
              </w:rPr>
              <w:t>Ln</w:t>
            </w:r>
            <w:proofErr w:type="spellEnd"/>
            <w:r w:rsidRPr="00583BD3">
              <w:rPr>
                <w:rFonts w:ascii="Garamond" w:hAnsi="Garamond" w:cs="Calibri" w:hint="eastAsia"/>
                <w:color w:val="000000"/>
                <w:sz w:val="20"/>
                <w:szCs w:val="20"/>
              </w:rPr>
              <w:t>(CFO tenure)</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0.02</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0.10***</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0.28***</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0.04***</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1.00</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r>
      <w:tr w:rsidR="00F8232A" w:rsidRPr="00583BD3" w:rsidTr="00F16C06">
        <w:trPr>
          <w:trHeight w:val="265"/>
        </w:trPr>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 xml:space="preserve">(19) </w:t>
            </w:r>
            <w:proofErr w:type="spellStart"/>
            <w:r w:rsidRPr="00583BD3">
              <w:rPr>
                <w:rFonts w:ascii="Garamond" w:hAnsi="Garamond" w:cs="Calibri" w:hint="eastAsia"/>
                <w:color w:val="000000"/>
                <w:sz w:val="20"/>
                <w:szCs w:val="20"/>
              </w:rPr>
              <w:t>Ln</w:t>
            </w:r>
            <w:proofErr w:type="spellEnd"/>
            <w:r w:rsidRPr="00583BD3">
              <w:rPr>
                <w:rFonts w:ascii="Garamond" w:hAnsi="Garamond" w:cs="Calibri" w:hint="eastAsia"/>
                <w:color w:val="000000"/>
                <w:sz w:val="20"/>
                <w:szCs w:val="20"/>
              </w:rPr>
              <w:t>(CFO age)</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-0.03**</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0.11***</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0.17***</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-0.03***</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0.32***</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1.00</w:t>
            </w: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c>
          <w:tcPr>
            <w:tcW w:w="0" w:type="auto"/>
            <w:tcBorders>
              <w:top w:val="nil"/>
              <w:left w:val="nil"/>
              <w:bottom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r>
      <w:tr w:rsidR="00F8232A" w:rsidRPr="00583BD3" w:rsidTr="00F16C06">
        <w:trPr>
          <w:trHeight w:val="265"/>
        </w:trPr>
        <w:tc>
          <w:tcPr>
            <w:tcW w:w="0" w:type="auto"/>
            <w:tcBorders>
              <w:top w:val="nil"/>
              <w:left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 xml:space="preserve">(20) </w:t>
            </w:r>
            <w:proofErr w:type="spellStart"/>
            <w:r w:rsidRPr="00583BD3">
              <w:rPr>
                <w:rFonts w:ascii="Garamond" w:hAnsi="Garamond" w:cs="Calibri" w:hint="eastAsia"/>
                <w:color w:val="000000"/>
                <w:sz w:val="20"/>
                <w:szCs w:val="20"/>
              </w:rPr>
              <w:t>Ln</w:t>
            </w:r>
            <w:proofErr w:type="spellEnd"/>
            <w:r w:rsidRPr="00583BD3">
              <w:rPr>
                <w:rFonts w:ascii="Garamond" w:hAnsi="Garamond" w:cs="Calibri" w:hint="eastAsia"/>
                <w:color w:val="000000"/>
                <w:sz w:val="20"/>
                <w:szCs w:val="20"/>
              </w:rPr>
              <w:t>(CFO network size)</w:t>
            </w:r>
          </w:p>
        </w:tc>
        <w:tc>
          <w:tcPr>
            <w:tcW w:w="0" w:type="auto"/>
            <w:tcBorders>
              <w:top w:val="nil"/>
              <w:left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-0.06***</w:t>
            </w:r>
          </w:p>
        </w:tc>
        <w:tc>
          <w:tcPr>
            <w:tcW w:w="0" w:type="auto"/>
            <w:tcBorders>
              <w:top w:val="nil"/>
              <w:left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0.20***</w:t>
            </w:r>
          </w:p>
        </w:tc>
        <w:tc>
          <w:tcPr>
            <w:tcW w:w="0" w:type="auto"/>
            <w:tcBorders>
              <w:top w:val="nil"/>
              <w:left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0.06***</w:t>
            </w:r>
          </w:p>
        </w:tc>
        <w:tc>
          <w:tcPr>
            <w:tcW w:w="0" w:type="auto"/>
            <w:tcBorders>
              <w:top w:val="nil"/>
              <w:left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0.08***</w:t>
            </w:r>
          </w:p>
        </w:tc>
        <w:tc>
          <w:tcPr>
            <w:tcW w:w="0" w:type="auto"/>
            <w:tcBorders>
              <w:top w:val="nil"/>
              <w:left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-0.07***</w:t>
            </w:r>
          </w:p>
        </w:tc>
        <w:tc>
          <w:tcPr>
            <w:tcW w:w="0" w:type="auto"/>
            <w:tcBorders>
              <w:top w:val="nil"/>
              <w:left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-0.16***</w:t>
            </w:r>
          </w:p>
        </w:tc>
        <w:tc>
          <w:tcPr>
            <w:tcW w:w="0" w:type="auto"/>
            <w:tcBorders>
              <w:top w:val="nil"/>
              <w:left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1.00</w:t>
            </w:r>
          </w:p>
        </w:tc>
        <w:tc>
          <w:tcPr>
            <w:tcW w:w="0" w:type="auto"/>
            <w:tcBorders>
              <w:top w:val="nil"/>
              <w:left w:val="nil"/>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p>
        </w:tc>
      </w:tr>
      <w:tr w:rsidR="00F8232A" w:rsidRPr="00583BD3" w:rsidTr="00F16C06">
        <w:trPr>
          <w:trHeight w:val="265"/>
        </w:trPr>
        <w:tc>
          <w:tcPr>
            <w:tcW w:w="0" w:type="auto"/>
            <w:tcBorders>
              <w:top w:val="nil"/>
              <w:left w:val="nil"/>
              <w:bottom w:val="single" w:sz="4" w:space="0" w:color="auto"/>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 xml:space="preserve">(21) </w:t>
            </w:r>
            <w:proofErr w:type="spellStart"/>
            <w:r w:rsidRPr="00583BD3">
              <w:rPr>
                <w:rFonts w:ascii="Garamond" w:hAnsi="Garamond" w:cs="Calibri" w:hint="eastAsia"/>
                <w:color w:val="000000"/>
                <w:sz w:val="20"/>
                <w:szCs w:val="20"/>
              </w:rPr>
              <w:t>Ln</w:t>
            </w:r>
            <w:proofErr w:type="spellEnd"/>
            <w:r w:rsidRPr="00583BD3">
              <w:rPr>
                <w:rFonts w:ascii="Garamond" w:hAnsi="Garamond" w:cs="Calibri" w:hint="eastAsia"/>
                <w:color w:val="000000"/>
                <w:sz w:val="20"/>
                <w:szCs w:val="20"/>
              </w:rPr>
              <w:t>(CFO compensation)</w:t>
            </w:r>
          </w:p>
        </w:tc>
        <w:tc>
          <w:tcPr>
            <w:tcW w:w="0" w:type="auto"/>
            <w:tcBorders>
              <w:top w:val="nil"/>
              <w:left w:val="nil"/>
              <w:bottom w:val="single" w:sz="4" w:space="0" w:color="auto"/>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0.00</w:t>
            </w:r>
          </w:p>
        </w:tc>
        <w:tc>
          <w:tcPr>
            <w:tcW w:w="0" w:type="auto"/>
            <w:tcBorders>
              <w:top w:val="nil"/>
              <w:left w:val="nil"/>
              <w:bottom w:val="single" w:sz="4" w:space="0" w:color="auto"/>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0.79***</w:t>
            </w:r>
          </w:p>
        </w:tc>
        <w:tc>
          <w:tcPr>
            <w:tcW w:w="0" w:type="auto"/>
            <w:tcBorders>
              <w:top w:val="nil"/>
              <w:left w:val="nil"/>
              <w:bottom w:val="single" w:sz="4" w:space="0" w:color="auto"/>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0.34***</w:t>
            </w:r>
          </w:p>
        </w:tc>
        <w:tc>
          <w:tcPr>
            <w:tcW w:w="0" w:type="auto"/>
            <w:tcBorders>
              <w:top w:val="nil"/>
              <w:left w:val="nil"/>
              <w:bottom w:val="single" w:sz="4" w:space="0" w:color="auto"/>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-0.03**</w:t>
            </w:r>
          </w:p>
        </w:tc>
        <w:tc>
          <w:tcPr>
            <w:tcW w:w="0" w:type="auto"/>
            <w:tcBorders>
              <w:top w:val="nil"/>
              <w:left w:val="nil"/>
              <w:bottom w:val="single" w:sz="4" w:space="0" w:color="auto"/>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0.22***</w:t>
            </w:r>
          </w:p>
        </w:tc>
        <w:tc>
          <w:tcPr>
            <w:tcW w:w="0" w:type="auto"/>
            <w:tcBorders>
              <w:top w:val="nil"/>
              <w:left w:val="nil"/>
              <w:bottom w:val="single" w:sz="4" w:space="0" w:color="auto"/>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0.13***</w:t>
            </w:r>
          </w:p>
        </w:tc>
        <w:tc>
          <w:tcPr>
            <w:tcW w:w="0" w:type="auto"/>
            <w:tcBorders>
              <w:top w:val="nil"/>
              <w:left w:val="nil"/>
              <w:bottom w:val="single" w:sz="4" w:space="0" w:color="auto"/>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0.20***</w:t>
            </w:r>
          </w:p>
        </w:tc>
        <w:tc>
          <w:tcPr>
            <w:tcW w:w="0" w:type="auto"/>
            <w:tcBorders>
              <w:top w:val="nil"/>
              <w:left w:val="nil"/>
              <w:bottom w:val="single" w:sz="4" w:space="0" w:color="auto"/>
              <w:right w:val="nil"/>
            </w:tcBorders>
            <w:shd w:val="clear" w:color="auto" w:fill="auto"/>
            <w:noWrap/>
            <w:vAlign w:val="center"/>
            <w:hideMark/>
          </w:tcPr>
          <w:p w:rsidR="00F8232A" w:rsidRPr="00583BD3" w:rsidRDefault="00F8232A" w:rsidP="00F8232A">
            <w:pPr>
              <w:rPr>
                <w:rFonts w:ascii="Garamond" w:hAnsi="Garamond" w:cs="Calibri"/>
                <w:color w:val="000000"/>
                <w:sz w:val="20"/>
                <w:szCs w:val="20"/>
              </w:rPr>
            </w:pPr>
            <w:r w:rsidRPr="00583BD3">
              <w:rPr>
                <w:rFonts w:ascii="Garamond" w:hAnsi="Garamond" w:cs="Calibri" w:hint="eastAsia"/>
                <w:color w:val="000000"/>
                <w:sz w:val="20"/>
                <w:szCs w:val="20"/>
              </w:rPr>
              <w:t>1.00</w:t>
            </w:r>
          </w:p>
        </w:tc>
      </w:tr>
    </w:tbl>
    <w:p w:rsidR="001B4644" w:rsidRDefault="001B4644" w:rsidP="00583BD3">
      <w:pPr>
        <w:rPr>
          <w:rFonts w:ascii="Garamond" w:eastAsiaTheme="minorEastAsia" w:hAnsi="Garamond" w:cs="Calibri"/>
          <w:color w:val="000000"/>
          <w:sz w:val="20"/>
          <w:szCs w:val="20"/>
          <w:lang w:val="en-US" w:eastAsia="zh-CN"/>
        </w:rPr>
      </w:pPr>
    </w:p>
    <w:sectPr w:rsidR="001B4644" w:rsidSect="00583BD3">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A3A" w:rsidRDefault="00C21A3A" w:rsidP="000D73E2">
      <w:r>
        <w:separator/>
      </w:r>
    </w:p>
  </w:endnote>
  <w:endnote w:type="continuationSeparator" w:id="0">
    <w:p w:rsidR="00C21A3A" w:rsidRDefault="00C21A3A" w:rsidP="000D73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panose1 w:val="00000000000000000000"/>
    <w:charset w:val="00"/>
    <w:family w:val="roman"/>
    <w:notTrueType/>
    <w:pitch w:val="default"/>
    <w:sig w:usb0="00000000" w:usb1="00000000" w:usb2="00000000" w:usb3="00000000" w:csb0="000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Pr>
      <w:id w:val="-330061377"/>
      <w:docPartObj>
        <w:docPartGallery w:val="Page Numbers (Bottom of Page)"/>
        <w:docPartUnique/>
      </w:docPartObj>
    </w:sdtPr>
    <w:sdtContent>
      <w:p w:rsidR="00A33204" w:rsidRDefault="00583570" w:rsidP="00220E9A">
        <w:pPr>
          <w:pStyle w:val="a4"/>
          <w:framePr w:wrap="none" w:vAnchor="text" w:hAnchor="margin" w:xAlign="right" w:y="1"/>
          <w:rPr>
            <w:rStyle w:val="a5"/>
          </w:rPr>
        </w:pPr>
        <w:r>
          <w:rPr>
            <w:rStyle w:val="a5"/>
          </w:rPr>
          <w:fldChar w:fldCharType="begin"/>
        </w:r>
        <w:r w:rsidR="00A33204">
          <w:rPr>
            <w:rStyle w:val="a5"/>
          </w:rPr>
          <w:instrText xml:space="preserve"> PAGE </w:instrText>
        </w:r>
        <w:r>
          <w:rPr>
            <w:rStyle w:val="a5"/>
          </w:rPr>
          <w:fldChar w:fldCharType="end"/>
        </w:r>
      </w:p>
    </w:sdtContent>
  </w:sdt>
  <w:p w:rsidR="00A33204" w:rsidRDefault="00A33204" w:rsidP="000D73E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Pr>
      <w:id w:val="1475492559"/>
      <w:docPartObj>
        <w:docPartGallery w:val="Page Numbers (Bottom of Page)"/>
        <w:docPartUnique/>
      </w:docPartObj>
    </w:sdtPr>
    <w:sdtEndPr>
      <w:rPr>
        <w:rStyle w:val="a5"/>
        <w:rFonts w:ascii="Garamond" w:hAnsi="Garamond"/>
        <w:sz w:val="20"/>
      </w:rPr>
    </w:sdtEndPr>
    <w:sdtContent>
      <w:p w:rsidR="00A33204" w:rsidRPr="000D73E2" w:rsidRDefault="00583570" w:rsidP="00220E9A">
        <w:pPr>
          <w:pStyle w:val="a4"/>
          <w:framePr w:wrap="none" w:vAnchor="text" w:hAnchor="margin" w:xAlign="right" w:y="1"/>
          <w:rPr>
            <w:rStyle w:val="a5"/>
            <w:rFonts w:ascii="Garamond" w:hAnsi="Garamond"/>
            <w:sz w:val="20"/>
          </w:rPr>
        </w:pPr>
        <w:r w:rsidRPr="000D73E2">
          <w:rPr>
            <w:rStyle w:val="a5"/>
            <w:rFonts w:ascii="Garamond" w:hAnsi="Garamond"/>
            <w:sz w:val="20"/>
          </w:rPr>
          <w:fldChar w:fldCharType="begin"/>
        </w:r>
        <w:r w:rsidR="00A33204" w:rsidRPr="000D73E2">
          <w:rPr>
            <w:rStyle w:val="a5"/>
            <w:rFonts w:ascii="Garamond" w:hAnsi="Garamond"/>
            <w:sz w:val="20"/>
          </w:rPr>
          <w:instrText xml:space="preserve"> PAGE </w:instrText>
        </w:r>
        <w:r w:rsidRPr="000D73E2">
          <w:rPr>
            <w:rStyle w:val="a5"/>
            <w:rFonts w:ascii="Garamond" w:hAnsi="Garamond"/>
            <w:sz w:val="20"/>
          </w:rPr>
          <w:fldChar w:fldCharType="separate"/>
        </w:r>
        <w:r w:rsidR="005C79DF">
          <w:rPr>
            <w:rStyle w:val="a5"/>
            <w:rFonts w:ascii="Garamond" w:hAnsi="Garamond"/>
            <w:noProof/>
            <w:sz w:val="20"/>
          </w:rPr>
          <w:t>1</w:t>
        </w:r>
        <w:r w:rsidRPr="000D73E2">
          <w:rPr>
            <w:rStyle w:val="a5"/>
            <w:rFonts w:ascii="Garamond" w:hAnsi="Garamond"/>
            <w:sz w:val="20"/>
          </w:rPr>
          <w:fldChar w:fldCharType="end"/>
        </w:r>
      </w:p>
    </w:sdtContent>
  </w:sdt>
  <w:p w:rsidR="00A33204" w:rsidRDefault="00A33204" w:rsidP="000D73E2">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Pr>
      <w:id w:val="-1808549088"/>
      <w:docPartObj>
        <w:docPartGallery w:val="Page Numbers (Bottom of Page)"/>
        <w:docPartUnique/>
      </w:docPartObj>
    </w:sdtPr>
    <w:sdtContent>
      <w:p w:rsidR="00A33204" w:rsidRDefault="00583570" w:rsidP="00220E9A">
        <w:pPr>
          <w:pStyle w:val="a4"/>
          <w:framePr w:wrap="none" w:vAnchor="text" w:hAnchor="margin" w:xAlign="right" w:y="1"/>
          <w:rPr>
            <w:rStyle w:val="a5"/>
          </w:rPr>
        </w:pPr>
        <w:r>
          <w:rPr>
            <w:rStyle w:val="a5"/>
          </w:rPr>
          <w:fldChar w:fldCharType="begin"/>
        </w:r>
        <w:r w:rsidR="00A33204">
          <w:rPr>
            <w:rStyle w:val="a5"/>
          </w:rPr>
          <w:instrText xml:space="preserve"> PAGE </w:instrText>
        </w:r>
        <w:r>
          <w:rPr>
            <w:rStyle w:val="a5"/>
          </w:rPr>
          <w:fldChar w:fldCharType="end"/>
        </w:r>
      </w:p>
    </w:sdtContent>
  </w:sdt>
  <w:p w:rsidR="00A33204" w:rsidRDefault="00A33204" w:rsidP="000D73E2">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Pr>
      <w:id w:val="584653728"/>
      <w:docPartObj>
        <w:docPartGallery w:val="Page Numbers (Bottom of Page)"/>
        <w:docPartUnique/>
      </w:docPartObj>
    </w:sdtPr>
    <w:sdtEndPr>
      <w:rPr>
        <w:rStyle w:val="a5"/>
        <w:rFonts w:ascii="Garamond" w:hAnsi="Garamond"/>
        <w:sz w:val="20"/>
      </w:rPr>
    </w:sdtEndPr>
    <w:sdtContent>
      <w:p w:rsidR="00A33204" w:rsidRPr="000D73E2" w:rsidRDefault="00583570" w:rsidP="00220E9A">
        <w:pPr>
          <w:pStyle w:val="a4"/>
          <w:framePr w:wrap="none" w:vAnchor="text" w:hAnchor="margin" w:xAlign="right" w:y="1"/>
          <w:rPr>
            <w:rStyle w:val="a5"/>
            <w:rFonts w:ascii="Garamond" w:hAnsi="Garamond"/>
            <w:sz w:val="20"/>
          </w:rPr>
        </w:pPr>
        <w:r w:rsidRPr="000D73E2">
          <w:rPr>
            <w:rStyle w:val="a5"/>
            <w:rFonts w:ascii="Garamond" w:hAnsi="Garamond"/>
            <w:sz w:val="20"/>
          </w:rPr>
          <w:fldChar w:fldCharType="begin"/>
        </w:r>
        <w:r w:rsidR="00A33204" w:rsidRPr="000D73E2">
          <w:rPr>
            <w:rStyle w:val="a5"/>
            <w:rFonts w:ascii="Garamond" w:hAnsi="Garamond"/>
            <w:sz w:val="20"/>
          </w:rPr>
          <w:instrText xml:space="preserve"> PAGE </w:instrText>
        </w:r>
        <w:r w:rsidRPr="000D73E2">
          <w:rPr>
            <w:rStyle w:val="a5"/>
            <w:rFonts w:ascii="Garamond" w:hAnsi="Garamond"/>
            <w:sz w:val="20"/>
          </w:rPr>
          <w:fldChar w:fldCharType="separate"/>
        </w:r>
        <w:r w:rsidR="0050725C">
          <w:rPr>
            <w:rStyle w:val="a5"/>
            <w:rFonts w:ascii="Garamond" w:hAnsi="Garamond"/>
            <w:noProof/>
            <w:sz w:val="20"/>
          </w:rPr>
          <w:t>53</w:t>
        </w:r>
        <w:r w:rsidRPr="000D73E2">
          <w:rPr>
            <w:rStyle w:val="a5"/>
            <w:rFonts w:ascii="Garamond" w:hAnsi="Garamond"/>
            <w:sz w:val="20"/>
          </w:rPr>
          <w:fldChar w:fldCharType="end"/>
        </w:r>
      </w:p>
    </w:sdtContent>
  </w:sdt>
  <w:p w:rsidR="00A33204" w:rsidRDefault="00A33204" w:rsidP="000D73E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A3A" w:rsidRDefault="00C21A3A" w:rsidP="000D73E2">
      <w:r>
        <w:separator/>
      </w:r>
    </w:p>
  </w:footnote>
  <w:footnote w:type="continuationSeparator" w:id="0">
    <w:p w:rsidR="00C21A3A" w:rsidRDefault="00C21A3A" w:rsidP="000D73E2">
      <w:r>
        <w:continuationSeparator/>
      </w:r>
    </w:p>
  </w:footnote>
  <w:footnote w:id="1">
    <w:p w:rsidR="00A33204" w:rsidRDefault="00A33204" w:rsidP="00DB0821">
      <w:pPr>
        <w:pStyle w:val="a8"/>
        <w:jc w:val="both"/>
      </w:pPr>
      <w:r w:rsidRPr="00647318">
        <w:rPr>
          <w:rStyle w:val="a9"/>
        </w:rPr>
        <w:footnoteRef/>
      </w:r>
      <w:r w:rsidRPr="00647318">
        <w:t xml:space="preserve"> </w:t>
      </w:r>
      <w:r w:rsidRPr="009B4C46">
        <w:rPr>
          <w:rFonts w:ascii="Garamond" w:hAnsi="Garamond"/>
        </w:rPr>
        <w:t xml:space="preserve">As stated by </w:t>
      </w:r>
      <w:proofErr w:type="spellStart"/>
      <w:r w:rsidRPr="009B4C46">
        <w:rPr>
          <w:rFonts w:ascii="Garamond" w:hAnsi="Garamond"/>
        </w:rPr>
        <w:t>Hambrick</w:t>
      </w:r>
      <w:proofErr w:type="spellEnd"/>
      <w:r w:rsidRPr="009B4C46">
        <w:rPr>
          <w:rFonts w:ascii="Garamond" w:hAnsi="Garamond"/>
        </w:rPr>
        <w:t xml:space="preserve"> (2007), it is important to carefully match the corporate outcomes to the individual managers that are primarily responsible for them when testing if managerial characteristics, such as gender, matter.</w:t>
      </w:r>
    </w:p>
  </w:footnote>
  <w:footnote w:id="2">
    <w:p w:rsidR="00A33204" w:rsidRDefault="00A33204" w:rsidP="00DB0821">
      <w:pPr>
        <w:pStyle w:val="a8"/>
        <w:jc w:val="both"/>
      </w:pPr>
      <w:r>
        <w:rPr>
          <w:rStyle w:val="a9"/>
        </w:rPr>
        <w:footnoteRef/>
      </w:r>
      <w:r>
        <w:t xml:space="preserve"> </w:t>
      </w:r>
      <w:r w:rsidRPr="007D625E">
        <w:rPr>
          <w:rFonts w:ascii="Garamond" w:hAnsi="Garamond"/>
        </w:rPr>
        <w:t>A</w:t>
      </w:r>
      <w:r w:rsidRPr="00E93F75">
        <w:rPr>
          <w:rFonts w:ascii="Garamond" w:hAnsi="Garamond"/>
        </w:rPr>
        <w:t xml:space="preserve"> growing</w:t>
      </w:r>
      <w:r>
        <w:rPr>
          <w:rFonts w:ascii="Garamond" w:hAnsi="Garamond"/>
        </w:rPr>
        <w:t xml:space="preserve"> literature shows that corporate managers align their personal debt preferences with those of the firm (</w:t>
      </w:r>
      <w:proofErr w:type="spellStart"/>
      <w:r>
        <w:rPr>
          <w:rFonts w:ascii="Garamond" w:hAnsi="Garamond"/>
        </w:rPr>
        <w:t>Cronqvist</w:t>
      </w:r>
      <w:proofErr w:type="spellEnd"/>
      <w:r>
        <w:rPr>
          <w:rFonts w:ascii="Garamond" w:hAnsi="Garamond"/>
        </w:rPr>
        <w:t xml:space="preserve"> et al., 2012; </w:t>
      </w:r>
      <w:proofErr w:type="spellStart"/>
      <w:r>
        <w:rPr>
          <w:rFonts w:ascii="Garamond" w:hAnsi="Garamond"/>
        </w:rPr>
        <w:t>Korkeamäki</w:t>
      </w:r>
      <w:proofErr w:type="spellEnd"/>
      <w:r>
        <w:rPr>
          <w:rFonts w:ascii="Garamond" w:hAnsi="Garamond"/>
        </w:rPr>
        <w:t xml:space="preserve"> et al., 2017), but these studies do not explicitly test for gender effects. The relevance of managerial preferences for firms’ capital structure is in line with survey evidence of UK CFOs who state that company’s senior management ranks as the most important driver of capital structure targets (Beattie et al., 2006).</w:t>
      </w:r>
    </w:p>
  </w:footnote>
  <w:footnote w:id="3">
    <w:p w:rsidR="00A33204" w:rsidRPr="00AB1D34" w:rsidRDefault="00A33204" w:rsidP="00DB0821">
      <w:pPr>
        <w:pStyle w:val="a8"/>
        <w:jc w:val="both"/>
        <w:rPr>
          <w:rFonts w:ascii="Garamond" w:hAnsi="Garamond"/>
        </w:rPr>
      </w:pPr>
      <w:r w:rsidRPr="00AB1D34">
        <w:rPr>
          <w:rStyle w:val="a9"/>
          <w:rFonts w:ascii="Garamond" w:hAnsi="Garamond"/>
        </w:rPr>
        <w:footnoteRef/>
      </w:r>
      <w:r w:rsidRPr="00AB1D34">
        <w:rPr>
          <w:rFonts w:ascii="Garamond" w:hAnsi="Garamond"/>
        </w:rPr>
        <w:t xml:space="preserve"> In our sample, female representation is 5.38% amongst CFOs and only 2.47% amo</w:t>
      </w:r>
      <w:r>
        <w:rPr>
          <w:rFonts w:ascii="Garamond" w:hAnsi="Garamond"/>
        </w:rPr>
        <w:t>ngst CEOs.</w:t>
      </w:r>
    </w:p>
  </w:footnote>
  <w:footnote w:id="4">
    <w:p w:rsidR="00A33204" w:rsidRDefault="00A33204" w:rsidP="00FD151D">
      <w:pPr>
        <w:pStyle w:val="a8"/>
        <w:jc w:val="both"/>
      </w:pPr>
      <w:r>
        <w:rPr>
          <w:rStyle w:val="a9"/>
        </w:rPr>
        <w:footnoteRef/>
      </w:r>
      <w:r>
        <w:t xml:space="preserve"> </w:t>
      </w:r>
      <w:r>
        <w:rPr>
          <w:rFonts w:ascii="Garamond" w:hAnsi="Garamond"/>
        </w:rPr>
        <w:t xml:space="preserve">See Parsons and Titman </w:t>
      </w:r>
      <w:r w:rsidR="000A66BA">
        <w:rPr>
          <w:rFonts w:ascii="Garamond" w:hAnsi="Garamond"/>
        </w:rPr>
        <w:t>(</w:t>
      </w:r>
      <w:r>
        <w:rPr>
          <w:rFonts w:ascii="Garamond" w:hAnsi="Garamond"/>
        </w:rPr>
        <w:t>2008</w:t>
      </w:r>
      <w:r w:rsidR="000A66BA">
        <w:rPr>
          <w:rFonts w:ascii="Garamond" w:hAnsi="Garamond"/>
        </w:rPr>
        <w:t>)</w:t>
      </w:r>
      <w:r>
        <w:rPr>
          <w:rFonts w:ascii="Garamond" w:hAnsi="Garamond"/>
        </w:rPr>
        <w:t xml:space="preserve"> for an overview of the capital structure literature with a separate section on the effect of managerial characteristics on firms’ leverage.</w:t>
      </w:r>
    </w:p>
  </w:footnote>
  <w:footnote w:id="5">
    <w:p w:rsidR="00A33204" w:rsidRDefault="00A33204">
      <w:pPr>
        <w:pStyle w:val="a7"/>
        <w:spacing w:before="0" w:beforeAutospacing="0" w:after="0" w:afterAutospacing="0"/>
        <w:jc w:val="both"/>
        <w:rPr>
          <w:rFonts w:ascii="Garamond" w:hAnsi="Garamond"/>
        </w:rPr>
      </w:pPr>
      <w:r w:rsidRPr="002F166F">
        <w:rPr>
          <w:rStyle w:val="a9"/>
          <w:rFonts w:ascii="Garamond" w:hAnsi="Garamond"/>
          <w:sz w:val="20"/>
          <w:szCs w:val="20"/>
        </w:rPr>
        <w:footnoteRef/>
      </w:r>
      <w:r w:rsidRPr="002F166F">
        <w:rPr>
          <w:rFonts w:ascii="Garamond" w:hAnsi="Garamond"/>
          <w:sz w:val="20"/>
          <w:szCs w:val="20"/>
        </w:rPr>
        <w:t xml:space="preserve"> </w:t>
      </w:r>
      <w:proofErr w:type="spellStart"/>
      <w:r w:rsidRPr="00BE6317">
        <w:rPr>
          <w:rFonts w:ascii="Garamond" w:hAnsi="Garamond"/>
          <w:sz w:val="20"/>
          <w:szCs w:val="20"/>
        </w:rPr>
        <w:t>BoardEx</w:t>
      </w:r>
      <w:proofErr w:type="spellEnd"/>
      <w:r w:rsidRPr="00BE6317">
        <w:rPr>
          <w:rFonts w:ascii="Garamond" w:hAnsi="Garamond"/>
          <w:sz w:val="20"/>
          <w:szCs w:val="20"/>
        </w:rPr>
        <w:t xml:space="preserve"> is a popular source for data on CEOs and has been used in recent papers such as </w:t>
      </w:r>
      <w:proofErr w:type="spellStart"/>
      <w:r w:rsidRPr="00BE6317">
        <w:rPr>
          <w:rFonts w:ascii="Garamond" w:hAnsi="Garamond"/>
          <w:sz w:val="20"/>
          <w:szCs w:val="20"/>
        </w:rPr>
        <w:t>Florackis</w:t>
      </w:r>
      <w:proofErr w:type="spellEnd"/>
      <w:r w:rsidRPr="00BE6317">
        <w:rPr>
          <w:rFonts w:ascii="Garamond" w:hAnsi="Garamond"/>
          <w:sz w:val="20"/>
          <w:szCs w:val="20"/>
        </w:rPr>
        <w:t xml:space="preserve"> and </w:t>
      </w:r>
      <w:proofErr w:type="spellStart"/>
      <w:r w:rsidRPr="00BE6317">
        <w:rPr>
          <w:rFonts w:ascii="Garamond" w:hAnsi="Garamond"/>
          <w:sz w:val="20"/>
          <w:szCs w:val="20"/>
        </w:rPr>
        <w:t>Sainani</w:t>
      </w:r>
      <w:proofErr w:type="spellEnd"/>
      <w:r w:rsidRPr="00BE6317">
        <w:rPr>
          <w:rFonts w:ascii="Garamond" w:hAnsi="Garamond"/>
          <w:sz w:val="20"/>
          <w:szCs w:val="20"/>
        </w:rPr>
        <w:t xml:space="preserve"> (2018) and </w:t>
      </w:r>
      <w:proofErr w:type="spellStart"/>
      <w:r w:rsidRPr="00BE6317">
        <w:rPr>
          <w:rFonts w:ascii="Garamond" w:hAnsi="Garamond"/>
          <w:sz w:val="20"/>
          <w:szCs w:val="20"/>
        </w:rPr>
        <w:t>Conyon</w:t>
      </w:r>
      <w:proofErr w:type="spellEnd"/>
      <w:r w:rsidRPr="00BE6317">
        <w:rPr>
          <w:rFonts w:ascii="Garamond" w:hAnsi="Garamond"/>
          <w:sz w:val="20"/>
          <w:szCs w:val="20"/>
        </w:rPr>
        <w:t xml:space="preserve"> et al. (2019), for example. </w:t>
      </w:r>
    </w:p>
  </w:footnote>
  <w:footnote w:id="6">
    <w:p w:rsidR="00A33204" w:rsidRDefault="00A33204">
      <w:pPr>
        <w:pStyle w:val="a8"/>
        <w:jc w:val="both"/>
      </w:pPr>
      <w:r w:rsidRPr="002F166F">
        <w:rPr>
          <w:rStyle w:val="a9"/>
          <w:rFonts w:ascii="Garamond" w:hAnsi="Garamond"/>
        </w:rPr>
        <w:footnoteRef/>
      </w:r>
      <w:r w:rsidRPr="002F166F">
        <w:rPr>
          <w:rFonts w:ascii="Garamond" w:hAnsi="Garamond"/>
        </w:rPr>
        <w:t xml:space="preserve"> We also re-estimate our main analysis where we include financial and utility firms and do not </w:t>
      </w:r>
      <w:proofErr w:type="spellStart"/>
      <w:r w:rsidRPr="002F166F">
        <w:rPr>
          <w:rFonts w:ascii="Garamond" w:hAnsi="Garamond"/>
        </w:rPr>
        <w:t>winsorise</w:t>
      </w:r>
      <w:proofErr w:type="spellEnd"/>
      <w:r w:rsidRPr="002F166F">
        <w:rPr>
          <w:rFonts w:ascii="Garamond" w:hAnsi="Garamond"/>
        </w:rPr>
        <w:t xml:space="preserve"> our continuous variables and our results remain consistent.</w:t>
      </w:r>
      <w:r>
        <w:t xml:space="preserve"> </w:t>
      </w:r>
    </w:p>
  </w:footnote>
  <w:footnote w:id="7">
    <w:p w:rsidR="00A33204" w:rsidRPr="00712EE7" w:rsidRDefault="00A33204" w:rsidP="00712EE7">
      <w:pPr>
        <w:pStyle w:val="a8"/>
        <w:jc w:val="both"/>
        <w:rPr>
          <w:rFonts w:ascii="Garamond" w:hAnsi="Garamond"/>
        </w:rPr>
      </w:pPr>
      <w:r w:rsidRPr="00712EE7">
        <w:rPr>
          <w:rStyle w:val="a9"/>
          <w:rFonts w:ascii="Garamond" w:hAnsi="Garamond"/>
        </w:rPr>
        <w:footnoteRef/>
      </w:r>
      <w:r w:rsidRPr="00712EE7">
        <w:rPr>
          <w:rFonts w:ascii="Garamond" w:hAnsi="Garamond"/>
        </w:rPr>
        <w:t xml:space="preserve"> As noted by </w:t>
      </w:r>
      <w:proofErr w:type="spellStart"/>
      <w:r w:rsidRPr="00712EE7">
        <w:rPr>
          <w:rFonts w:ascii="Garamond" w:hAnsi="Garamond"/>
        </w:rPr>
        <w:t>Florackis</w:t>
      </w:r>
      <w:proofErr w:type="spellEnd"/>
      <w:r w:rsidRPr="00712EE7">
        <w:rPr>
          <w:rFonts w:ascii="Garamond" w:hAnsi="Garamond"/>
        </w:rPr>
        <w:t xml:space="preserve"> and </w:t>
      </w:r>
      <w:proofErr w:type="spellStart"/>
      <w:r w:rsidRPr="00712EE7">
        <w:rPr>
          <w:rFonts w:ascii="Garamond" w:hAnsi="Garamond"/>
        </w:rPr>
        <w:t>Sainani</w:t>
      </w:r>
      <w:proofErr w:type="spellEnd"/>
      <w:r w:rsidRPr="00712EE7">
        <w:rPr>
          <w:rFonts w:ascii="Garamond" w:hAnsi="Garamond"/>
        </w:rPr>
        <w:t xml:space="preserve"> (2018</w:t>
      </w:r>
      <w:r>
        <w:rPr>
          <w:rFonts w:ascii="Garamond" w:hAnsi="Garamond"/>
        </w:rPr>
        <w:t>: 169</w:t>
      </w:r>
      <w:r w:rsidRPr="00712EE7">
        <w:rPr>
          <w:rFonts w:ascii="Garamond" w:hAnsi="Garamond"/>
        </w:rPr>
        <w:t xml:space="preserve">), </w:t>
      </w:r>
      <w:r w:rsidRPr="00712EE7">
        <w:rPr>
          <w:rFonts w:ascii="Garamond" w:hAnsi="Garamond"/>
          <w:lang w:eastAsia="zh-CN"/>
        </w:rPr>
        <w:t>“CFOs, in the UK, also commonly referred to as finance directors, are perceived to play a more important strategic role as illustrated by the fact that they sit on the board of directors in the vast majority of firms (above 85% in our sample). This particularly high percentage is in contrast to the US experience, where only about 11% of CFOs hold board positions.”</w:t>
      </w:r>
    </w:p>
  </w:footnote>
  <w:footnote w:id="8">
    <w:p w:rsidR="00A33204" w:rsidRPr="00AB1D34" w:rsidRDefault="00A33204" w:rsidP="008F0941">
      <w:pPr>
        <w:pStyle w:val="a8"/>
        <w:jc w:val="both"/>
        <w:rPr>
          <w:rFonts w:ascii="Garamond" w:hAnsi="Garamond"/>
        </w:rPr>
      </w:pPr>
      <w:r w:rsidRPr="00AB1D34">
        <w:rPr>
          <w:rStyle w:val="a9"/>
          <w:rFonts w:ascii="Garamond" w:hAnsi="Garamond"/>
        </w:rPr>
        <w:footnoteRef/>
      </w:r>
      <w:r w:rsidRPr="00AB1D34">
        <w:rPr>
          <w:rFonts w:ascii="Garamond" w:hAnsi="Garamond"/>
        </w:rPr>
        <w:t xml:space="preserve"> We also exa</w:t>
      </w:r>
      <w:r>
        <w:rPr>
          <w:rFonts w:ascii="Garamond" w:hAnsi="Garamond"/>
        </w:rPr>
        <w:t>mined the situation when the CFO and CEO are both female but the sample of firms with both female CEOs and female CFOs is too small to allow meaningful statistical inferences.</w:t>
      </w:r>
    </w:p>
  </w:footnote>
  <w:footnote w:id="9">
    <w:p w:rsidR="00A33204" w:rsidRPr="00AB1D34" w:rsidRDefault="00A33204" w:rsidP="00824024">
      <w:pPr>
        <w:jc w:val="both"/>
      </w:pPr>
      <w:r>
        <w:rPr>
          <w:rStyle w:val="a9"/>
          <w:rFonts w:ascii="Garamond" w:hAnsi="Garamond"/>
          <w:sz w:val="20"/>
          <w:szCs w:val="20"/>
        </w:rPr>
        <w:footnoteRef/>
      </w:r>
      <w:r w:rsidRPr="002D39DE">
        <w:rPr>
          <w:rFonts w:ascii="Garamond" w:hAnsi="Garamond"/>
          <w:sz w:val="20"/>
          <w:szCs w:val="20"/>
        </w:rPr>
        <w:t xml:space="preserve"> </w:t>
      </w:r>
      <w:r w:rsidRPr="00AB1D34">
        <w:rPr>
          <w:rFonts w:ascii="Garamond" w:hAnsi="Garamond"/>
          <w:sz w:val="20"/>
          <w:szCs w:val="20"/>
          <w:shd w:val="clear" w:color="auto" w:fill="FFFFFF"/>
        </w:rPr>
        <w:t>The chairman is frequently an ex-CEO, who retains the title of chairman during a probationary “training” period for the new CEO. This suggests that upon becoming chairman, the former CEO still participates in decision-making.</w:t>
      </w:r>
    </w:p>
  </w:footnote>
  <w:footnote w:id="10">
    <w:p w:rsidR="00A33204" w:rsidRPr="00AB1D34" w:rsidRDefault="00A33204" w:rsidP="00F608F3">
      <w:pPr>
        <w:pStyle w:val="a8"/>
        <w:jc w:val="both"/>
        <w:rPr>
          <w:rFonts w:ascii="Garamond" w:hAnsi="Garamond"/>
        </w:rPr>
      </w:pPr>
      <w:r w:rsidRPr="00AB1D34">
        <w:rPr>
          <w:rStyle w:val="a9"/>
          <w:rFonts w:ascii="Garamond" w:hAnsi="Garamond"/>
        </w:rPr>
        <w:footnoteRef/>
      </w:r>
      <w:r w:rsidRPr="00AB1D34">
        <w:rPr>
          <w:rFonts w:ascii="Garamond" w:hAnsi="Garamond"/>
        </w:rPr>
        <w:t xml:space="preserve"> Our results are robust to defining internally appointed CFOs as those with over 2- and 3-years’ experience at the firm.</w:t>
      </w:r>
    </w:p>
  </w:footnote>
  <w:footnote w:id="11">
    <w:p w:rsidR="00A33204" w:rsidRPr="00F16C06" w:rsidRDefault="00A33204" w:rsidP="00F16C06">
      <w:pPr>
        <w:pStyle w:val="a8"/>
        <w:jc w:val="both"/>
        <w:rPr>
          <w:rFonts w:ascii="Garamond" w:hAnsi="Garamond"/>
        </w:rPr>
      </w:pPr>
      <w:r w:rsidRPr="00F16C06">
        <w:rPr>
          <w:rStyle w:val="a9"/>
          <w:rFonts w:ascii="Garamond" w:hAnsi="Garamond"/>
        </w:rPr>
        <w:footnoteRef/>
      </w:r>
      <w:r w:rsidRPr="00F16C06">
        <w:rPr>
          <w:rFonts w:ascii="Garamond" w:hAnsi="Garamond"/>
        </w:rPr>
        <w:t xml:space="preserve"> In our robustness section, we </w:t>
      </w:r>
      <w:r>
        <w:rPr>
          <w:rFonts w:ascii="Garamond" w:hAnsi="Garamond"/>
        </w:rPr>
        <w:t>report the coefficients of interest and do not report</w:t>
      </w:r>
      <w:r w:rsidRPr="00F16C06">
        <w:rPr>
          <w:rFonts w:ascii="Garamond" w:hAnsi="Garamond"/>
        </w:rPr>
        <w:t xml:space="preserve"> all the coefficients for </w:t>
      </w:r>
      <w:r>
        <w:rPr>
          <w:rFonts w:ascii="Garamond" w:hAnsi="Garamond"/>
        </w:rPr>
        <w:t xml:space="preserve">all of </w:t>
      </w:r>
      <w:r w:rsidRPr="00F16C06">
        <w:rPr>
          <w:rFonts w:ascii="Garamond" w:hAnsi="Garamond"/>
        </w:rPr>
        <w:t>the control variables. However the full tables are available upon request from the corresponding author.</w:t>
      </w:r>
    </w:p>
  </w:footnote>
  <w:footnote w:id="12">
    <w:p w:rsidR="00A33204" w:rsidRPr="00AB1D34" w:rsidRDefault="00A33204">
      <w:pPr>
        <w:pStyle w:val="a8"/>
        <w:rPr>
          <w:rFonts w:ascii="Garamond" w:hAnsi="Garamond"/>
        </w:rPr>
      </w:pPr>
      <w:r w:rsidRPr="00AB1D34">
        <w:rPr>
          <w:rStyle w:val="a9"/>
          <w:rFonts w:ascii="Garamond" w:hAnsi="Garamond"/>
        </w:rPr>
        <w:footnoteRef/>
      </w:r>
      <w:r w:rsidRPr="00AB1D34">
        <w:rPr>
          <w:rFonts w:ascii="Garamond" w:hAnsi="Garamond"/>
        </w:rPr>
        <w:t xml:space="preserve"> The report can be accessed via: </w:t>
      </w:r>
      <w:hyperlink r:id="rId1" w:history="1">
        <w:r w:rsidRPr="004B1858">
          <w:rPr>
            <w:rStyle w:val="ac"/>
            <w:rFonts w:ascii="Garamond" w:hAnsi="Garamond"/>
          </w:rPr>
          <w:t>https://www.gov.uk/government/publications/women-on-boards-review</w:t>
        </w:r>
      </w:hyperlink>
      <w:r w:rsidRPr="00AB1D34">
        <w:rPr>
          <w:rFonts w:ascii="Garamond" w:hAnsi="Garamond"/>
        </w:rPr>
        <w:t xml:space="preserve"> </w:t>
      </w:r>
    </w:p>
  </w:footnote>
  <w:footnote w:id="13">
    <w:p w:rsidR="00A33204" w:rsidRPr="007A4FA2" w:rsidRDefault="00A33204" w:rsidP="00531911">
      <w:pPr>
        <w:pStyle w:val="a8"/>
        <w:jc w:val="both"/>
        <w:rPr>
          <w:rStyle w:val="ac"/>
          <w:rFonts w:ascii="Garamond" w:hAnsi="Garamond"/>
        </w:rPr>
      </w:pPr>
      <w:r w:rsidRPr="00AB1D34">
        <w:rPr>
          <w:rStyle w:val="a9"/>
          <w:rFonts w:ascii="Garamond" w:hAnsi="Garamond"/>
        </w:rPr>
        <w:footnoteRef/>
      </w:r>
      <w:r w:rsidRPr="00AB1D34">
        <w:rPr>
          <w:rFonts w:ascii="Garamond" w:hAnsi="Garamond"/>
        </w:rPr>
        <w:t xml:space="preserve"> See also the progress reports by Lord Davies that examine the increase in gender representation on UK corporate boards: </w:t>
      </w:r>
      <w:r w:rsidRPr="007A4FA2">
        <w:rPr>
          <w:rStyle w:val="ac"/>
          <w:rFonts w:ascii="Garamond" w:hAnsi="Garamond"/>
        </w:rPr>
        <w:t xml:space="preserve">https://www.gov.uk/government/publications/women-on-boards-5-year-summary-davies-review </w:t>
      </w:r>
    </w:p>
  </w:footnote>
  <w:footnote w:id="14">
    <w:p w:rsidR="00A33204" w:rsidRPr="009C1F63" w:rsidRDefault="00A33204">
      <w:pPr>
        <w:pStyle w:val="a8"/>
        <w:rPr>
          <w:rFonts w:ascii="Garamond" w:hAnsi="Garamond"/>
        </w:rPr>
      </w:pPr>
      <w:r w:rsidRPr="009C1F63">
        <w:rPr>
          <w:rStyle w:val="a9"/>
          <w:rFonts w:ascii="Garamond" w:hAnsi="Garamond"/>
        </w:rPr>
        <w:footnoteRef/>
      </w:r>
      <w:r w:rsidRPr="009C1F63">
        <w:rPr>
          <w:rFonts w:ascii="Garamond" w:hAnsi="Garamond"/>
        </w:rPr>
        <w:t xml:space="preserve"> We thank </w:t>
      </w:r>
      <w:r w:rsidR="00A24457">
        <w:rPr>
          <w:rFonts w:ascii="Garamond" w:hAnsi="Garamond"/>
        </w:rPr>
        <w:t>an</w:t>
      </w:r>
      <w:r w:rsidRPr="009C1F63">
        <w:rPr>
          <w:rFonts w:ascii="Garamond" w:hAnsi="Garamond"/>
        </w:rPr>
        <w:t xml:space="preserve"> anonymous referee for suggesting this additional analysis.</w:t>
      </w:r>
    </w:p>
  </w:footnote>
  <w:footnote w:id="15">
    <w:p w:rsidR="00A33204" w:rsidRDefault="00A33204">
      <w:pPr>
        <w:pStyle w:val="a8"/>
        <w:jc w:val="both"/>
        <w:rPr>
          <w:rFonts w:ascii="Garamond" w:hAnsi="Garamond"/>
          <w:lang w:val="en-US"/>
        </w:rPr>
      </w:pPr>
      <w:r w:rsidRPr="00AB1D34">
        <w:rPr>
          <w:rStyle w:val="a9"/>
          <w:rFonts w:ascii="Garamond" w:hAnsi="Garamond"/>
        </w:rPr>
        <w:footnoteRef/>
      </w:r>
      <w:r w:rsidRPr="00AB1D34">
        <w:rPr>
          <w:rFonts w:ascii="Garamond" w:hAnsi="Garamond"/>
        </w:rPr>
        <w:t xml:space="preserve"> The CFOs of the remaining companies report to use market values (12%) or both book and market values (5%) </w:t>
      </w:r>
      <w:proofErr w:type="gramStart"/>
      <w:r w:rsidRPr="00AB1D34">
        <w:rPr>
          <w:rFonts w:ascii="Garamond" w:hAnsi="Garamond"/>
        </w:rPr>
        <w:t>(Beattie et al., 2006)</w:t>
      </w:r>
      <w:r>
        <w:rPr>
          <w:rFonts w:ascii="Garamond" w:hAnsi="Garamond"/>
          <w:lang w:eastAsia="zh-CN"/>
        </w:rPr>
        <w:t>.</w:t>
      </w:r>
      <w:proofErr w:type="gramEnd"/>
    </w:p>
  </w:footnote>
  <w:footnote w:id="16">
    <w:p w:rsidR="00A33204" w:rsidRDefault="00A33204">
      <w:pPr>
        <w:pStyle w:val="a8"/>
        <w:jc w:val="both"/>
        <w:rPr>
          <w:rFonts w:ascii="Garamond" w:hAnsi="Garamond"/>
        </w:rPr>
      </w:pPr>
      <w:r w:rsidRPr="00AB1D34">
        <w:rPr>
          <w:rStyle w:val="a9"/>
          <w:rFonts w:ascii="Garamond" w:hAnsi="Garamond"/>
        </w:rPr>
        <w:footnoteRef/>
      </w:r>
      <w:r w:rsidRPr="00AB1D34">
        <w:rPr>
          <w:rFonts w:ascii="Garamond" w:hAnsi="Garamond"/>
        </w:rPr>
        <w:t xml:space="preserve"> In unreported results we used debt-equity ratios as the dependent variable and found qualitatively similar findings. </w:t>
      </w:r>
    </w:p>
  </w:footnote>
  <w:footnote w:id="17">
    <w:p w:rsidR="00A33204" w:rsidRPr="001A20EE" w:rsidRDefault="00A33204" w:rsidP="00F17D10">
      <w:pPr>
        <w:pStyle w:val="a8"/>
        <w:jc w:val="both"/>
        <w:rPr>
          <w:rFonts w:ascii="Garamond" w:hAnsi="Garamond"/>
        </w:rPr>
      </w:pPr>
      <w:r w:rsidRPr="002F166F">
        <w:rPr>
          <w:rStyle w:val="a9"/>
          <w:rFonts w:ascii="Garamond" w:hAnsi="Garamond"/>
        </w:rPr>
        <w:footnoteRef/>
      </w:r>
      <w:r w:rsidRPr="002F166F">
        <w:rPr>
          <w:rFonts w:ascii="Garamond" w:hAnsi="Garamond"/>
        </w:rPr>
        <w:t xml:space="preserve"> We thank one of the anonymous referees for suggesting this analysis.</w:t>
      </w:r>
    </w:p>
  </w:footnote>
  <w:footnote w:id="18">
    <w:p w:rsidR="00A33204" w:rsidRDefault="00A33204" w:rsidP="008F4BB7">
      <w:pPr>
        <w:pStyle w:val="a8"/>
        <w:jc w:val="both"/>
        <w:rPr>
          <w:rFonts w:ascii="Garamond" w:hAnsi="Garamond"/>
        </w:rPr>
      </w:pPr>
      <w:r w:rsidRPr="00AB1D34">
        <w:rPr>
          <w:rStyle w:val="a9"/>
          <w:rFonts w:ascii="Garamond" w:hAnsi="Garamond"/>
        </w:rPr>
        <w:footnoteRef/>
      </w:r>
      <w:r w:rsidRPr="00AB1D34">
        <w:rPr>
          <w:rFonts w:ascii="Garamond" w:hAnsi="Garamond"/>
        </w:rPr>
        <w:t xml:space="preserve"> See Kirsch (2018) for a review of the effect of board gender diversity on different organisational outcomes.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1931"/>
    <w:multiLevelType w:val="hybridMultilevel"/>
    <w:tmpl w:val="4B904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C1F3A3B"/>
    <w:multiLevelType w:val="hybridMultilevel"/>
    <w:tmpl w:val="4E72F5BE"/>
    <w:lvl w:ilvl="0" w:tplc="E29E6BE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C3AF8"/>
    <w:multiLevelType w:val="hybridMultilevel"/>
    <w:tmpl w:val="553E8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AB552C"/>
    <w:multiLevelType w:val="hybridMultilevel"/>
    <w:tmpl w:val="A38CA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6694A97"/>
    <w:multiLevelType w:val="hybridMultilevel"/>
    <w:tmpl w:val="B1EA07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23F5665"/>
    <w:multiLevelType w:val="hybridMultilevel"/>
    <w:tmpl w:val="71B0E1A8"/>
    <w:lvl w:ilvl="0" w:tplc="CC6A8D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08332B3"/>
    <w:multiLevelType w:val="hybridMultilevel"/>
    <w:tmpl w:val="8B70BD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CF00C4"/>
    <w:multiLevelType w:val="hybridMultilevel"/>
    <w:tmpl w:val="0542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4C0263"/>
    <w:multiLevelType w:val="hybridMultilevel"/>
    <w:tmpl w:val="08889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7"/>
  </w:num>
  <w:num w:numId="5">
    <w:abstractNumId w:val="8"/>
  </w:num>
  <w:num w:numId="6">
    <w:abstractNumId w:val="4"/>
  </w:num>
  <w:num w:numId="7">
    <w:abstractNumId w:val="0"/>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s-ES_tradnl" w:vendorID="64" w:dllVersion="6" w:nlCheck="1" w:checkStyle="1"/>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activeWritingStyle w:appName="MSWord" w:lang="nl-NL" w:vendorID="64" w:dllVersion="4096" w:nlCheck="1" w:checkStyle="0"/>
  <w:activeWritingStyle w:appName="MSWord" w:lang="de-DE" w:vendorID="64" w:dllVersion="4096" w:nlCheck="1" w:checkStyle="0"/>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8A7EC2"/>
    <w:rsid w:val="000003CB"/>
    <w:rsid w:val="00000C4E"/>
    <w:rsid w:val="00001760"/>
    <w:rsid w:val="0000183A"/>
    <w:rsid w:val="00002225"/>
    <w:rsid w:val="00002263"/>
    <w:rsid w:val="00002715"/>
    <w:rsid w:val="00002D60"/>
    <w:rsid w:val="00003C09"/>
    <w:rsid w:val="000049E1"/>
    <w:rsid w:val="00006955"/>
    <w:rsid w:val="00007869"/>
    <w:rsid w:val="00007F92"/>
    <w:rsid w:val="000109FA"/>
    <w:rsid w:val="00010BF4"/>
    <w:rsid w:val="00010D2B"/>
    <w:rsid w:val="0001223A"/>
    <w:rsid w:val="000123D2"/>
    <w:rsid w:val="000132F0"/>
    <w:rsid w:val="00013418"/>
    <w:rsid w:val="000138C8"/>
    <w:rsid w:val="00014ED6"/>
    <w:rsid w:val="00015700"/>
    <w:rsid w:val="000166C6"/>
    <w:rsid w:val="000167A6"/>
    <w:rsid w:val="00016839"/>
    <w:rsid w:val="000178A9"/>
    <w:rsid w:val="00017936"/>
    <w:rsid w:val="000179F5"/>
    <w:rsid w:val="00022493"/>
    <w:rsid w:val="0002451F"/>
    <w:rsid w:val="0002475B"/>
    <w:rsid w:val="0002503D"/>
    <w:rsid w:val="0002567A"/>
    <w:rsid w:val="00025A78"/>
    <w:rsid w:val="000263C3"/>
    <w:rsid w:val="00026A9E"/>
    <w:rsid w:val="000303DA"/>
    <w:rsid w:val="00030C4A"/>
    <w:rsid w:val="000314B8"/>
    <w:rsid w:val="00031744"/>
    <w:rsid w:val="00032A42"/>
    <w:rsid w:val="00034211"/>
    <w:rsid w:val="00034460"/>
    <w:rsid w:val="0003498E"/>
    <w:rsid w:val="00034B12"/>
    <w:rsid w:val="00034C10"/>
    <w:rsid w:val="00035E4C"/>
    <w:rsid w:val="00036093"/>
    <w:rsid w:val="00036AEF"/>
    <w:rsid w:val="000377E6"/>
    <w:rsid w:val="0004046A"/>
    <w:rsid w:val="00040F88"/>
    <w:rsid w:val="0004145B"/>
    <w:rsid w:val="000429AF"/>
    <w:rsid w:val="00042A85"/>
    <w:rsid w:val="00043879"/>
    <w:rsid w:val="000438D8"/>
    <w:rsid w:val="00044450"/>
    <w:rsid w:val="00044F1C"/>
    <w:rsid w:val="00045594"/>
    <w:rsid w:val="0004583A"/>
    <w:rsid w:val="00045F5A"/>
    <w:rsid w:val="00046213"/>
    <w:rsid w:val="0004635D"/>
    <w:rsid w:val="000468F3"/>
    <w:rsid w:val="0004709A"/>
    <w:rsid w:val="000478F5"/>
    <w:rsid w:val="00047CC6"/>
    <w:rsid w:val="00051570"/>
    <w:rsid w:val="00051FE5"/>
    <w:rsid w:val="00052DAB"/>
    <w:rsid w:val="00053282"/>
    <w:rsid w:val="00053672"/>
    <w:rsid w:val="00053FD3"/>
    <w:rsid w:val="00054434"/>
    <w:rsid w:val="00054C18"/>
    <w:rsid w:val="00054EA4"/>
    <w:rsid w:val="0005556C"/>
    <w:rsid w:val="00056A9F"/>
    <w:rsid w:val="00056C44"/>
    <w:rsid w:val="00060063"/>
    <w:rsid w:val="00060167"/>
    <w:rsid w:val="00060EDA"/>
    <w:rsid w:val="00061AE9"/>
    <w:rsid w:val="00062AB7"/>
    <w:rsid w:val="00063022"/>
    <w:rsid w:val="000634AF"/>
    <w:rsid w:val="000638ED"/>
    <w:rsid w:val="0006466F"/>
    <w:rsid w:val="00064BDE"/>
    <w:rsid w:val="00064DEA"/>
    <w:rsid w:val="00064FD3"/>
    <w:rsid w:val="00065629"/>
    <w:rsid w:val="00065E2C"/>
    <w:rsid w:val="000663C2"/>
    <w:rsid w:val="000665E6"/>
    <w:rsid w:val="0006703E"/>
    <w:rsid w:val="00067A51"/>
    <w:rsid w:val="000700FD"/>
    <w:rsid w:val="000714F3"/>
    <w:rsid w:val="00071ECB"/>
    <w:rsid w:val="000727E8"/>
    <w:rsid w:val="00072A53"/>
    <w:rsid w:val="00072B68"/>
    <w:rsid w:val="00073283"/>
    <w:rsid w:val="00073DF9"/>
    <w:rsid w:val="000753E8"/>
    <w:rsid w:val="000758E2"/>
    <w:rsid w:val="000759F6"/>
    <w:rsid w:val="0007635E"/>
    <w:rsid w:val="000769D5"/>
    <w:rsid w:val="00077D28"/>
    <w:rsid w:val="000800FE"/>
    <w:rsid w:val="00081AA5"/>
    <w:rsid w:val="000820F7"/>
    <w:rsid w:val="00082231"/>
    <w:rsid w:val="0008361E"/>
    <w:rsid w:val="0008433F"/>
    <w:rsid w:val="000851DD"/>
    <w:rsid w:val="00085AE2"/>
    <w:rsid w:val="00085D29"/>
    <w:rsid w:val="00087D0A"/>
    <w:rsid w:val="00090D02"/>
    <w:rsid w:val="000914DA"/>
    <w:rsid w:val="0009192C"/>
    <w:rsid w:val="00091DE3"/>
    <w:rsid w:val="00091F8D"/>
    <w:rsid w:val="00093047"/>
    <w:rsid w:val="00094C01"/>
    <w:rsid w:val="00094CFD"/>
    <w:rsid w:val="00095FF6"/>
    <w:rsid w:val="00096481"/>
    <w:rsid w:val="00096B07"/>
    <w:rsid w:val="00097286"/>
    <w:rsid w:val="000A06FE"/>
    <w:rsid w:val="000A111A"/>
    <w:rsid w:val="000A213A"/>
    <w:rsid w:val="000A2276"/>
    <w:rsid w:val="000A2496"/>
    <w:rsid w:val="000A2505"/>
    <w:rsid w:val="000A3438"/>
    <w:rsid w:val="000A35D4"/>
    <w:rsid w:val="000A37B7"/>
    <w:rsid w:val="000A3A32"/>
    <w:rsid w:val="000A450A"/>
    <w:rsid w:val="000A4ACE"/>
    <w:rsid w:val="000A5DA2"/>
    <w:rsid w:val="000A66BA"/>
    <w:rsid w:val="000A7527"/>
    <w:rsid w:val="000B1BDA"/>
    <w:rsid w:val="000B1CCA"/>
    <w:rsid w:val="000B1D82"/>
    <w:rsid w:val="000B1E1A"/>
    <w:rsid w:val="000B2D2A"/>
    <w:rsid w:val="000B3327"/>
    <w:rsid w:val="000B3D15"/>
    <w:rsid w:val="000B6915"/>
    <w:rsid w:val="000C11FA"/>
    <w:rsid w:val="000C26E7"/>
    <w:rsid w:val="000C306E"/>
    <w:rsid w:val="000C4CD7"/>
    <w:rsid w:val="000C6060"/>
    <w:rsid w:val="000C73A3"/>
    <w:rsid w:val="000D10F3"/>
    <w:rsid w:val="000D13A5"/>
    <w:rsid w:val="000D1AE2"/>
    <w:rsid w:val="000D33E6"/>
    <w:rsid w:val="000D3468"/>
    <w:rsid w:val="000D371B"/>
    <w:rsid w:val="000D38E0"/>
    <w:rsid w:val="000D3A5B"/>
    <w:rsid w:val="000D40A7"/>
    <w:rsid w:val="000D48A4"/>
    <w:rsid w:val="000D5469"/>
    <w:rsid w:val="000D551C"/>
    <w:rsid w:val="000D73E2"/>
    <w:rsid w:val="000D7C70"/>
    <w:rsid w:val="000D7CBE"/>
    <w:rsid w:val="000D7E21"/>
    <w:rsid w:val="000E089D"/>
    <w:rsid w:val="000E0F38"/>
    <w:rsid w:val="000E1B72"/>
    <w:rsid w:val="000E2140"/>
    <w:rsid w:val="000E305E"/>
    <w:rsid w:val="000E3660"/>
    <w:rsid w:val="000E3779"/>
    <w:rsid w:val="000E3BAB"/>
    <w:rsid w:val="000E4A73"/>
    <w:rsid w:val="000E4F93"/>
    <w:rsid w:val="000E5157"/>
    <w:rsid w:val="000E56B7"/>
    <w:rsid w:val="000E5792"/>
    <w:rsid w:val="000E58BB"/>
    <w:rsid w:val="000E5D00"/>
    <w:rsid w:val="000E639C"/>
    <w:rsid w:val="000E7D25"/>
    <w:rsid w:val="000F02B6"/>
    <w:rsid w:val="000F0B3B"/>
    <w:rsid w:val="000F0DA3"/>
    <w:rsid w:val="000F2423"/>
    <w:rsid w:val="000F306B"/>
    <w:rsid w:val="000F3E8A"/>
    <w:rsid w:val="000F41B9"/>
    <w:rsid w:val="000F42E8"/>
    <w:rsid w:val="000F5B9B"/>
    <w:rsid w:val="000F6A5B"/>
    <w:rsid w:val="00101703"/>
    <w:rsid w:val="001019AF"/>
    <w:rsid w:val="00101B59"/>
    <w:rsid w:val="00101B6B"/>
    <w:rsid w:val="00101C01"/>
    <w:rsid w:val="001021E5"/>
    <w:rsid w:val="001030F0"/>
    <w:rsid w:val="00103CA3"/>
    <w:rsid w:val="00105923"/>
    <w:rsid w:val="001100DA"/>
    <w:rsid w:val="00110651"/>
    <w:rsid w:val="0011107E"/>
    <w:rsid w:val="001116C9"/>
    <w:rsid w:val="001116F8"/>
    <w:rsid w:val="0011181C"/>
    <w:rsid w:val="001122A2"/>
    <w:rsid w:val="001126DF"/>
    <w:rsid w:val="00112920"/>
    <w:rsid w:val="00113813"/>
    <w:rsid w:val="00113DF9"/>
    <w:rsid w:val="0011424E"/>
    <w:rsid w:val="001146C2"/>
    <w:rsid w:val="00115C5E"/>
    <w:rsid w:val="00115D5D"/>
    <w:rsid w:val="00116590"/>
    <w:rsid w:val="001176FD"/>
    <w:rsid w:val="0011774E"/>
    <w:rsid w:val="0011781F"/>
    <w:rsid w:val="00117D23"/>
    <w:rsid w:val="00120590"/>
    <w:rsid w:val="001208C0"/>
    <w:rsid w:val="00120D5F"/>
    <w:rsid w:val="001224E4"/>
    <w:rsid w:val="00123924"/>
    <w:rsid w:val="00123AE4"/>
    <w:rsid w:val="00124F26"/>
    <w:rsid w:val="00125AD8"/>
    <w:rsid w:val="0012629C"/>
    <w:rsid w:val="00126E6E"/>
    <w:rsid w:val="001270B4"/>
    <w:rsid w:val="00127524"/>
    <w:rsid w:val="00127976"/>
    <w:rsid w:val="00132B3E"/>
    <w:rsid w:val="001331D8"/>
    <w:rsid w:val="00136B32"/>
    <w:rsid w:val="001400CD"/>
    <w:rsid w:val="00140310"/>
    <w:rsid w:val="00140507"/>
    <w:rsid w:val="001408F6"/>
    <w:rsid w:val="00141834"/>
    <w:rsid w:val="00141927"/>
    <w:rsid w:val="00141BB0"/>
    <w:rsid w:val="0014279D"/>
    <w:rsid w:val="00142CE7"/>
    <w:rsid w:val="00144030"/>
    <w:rsid w:val="00145094"/>
    <w:rsid w:val="00145BD1"/>
    <w:rsid w:val="0014715F"/>
    <w:rsid w:val="001474EB"/>
    <w:rsid w:val="00150B55"/>
    <w:rsid w:val="00152E16"/>
    <w:rsid w:val="0015495C"/>
    <w:rsid w:val="00154CFA"/>
    <w:rsid w:val="00155FEE"/>
    <w:rsid w:val="00156623"/>
    <w:rsid w:val="00156C13"/>
    <w:rsid w:val="00157C42"/>
    <w:rsid w:val="00160141"/>
    <w:rsid w:val="00161118"/>
    <w:rsid w:val="00161683"/>
    <w:rsid w:val="00161823"/>
    <w:rsid w:val="00162C53"/>
    <w:rsid w:val="00162DC5"/>
    <w:rsid w:val="00163938"/>
    <w:rsid w:val="00163BC6"/>
    <w:rsid w:val="00163D54"/>
    <w:rsid w:val="00164112"/>
    <w:rsid w:val="001663DE"/>
    <w:rsid w:val="001664A5"/>
    <w:rsid w:val="001669F8"/>
    <w:rsid w:val="00167358"/>
    <w:rsid w:val="001674F0"/>
    <w:rsid w:val="00167EFE"/>
    <w:rsid w:val="001701D5"/>
    <w:rsid w:val="0017089C"/>
    <w:rsid w:val="00171563"/>
    <w:rsid w:val="00171869"/>
    <w:rsid w:val="00171ADE"/>
    <w:rsid w:val="00172313"/>
    <w:rsid w:val="0017318B"/>
    <w:rsid w:val="00173A57"/>
    <w:rsid w:val="00174AE5"/>
    <w:rsid w:val="0017508C"/>
    <w:rsid w:val="00175C36"/>
    <w:rsid w:val="00175C91"/>
    <w:rsid w:val="00176262"/>
    <w:rsid w:val="001765B8"/>
    <w:rsid w:val="00177890"/>
    <w:rsid w:val="00177F0C"/>
    <w:rsid w:val="00180EC1"/>
    <w:rsid w:val="00181416"/>
    <w:rsid w:val="001829B4"/>
    <w:rsid w:val="00182E50"/>
    <w:rsid w:val="001831F3"/>
    <w:rsid w:val="0018344B"/>
    <w:rsid w:val="00183BEE"/>
    <w:rsid w:val="00184610"/>
    <w:rsid w:val="001847C4"/>
    <w:rsid w:val="001848A2"/>
    <w:rsid w:val="00184CC1"/>
    <w:rsid w:val="0018595D"/>
    <w:rsid w:val="00185D6C"/>
    <w:rsid w:val="00185DCA"/>
    <w:rsid w:val="00186326"/>
    <w:rsid w:val="00187DCA"/>
    <w:rsid w:val="00191766"/>
    <w:rsid w:val="00191830"/>
    <w:rsid w:val="0019223D"/>
    <w:rsid w:val="00192A95"/>
    <w:rsid w:val="001932D2"/>
    <w:rsid w:val="0019338D"/>
    <w:rsid w:val="001933A6"/>
    <w:rsid w:val="0019362A"/>
    <w:rsid w:val="0019423C"/>
    <w:rsid w:val="0019424F"/>
    <w:rsid w:val="00196701"/>
    <w:rsid w:val="001975E5"/>
    <w:rsid w:val="001A075C"/>
    <w:rsid w:val="001A079C"/>
    <w:rsid w:val="001A0F51"/>
    <w:rsid w:val="001A0F9A"/>
    <w:rsid w:val="001A168C"/>
    <w:rsid w:val="001A1CD6"/>
    <w:rsid w:val="001A1FF2"/>
    <w:rsid w:val="001A20EE"/>
    <w:rsid w:val="001A277A"/>
    <w:rsid w:val="001A2BE3"/>
    <w:rsid w:val="001A2EEB"/>
    <w:rsid w:val="001A3BDA"/>
    <w:rsid w:val="001A4140"/>
    <w:rsid w:val="001A4232"/>
    <w:rsid w:val="001A5794"/>
    <w:rsid w:val="001A63CC"/>
    <w:rsid w:val="001A72D8"/>
    <w:rsid w:val="001A75EA"/>
    <w:rsid w:val="001A7C2C"/>
    <w:rsid w:val="001B0981"/>
    <w:rsid w:val="001B0AB9"/>
    <w:rsid w:val="001B194B"/>
    <w:rsid w:val="001B1DFB"/>
    <w:rsid w:val="001B35FD"/>
    <w:rsid w:val="001B39D8"/>
    <w:rsid w:val="001B4644"/>
    <w:rsid w:val="001B46A0"/>
    <w:rsid w:val="001B5651"/>
    <w:rsid w:val="001B6FAA"/>
    <w:rsid w:val="001B7AB2"/>
    <w:rsid w:val="001B7C26"/>
    <w:rsid w:val="001C0844"/>
    <w:rsid w:val="001C0B09"/>
    <w:rsid w:val="001C149D"/>
    <w:rsid w:val="001C1734"/>
    <w:rsid w:val="001C1E94"/>
    <w:rsid w:val="001C27CF"/>
    <w:rsid w:val="001C41D9"/>
    <w:rsid w:val="001C4449"/>
    <w:rsid w:val="001C4A00"/>
    <w:rsid w:val="001C4DFC"/>
    <w:rsid w:val="001C4F67"/>
    <w:rsid w:val="001C5149"/>
    <w:rsid w:val="001C5427"/>
    <w:rsid w:val="001C5AE2"/>
    <w:rsid w:val="001C6D4B"/>
    <w:rsid w:val="001C7ACB"/>
    <w:rsid w:val="001C7F74"/>
    <w:rsid w:val="001D0F4B"/>
    <w:rsid w:val="001D181C"/>
    <w:rsid w:val="001D237C"/>
    <w:rsid w:val="001D2FFB"/>
    <w:rsid w:val="001D311D"/>
    <w:rsid w:val="001D4481"/>
    <w:rsid w:val="001D48C2"/>
    <w:rsid w:val="001D57C5"/>
    <w:rsid w:val="001D59F5"/>
    <w:rsid w:val="001D6201"/>
    <w:rsid w:val="001D6FCE"/>
    <w:rsid w:val="001D7197"/>
    <w:rsid w:val="001D79BF"/>
    <w:rsid w:val="001E0B9D"/>
    <w:rsid w:val="001E1913"/>
    <w:rsid w:val="001E1ABB"/>
    <w:rsid w:val="001E1E46"/>
    <w:rsid w:val="001E2D2E"/>
    <w:rsid w:val="001E3BFC"/>
    <w:rsid w:val="001E43AD"/>
    <w:rsid w:val="001E51D1"/>
    <w:rsid w:val="001E5EE6"/>
    <w:rsid w:val="001E7271"/>
    <w:rsid w:val="001F00A3"/>
    <w:rsid w:val="001F06FF"/>
    <w:rsid w:val="001F08A0"/>
    <w:rsid w:val="001F0AFF"/>
    <w:rsid w:val="001F2585"/>
    <w:rsid w:val="001F2BE1"/>
    <w:rsid w:val="001F2F18"/>
    <w:rsid w:val="001F413B"/>
    <w:rsid w:val="001F4975"/>
    <w:rsid w:val="001F61FF"/>
    <w:rsid w:val="001F62A9"/>
    <w:rsid w:val="001F67CD"/>
    <w:rsid w:val="001F67E8"/>
    <w:rsid w:val="001F6CBC"/>
    <w:rsid w:val="00200553"/>
    <w:rsid w:val="00201211"/>
    <w:rsid w:val="0020214C"/>
    <w:rsid w:val="002022FA"/>
    <w:rsid w:val="00202752"/>
    <w:rsid w:val="0020438B"/>
    <w:rsid w:val="00205B9B"/>
    <w:rsid w:val="0020604B"/>
    <w:rsid w:val="00206803"/>
    <w:rsid w:val="00206A1A"/>
    <w:rsid w:val="0020714F"/>
    <w:rsid w:val="0020790D"/>
    <w:rsid w:val="00207C77"/>
    <w:rsid w:val="002106AF"/>
    <w:rsid w:val="00211FD4"/>
    <w:rsid w:val="00213F8E"/>
    <w:rsid w:val="0021429C"/>
    <w:rsid w:val="00214A24"/>
    <w:rsid w:val="00214FF3"/>
    <w:rsid w:val="002162F0"/>
    <w:rsid w:val="0021651C"/>
    <w:rsid w:val="002165CE"/>
    <w:rsid w:val="0021785F"/>
    <w:rsid w:val="00220E9A"/>
    <w:rsid w:val="002217AD"/>
    <w:rsid w:val="00222A0D"/>
    <w:rsid w:val="002234D4"/>
    <w:rsid w:val="00223CA1"/>
    <w:rsid w:val="00225792"/>
    <w:rsid w:val="00225B33"/>
    <w:rsid w:val="00225DF8"/>
    <w:rsid w:val="0022795C"/>
    <w:rsid w:val="002300C7"/>
    <w:rsid w:val="0023055C"/>
    <w:rsid w:val="002310A9"/>
    <w:rsid w:val="002317DA"/>
    <w:rsid w:val="00231A11"/>
    <w:rsid w:val="00231C6C"/>
    <w:rsid w:val="00233191"/>
    <w:rsid w:val="0023354B"/>
    <w:rsid w:val="00234E24"/>
    <w:rsid w:val="002355A2"/>
    <w:rsid w:val="0023754D"/>
    <w:rsid w:val="00240664"/>
    <w:rsid w:val="00241541"/>
    <w:rsid w:val="00241F89"/>
    <w:rsid w:val="00242854"/>
    <w:rsid w:val="002429B3"/>
    <w:rsid w:val="002429CA"/>
    <w:rsid w:val="00243750"/>
    <w:rsid w:val="0024505C"/>
    <w:rsid w:val="002455B2"/>
    <w:rsid w:val="00245C28"/>
    <w:rsid w:val="00245DD0"/>
    <w:rsid w:val="002460D1"/>
    <w:rsid w:val="002473E3"/>
    <w:rsid w:val="00250B3A"/>
    <w:rsid w:val="0025201D"/>
    <w:rsid w:val="002523E6"/>
    <w:rsid w:val="002529D3"/>
    <w:rsid w:val="002529E6"/>
    <w:rsid w:val="0025312C"/>
    <w:rsid w:val="00253B11"/>
    <w:rsid w:val="00253CE7"/>
    <w:rsid w:val="00253DAD"/>
    <w:rsid w:val="002540EC"/>
    <w:rsid w:val="00254C4B"/>
    <w:rsid w:val="00254CBE"/>
    <w:rsid w:val="002551C3"/>
    <w:rsid w:val="00255565"/>
    <w:rsid w:val="00255C2A"/>
    <w:rsid w:val="00256321"/>
    <w:rsid w:val="0025648C"/>
    <w:rsid w:val="0025792F"/>
    <w:rsid w:val="00262BAC"/>
    <w:rsid w:val="00262EEE"/>
    <w:rsid w:val="0026420D"/>
    <w:rsid w:val="002648ED"/>
    <w:rsid w:val="00267A8D"/>
    <w:rsid w:val="00267B55"/>
    <w:rsid w:val="0027098B"/>
    <w:rsid w:val="00271EC1"/>
    <w:rsid w:val="00271F51"/>
    <w:rsid w:val="00272508"/>
    <w:rsid w:val="0027336F"/>
    <w:rsid w:val="00273FD8"/>
    <w:rsid w:val="0027464C"/>
    <w:rsid w:val="00274952"/>
    <w:rsid w:val="00275E45"/>
    <w:rsid w:val="00276988"/>
    <w:rsid w:val="00277DD2"/>
    <w:rsid w:val="00281302"/>
    <w:rsid w:val="0028471A"/>
    <w:rsid w:val="00284E26"/>
    <w:rsid w:val="00284F30"/>
    <w:rsid w:val="00284F7B"/>
    <w:rsid w:val="0028613A"/>
    <w:rsid w:val="0028673D"/>
    <w:rsid w:val="00287660"/>
    <w:rsid w:val="00287895"/>
    <w:rsid w:val="00290391"/>
    <w:rsid w:val="00290A89"/>
    <w:rsid w:val="00290B67"/>
    <w:rsid w:val="0029124E"/>
    <w:rsid w:val="00291876"/>
    <w:rsid w:val="00293974"/>
    <w:rsid w:val="00294146"/>
    <w:rsid w:val="00294E62"/>
    <w:rsid w:val="0029543F"/>
    <w:rsid w:val="00295550"/>
    <w:rsid w:val="00295762"/>
    <w:rsid w:val="00295765"/>
    <w:rsid w:val="00295B25"/>
    <w:rsid w:val="00296AB4"/>
    <w:rsid w:val="00297012"/>
    <w:rsid w:val="00297240"/>
    <w:rsid w:val="00297AAF"/>
    <w:rsid w:val="00297D1C"/>
    <w:rsid w:val="002A0200"/>
    <w:rsid w:val="002A17E3"/>
    <w:rsid w:val="002A2677"/>
    <w:rsid w:val="002A2862"/>
    <w:rsid w:val="002A3444"/>
    <w:rsid w:val="002A44DD"/>
    <w:rsid w:val="002A45E6"/>
    <w:rsid w:val="002A63E7"/>
    <w:rsid w:val="002A720E"/>
    <w:rsid w:val="002A74A1"/>
    <w:rsid w:val="002A7B05"/>
    <w:rsid w:val="002A7ECF"/>
    <w:rsid w:val="002B247D"/>
    <w:rsid w:val="002B25BF"/>
    <w:rsid w:val="002B28FD"/>
    <w:rsid w:val="002B2983"/>
    <w:rsid w:val="002B3650"/>
    <w:rsid w:val="002B3BF1"/>
    <w:rsid w:val="002B4CE1"/>
    <w:rsid w:val="002B5A18"/>
    <w:rsid w:val="002B5BB0"/>
    <w:rsid w:val="002B5D12"/>
    <w:rsid w:val="002B6200"/>
    <w:rsid w:val="002B6BF6"/>
    <w:rsid w:val="002B792F"/>
    <w:rsid w:val="002B7B44"/>
    <w:rsid w:val="002C1A5E"/>
    <w:rsid w:val="002C33B8"/>
    <w:rsid w:val="002C54BA"/>
    <w:rsid w:val="002C5EBF"/>
    <w:rsid w:val="002C6390"/>
    <w:rsid w:val="002C652C"/>
    <w:rsid w:val="002C6B73"/>
    <w:rsid w:val="002C6F2C"/>
    <w:rsid w:val="002C7BCE"/>
    <w:rsid w:val="002C7DBB"/>
    <w:rsid w:val="002C7EBA"/>
    <w:rsid w:val="002D00B9"/>
    <w:rsid w:val="002D0412"/>
    <w:rsid w:val="002D1843"/>
    <w:rsid w:val="002D1C7B"/>
    <w:rsid w:val="002D2127"/>
    <w:rsid w:val="002D223B"/>
    <w:rsid w:val="002D304B"/>
    <w:rsid w:val="002D39DE"/>
    <w:rsid w:val="002D3F7D"/>
    <w:rsid w:val="002D4258"/>
    <w:rsid w:val="002D59EE"/>
    <w:rsid w:val="002D5F1B"/>
    <w:rsid w:val="002D6935"/>
    <w:rsid w:val="002D6E97"/>
    <w:rsid w:val="002D732C"/>
    <w:rsid w:val="002D7694"/>
    <w:rsid w:val="002E0B46"/>
    <w:rsid w:val="002E2556"/>
    <w:rsid w:val="002E3ACC"/>
    <w:rsid w:val="002E468F"/>
    <w:rsid w:val="002E4955"/>
    <w:rsid w:val="002E514B"/>
    <w:rsid w:val="002E5609"/>
    <w:rsid w:val="002E592A"/>
    <w:rsid w:val="002E5F7C"/>
    <w:rsid w:val="002E6853"/>
    <w:rsid w:val="002F041F"/>
    <w:rsid w:val="002F05B8"/>
    <w:rsid w:val="002F1054"/>
    <w:rsid w:val="002F166F"/>
    <w:rsid w:val="002F2160"/>
    <w:rsid w:val="002F3EC1"/>
    <w:rsid w:val="002F4AD2"/>
    <w:rsid w:val="002F5042"/>
    <w:rsid w:val="002F5E02"/>
    <w:rsid w:val="002F6834"/>
    <w:rsid w:val="002F7F39"/>
    <w:rsid w:val="002F7F88"/>
    <w:rsid w:val="003011C9"/>
    <w:rsid w:val="00301940"/>
    <w:rsid w:val="00301BFE"/>
    <w:rsid w:val="00302277"/>
    <w:rsid w:val="00303596"/>
    <w:rsid w:val="00303CEC"/>
    <w:rsid w:val="00303D48"/>
    <w:rsid w:val="00304AFF"/>
    <w:rsid w:val="00306683"/>
    <w:rsid w:val="00306B76"/>
    <w:rsid w:val="003103B5"/>
    <w:rsid w:val="00310DB2"/>
    <w:rsid w:val="00312EC4"/>
    <w:rsid w:val="00313385"/>
    <w:rsid w:val="00313D16"/>
    <w:rsid w:val="0031531B"/>
    <w:rsid w:val="0031611D"/>
    <w:rsid w:val="00316A86"/>
    <w:rsid w:val="00316FFE"/>
    <w:rsid w:val="0031700C"/>
    <w:rsid w:val="00317513"/>
    <w:rsid w:val="00317E67"/>
    <w:rsid w:val="00317FBD"/>
    <w:rsid w:val="0032257B"/>
    <w:rsid w:val="003231BE"/>
    <w:rsid w:val="003238F4"/>
    <w:rsid w:val="00323FA7"/>
    <w:rsid w:val="0032441E"/>
    <w:rsid w:val="00324549"/>
    <w:rsid w:val="00324AC9"/>
    <w:rsid w:val="00324EED"/>
    <w:rsid w:val="00326020"/>
    <w:rsid w:val="003279F3"/>
    <w:rsid w:val="003305B1"/>
    <w:rsid w:val="003318CF"/>
    <w:rsid w:val="00334334"/>
    <w:rsid w:val="00334CDB"/>
    <w:rsid w:val="00336B55"/>
    <w:rsid w:val="00336BE3"/>
    <w:rsid w:val="00337220"/>
    <w:rsid w:val="00337AB1"/>
    <w:rsid w:val="003411E9"/>
    <w:rsid w:val="00341250"/>
    <w:rsid w:val="00341D28"/>
    <w:rsid w:val="00342733"/>
    <w:rsid w:val="0034319A"/>
    <w:rsid w:val="00343421"/>
    <w:rsid w:val="00343D17"/>
    <w:rsid w:val="00344157"/>
    <w:rsid w:val="0034500C"/>
    <w:rsid w:val="00346AB3"/>
    <w:rsid w:val="003472D1"/>
    <w:rsid w:val="0035012F"/>
    <w:rsid w:val="0035083F"/>
    <w:rsid w:val="00350F62"/>
    <w:rsid w:val="00352719"/>
    <w:rsid w:val="00352C43"/>
    <w:rsid w:val="00353513"/>
    <w:rsid w:val="00353CCC"/>
    <w:rsid w:val="0035472B"/>
    <w:rsid w:val="00355185"/>
    <w:rsid w:val="0035575B"/>
    <w:rsid w:val="003566D1"/>
    <w:rsid w:val="00356F06"/>
    <w:rsid w:val="00360502"/>
    <w:rsid w:val="003610BE"/>
    <w:rsid w:val="00361821"/>
    <w:rsid w:val="003620BA"/>
    <w:rsid w:val="003625D9"/>
    <w:rsid w:val="00362A37"/>
    <w:rsid w:val="00364924"/>
    <w:rsid w:val="003656C9"/>
    <w:rsid w:val="00366CEC"/>
    <w:rsid w:val="00370104"/>
    <w:rsid w:val="0037027C"/>
    <w:rsid w:val="00370BDD"/>
    <w:rsid w:val="00371B76"/>
    <w:rsid w:val="003725EA"/>
    <w:rsid w:val="00373825"/>
    <w:rsid w:val="00374231"/>
    <w:rsid w:val="00375922"/>
    <w:rsid w:val="003760CD"/>
    <w:rsid w:val="0037708E"/>
    <w:rsid w:val="00380770"/>
    <w:rsid w:val="00380E99"/>
    <w:rsid w:val="003813E3"/>
    <w:rsid w:val="00381B22"/>
    <w:rsid w:val="00382A0A"/>
    <w:rsid w:val="00382CDE"/>
    <w:rsid w:val="00382F79"/>
    <w:rsid w:val="003834DA"/>
    <w:rsid w:val="00384079"/>
    <w:rsid w:val="0038506F"/>
    <w:rsid w:val="00385283"/>
    <w:rsid w:val="003852CA"/>
    <w:rsid w:val="0038539B"/>
    <w:rsid w:val="0038580A"/>
    <w:rsid w:val="00385DB1"/>
    <w:rsid w:val="00386872"/>
    <w:rsid w:val="00387C05"/>
    <w:rsid w:val="0039014B"/>
    <w:rsid w:val="00390975"/>
    <w:rsid w:val="00390E96"/>
    <w:rsid w:val="003918AC"/>
    <w:rsid w:val="00391B85"/>
    <w:rsid w:val="003926F0"/>
    <w:rsid w:val="003937F5"/>
    <w:rsid w:val="003952EE"/>
    <w:rsid w:val="00396316"/>
    <w:rsid w:val="00397433"/>
    <w:rsid w:val="003A04AA"/>
    <w:rsid w:val="003A135A"/>
    <w:rsid w:val="003A154F"/>
    <w:rsid w:val="003A15D1"/>
    <w:rsid w:val="003A1D2F"/>
    <w:rsid w:val="003A3688"/>
    <w:rsid w:val="003A3694"/>
    <w:rsid w:val="003A371C"/>
    <w:rsid w:val="003A37D9"/>
    <w:rsid w:val="003A37DF"/>
    <w:rsid w:val="003A4466"/>
    <w:rsid w:val="003A528C"/>
    <w:rsid w:val="003A6370"/>
    <w:rsid w:val="003A6938"/>
    <w:rsid w:val="003A6A98"/>
    <w:rsid w:val="003A6D41"/>
    <w:rsid w:val="003A7C22"/>
    <w:rsid w:val="003B06C7"/>
    <w:rsid w:val="003B0C62"/>
    <w:rsid w:val="003B18C5"/>
    <w:rsid w:val="003B2643"/>
    <w:rsid w:val="003B2D2C"/>
    <w:rsid w:val="003B2F38"/>
    <w:rsid w:val="003B30CE"/>
    <w:rsid w:val="003B3507"/>
    <w:rsid w:val="003B3AEF"/>
    <w:rsid w:val="003B4771"/>
    <w:rsid w:val="003B527B"/>
    <w:rsid w:val="003B5DA5"/>
    <w:rsid w:val="003C04DF"/>
    <w:rsid w:val="003C0B1B"/>
    <w:rsid w:val="003C0D2E"/>
    <w:rsid w:val="003C1780"/>
    <w:rsid w:val="003C1B7C"/>
    <w:rsid w:val="003C1E30"/>
    <w:rsid w:val="003C1E61"/>
    <w:rsid w:val="003C214E"/>
    <w:rsid w:val="003C381F"/>
    <w:rsid w:val="003C4998"/>
    <w:rsid w:val="003C4E53"/>
    <w:rsid w:val="003C7015"/>
    <w:rsid w:val="003C72C1"/>
    <w:rsid w:val="003C7340"/>
    <w:rsid w:val="003C7F72"/>
    <w:rsid w:val="003D0CE0"/>
    <w:rsid w:val="003D108A"/>
    <w:rsid w:val="003D20E1"/>
    <w:rsid w:val="003D339E"/>
    <w:rsid w:val="003D3A58"/>
    <w:rsid w:val="003D3F2C"/>
    <w:rsid w:val="003D4B3D"/>
    <w:rsid w:val="003D4F29"/>
    <w:rsid w:val="003D5007"/>
    <w:rsid w:val="003D527C"/>
    <w:rsid w:val="003D5D93"/>
    <w:rsid w:val="003D6A39"/>
    <w:rsid w:val="003D6A3A"/>
    <w:rsid w:val="003E0AA4"/>
    <w:rsid w:val="003E121D"/>
    <w:rsid w:val="003E1749"/>
    <w:rsid w:val="003E3916"/>
    <w:rsid w:val="003E4771"/>
    <w:rsid w:val="003E4797"/>
    <w:rsid w:val="003E72E1"/>
    <w:rsid w:val="003E7EC2"/>
    <w:rsid w:val="003F01B3"/>
    <w:rsid w:val="003F0F77"/>
    <w:rsid w:val="003F11FD"/>
    <w:rsid w:val="003F1948"/>
    <w:rsid w:val="003F2281"/>
    <w:rsid w:val="003F3338"/>
    <w:rsid w:val="003F4655"/>
    <w:rsid w:val="003F5098"/>
    <w:rsid w:val="003F591C"/>
    <w:rsid w:val="003F5D00"/>
    <w:rsid w:val="003F6B4F"/>
    <w:rsid w:val="003F6F9A"/>
    <w:rsid w:val="003F7104"/>
    <w:rsid w:val="003F7172"/>
    <w:rsid w:val="003F7194"/>
    <w:rsid w:val="003F7F89"/>
    <w:rsid w:val="00400752"/>
    <w:rsid w:val="00401480"/>
    <w:rsid w:val="0040255C"/>
    <w:rsid w:val="00402A29"/>
    <w:rsid w:val="00404AFD"/>
    <w:rsid w:val="00405E52"/>
    <w:rsid w:val="00410681"/>
    <w:rsid w:val="00411A43"/>
    <w:rsid w:val="004121D3"/>
    <w:rsid w:val="00412578"/>
    <w:rsid w:val="00412DF7"/>
    <w:rsid w:val="00413C04"/>
    <w:rsid w:val="00413D89"/>
    <w:rsid w:val="00414D0E"/>
    <w:rsid w:val="00415A88"/>
    <w:rsid w:val="00415D16"/>
    <w:rsid w:val="004168B5"/>
    <w:rsid w:val="00417185"/>
    <w:rsid w:val="00417703"/>
    <w:rsid w:val="004216AA"/>
    <w:rsid w:val="00421C54"/>
    <w:rsid w:val="004220C7"/>
    <w:rsid w:val="00422CCC"/>
    <w:rsid w:val="0042676C"/>
    <w:rsid w:val="00427DD7"/>
    <w:rsid w:val="004329A1"/>
    <w:rsid w:val="00432CBC"/>
    <w:rsid w:val="00432E9F"/>
    <w:rsid w:val="00433A69"/>
    <w:rsid w:val="00433B98"/>
    <w:rsid w:val="00433BE6"/>
    <w:rsid w:val="00433D8F"/>
    <w:rsid w:val="0043421F"/>
    <w:rsid w:val="00434482"/>
    <w:rsid w:val="00434AA3"/>
    <w:rsid w:val="00436244"/>
    <w:rsid w:val="00436FDA"/>
    <w:rsid w:val="004410DF"/>
    <w:rsid w:val="00441D0D"/>
    <w:rsid w:val="004420C4"/>
    <w:rsid w:val="0044240F"/>
    <w:rsid w:val="00443686"/>
    <w:rsid w:val="0044475C"/>
    <w:rsid w:val="00444885"/>
    <w:rsid w:val="00445322"/>
    <w:rsid w:val="0044535D"/>
    <w:rsid w:val="004453BA"/>
    <w:rsid w:val="00445C9E"/>
    <w:rsid w:val="00445F12"/>
    <w:rsid w:val="00446D34"/>
    <w:rsid w:val="00450619"/>
    <w:rsid w:val="00450BBB"/>
    <w:rsid w:val="00453507"/>
    <w:rsid w:val="00453EFD"/>
    <w:rsid w:val="0045551A"/>
    <w:rsid w:val="00456596"/>
    <w:rsid w:val="00457197"/>
    <w:rsid w:val="0045781B"/>
    <w:rsid w:val="0046123F"/>
    <w:rsid w:val="00463905"/>
    <w:rsid w:val="00463A6C"/>
    <w:rsid w:val="00464B39"/>
    <w:rsid w:val="004652E0"/>
    <w:rsid w:val="00467341"/>
    <w:rsid w:val="0047019E"/>
    <w:rsid w:val="004708BF"/>
    <w:rsid w:val="00470AC4"/>
    <w:rsid w:val="00470B97"/>
    <w:rsid w:val="004721A8"/>
    <w:rsid w:val="00472520"/>
    <w:rsid w:val="00472C8B"/>
    <w:rsid w:val="004735DF"/>
    <w:rsid w:val="00474FD3"/>
    <w:rsid w:val="004770D7"/>
    <w:rsid w:val="00480344"/>
    <w:rsid w:val="00480D69"/>
    <w:rsid w:val="00480FA7"/>
    <w:rsid w:val="0048113F"/>
    <w:rsid w:val="00481385"/>
    <w:rsid w:val="004836B9"/>
    <w:rsid w:val="0048393E"/>
    <w:rsid w:val="004840B5"/>
    <w:rsid w:val="0048413B"/>
    <w:rsid w:val="00484DDC"/>
    <w:rsid w:val="00485539"/>
    <w:rsid w:val="00486121"/>
    <w:rsid w:val="00486B3B"/>
    <w:rsid w:val="00487E50"/>
    <w:rsid w:val="0049084F"/>
    <w:rsid w:val="00490CFE"/>
    <w:rsid w:val="0049184E"/>
    <w:rsid w:val="00491C1D"/>
    <w:rsid w:val="00491E0D"/>
    <w:rsid w:val="00492795"/>
    <w:rsid w:val="00493375"/>
    <w:rsid w:val="004935B7"/>
    <w:rsid w:val="00494897"/>
    <w:rsid w:val="0049555C"/>
    <w:rsid w:val="00495A46"/>
    <w:rsid w:val="0049698E"/>
    <w:rsid w:val="00497230"/>
    <w:rsid w:val="004A050B"/>
    <w:rsid w:val="004A0DF8"/>
    <w:rsid w:val="004A1AFD"/>
    <w:rsid w:val="004A319C"/>
    <w:rsid w:val="004A38C1"/>
    <w:rsid w:val="004A5EE4"/>
    <w:rsid w:val="004A6813"/>
    <w:rsid w:val="004A7593"/>
    <w:rsid w:val="004A7ABC"/>
    <w:rsid w:val="004B1685"/>
    <w:rsid w:val="004B1858"/>
    <w:rsid w:val="004B23AA"/>
    <w:rsid w:val="004B2A77"/>
    <w:rsid w:val="004B349B"/>
    <w:rsid w:val="004B58FA"/>
    <w:rsid w:val="004B5D01"/>
    <w:rsid w:val="004B5EBB"/>
    <w:rsid w:val="004B6A06"/>
    <w:rsid w:val="004B7C53"/>
    <w:rsid w:val="004C1590"/>
    <w:rsid w:val="004C1BBA"/>
    <w:rsid w:val="004C4F0D"/>
    <w:rsid w:val="004C58FE"/>
    <w:rsid w:val="004C59BC"/>
    <w:rsid w:val="004C6023"/>
    <w:rsid w:val="004C6E2D"/>
    <w:rsid w:val="004C71FC"/>
    <w:rsid w:val="004C7627"/>
    <w:rsid w:val="004C78AA"/>
    <w:rsid w:val="004D0082"/>
    <w:rsid w:val="004D0539"/>
    <w:rsid w:val="004D14E2"/>
    <w:rsid w:val="004D17B2"/>
    <w:rsid w:val="004D29AC"/>
    <w:rsid w:val="004D2BBE"/>
    <w:rsid w:val="004D2F63"/>
    <w:rsid w:val="004D30F5"/>
    <w:rsid w:val="004D37E3"/>
    <w:rsid w:val="004D58BC"/>
    <w:rsid w:val="004D6287"/>
    <w:rsid w:val="004D63B4"/>
    <w:rsid w:val="004D6D7F"/>
    <w:rsid w:val="004D7D14"/>
    <w:rsid w:val="004E177A"/>
    <w:rsid w:val="004E186B"/>
    <w:rsid w:val="004E312C"/>
    <w:rsid w:val="004E3D12"/>
    <w:rsid w:val="004E452F"/>
    <w:rsid w:val="004E4F68"/>
    <w:rsid w:val="004E56E9"/>
    <w:rsid w:val="004E5974"/>
    <w:rsid w:val="004E5D86"/>
    <w:rsid w:val="004E61F2"/>
    <w:rsid w:val="004E7837"/>
    <w:rsid w:val="004F0180"/>
    <w:rsid w:val="004F04CD"/>
    <w:rsid w:val="004F1063"/>
    <w:rsid w:val="004F19BA"/>
    <w:rsid w:val="004F29D0"/>
    <w:rsid w:val="004F31F6"/>
    <w:rsid w:val="004F3323"/>
    <w:rsid w:val="004F33A8"/>
    <w:rsid w:val="004F3598"/>
    <w:rsid w:val="004F41FD"/>
    <w:rsid w:val="004F48A9"/>
    <w:rsid w:val="004F5C73"/>
    <w:rsid w:val="004F65B8"/>
    <w:rsid w:val="004F6D3F"/>
    <w:rsid w:val="004F76EE"/>
    <w:rsid w:val="00500319"/>
    <w:rsid w:val="005003DF"/>
    <w:rsid w:val="00501547"/>
    <w:rsid w:val="00501DF4"/>
    <w:rsid w:val="0050394C"/>
    <w:rsid w:val="00503B10"/>
    <w:rsid w:val="005046E5"/>
    <w:rsid w:val="00505BFC"/>
    <w:rsid w:val="00506747"/>
    <w:rsid w:val="00506944"/>
    <w:rsid w:val="00507211"/>
    <w:rsid w:val="0050725C"/>
    <w:rsid w:val="005107CF"/>
    <w:rsid w:val="00511024"/>
    <w:rsid w:val="00511721"/>
    <w:rsid w:val="0051242D"/>
    <w:rsid w:val="00514378"/>
    <w:rsid w:val="005145AA"/>
    <w:rsid w:val="00515ED7"/>
    <w:rsid w:val="00516601"/>
    <w:rsid w:val="00516D76"/>
    <w:rsid w:val="005174D4"/>
    <w:rsid w:val="00517B66"/>
    <w:rsid w:val="00517F3C"/>
    <w:rsid w:val="00520ADC"/>
    <w:rsid w:val="00521E36"/>
    <w:rsid w:val="00522C92"/>
    <w:rsid w:val="00524359"/>
    <w:rsid w:val="0052439F"/>
    <w:rsid w:val="00525E99"/>
    <w:rsid w:val="00526320"/>
    <w:rsid w:val="00526661"/>
    <w:rsid w:val="00526712"/>
    <w:rsid w:val="00530A87"/>
    <w:rsid w:val="00530F75"/>
    <w:rsid w:val="005313AC"/>
    <w:rsid w:val="00531911"/>
    <w:rsid w:val="00531DED"/>
    <w:rsid w:val="0053258B"/>
    <w:rsid w:val="00532809"/>
    <w:rsid w:val="00534051"/>
    <w:rsid w:val="00534923"/>
    <w:rsid w:val="00535ABD"/>
    <w:rsid w:val="00536273"/>
    <w:rsid w:val="005369B4"/>
    <w:rsid w:val="00536BFB"/>
    <w:rsid w:val="00537383"/>
    <w:rsid w:val="005375F1"/>
    <w:rsid w:val="00537710"/>
    <w:rsid w:val="00537957"/>
    <w:rsid w:val="00537B9E"/>
    <w:rsid w:val="00541589"/>
    <w:rsid w:val="00541D17"/>
    <w:rsid w:val="00541D4C"/>
    <w:rsid w:val="00541F23"/>
    <w:rsid w:val="005420DD"/>
    <w:rsid w:val="00542F88"/>
    <w:rsid w:val="00543D61"/>
    <w:rsid w:val="00544B65"/>
    <w:rsid w:val="005455CD"/>
    <w:rsid w:val="005458D4"/>
    <w:rsid w:val="00546318"/>
    <w:rsid w:val="00546503"/>
    <w:rsid w:val="00546A35"/>
    <w:rsid w:val="00547C6B"/>
    <w:rsid w:val="00551323"/>
    <w:rsid w:val="00553724"/>
    <w:rsid w:val="00553809"/>
    <w:rsid w:val="0055550F"/>
    <w:rsid w:val="00555B47"/>
    <w:rsid w:val="005562EF"/>
    <w:rsid w:val="005569CA"/>
    <w:rsid w:val="00556C76"/>
    <w:rsid w:val="00556F33"/>
    <w:rsid w:val="00557D71"/>
    <w:rsid w:val="00560185"/>
    <w:rsid w:val="0056056F"/>
    <w:rsid w:val="0056094C"/>
    <w:rsid w:val="005613D1"/>
    <w:rsid w:val="00563005"/>
    <w:rsid w:val="005630C7"/>
    <w:rsid w:val="00563513"/>
    <w:rsid w:val="0056513D"/>
    <w:rsid w:val="00566928"/>
    <w:rsid w:val="00566CC4"/>
    <w:rsid w:val="00566D6D"/>
    <w:rsid w:val="0057098D"/>
    <w:rsid w:val="005722B2"/>
    <w:rsid w:val="0057246C"/>
    <w:rsid w:val="00572592"/>
    <w:rsid w:val="005742F9"/>
    <w:rsid w:val="005743B3"/>
    <w:rsid w:val="00574B8F"/>
    <w:rsid w:val="00574F32"/>
    <w:rsid w:val="00575533"/>
    <w:rsid w:val="0058000D"/>
    <w:rsid w:val="005805E5"/>
    <w:rsid w:val="00581B0C"/>
    <w:rsid w:val="00581D5B"/>
    <w:rsid w:val="005826D5"/>
    <w:rsid w:val="0058304B"/>
    <w:rsid w:val="00583570"/>
    <w:rsid w:val="00583BD3"/>
    <w:rsid w:val="00584114"/>
    <w:rsid w:val="00584312"/>
    <w:rsid w:val="00584490"/>
    <w:rsid w:val="00585640"/>
    <w:rsid w:val="00585909"/>
    <w:rsid w:val="00585FCD"/>
    <w:rsid w:val="00586AB1"/>
    <w:rsid w:val="005906FB"/>
    <w:rsid w:val="00590A45"/>
    <w:rsid w:val="00590C42"/>
    <w:rsid w:val="00590D65"/>
    <w:rsid w:val="005910F6"/>
    <w:rsid w:val="005916C0"/>
    <w:rsid w:val="00591881"/>
    <w:rsid w:val="00591C68"/>
    <w:rsid w:val="00593ADE"/>
    <w:rsid w:val="005946CC"/>
    <w:rsid w:val="005967AD"/>
    <w:rsid w:val="00596DF6"/>
    <w:rsid w:val="00597920"/>
    <w:rsid w:val="00597DC7"/>
    <w:rsid w:val="005A00ED"/>
    <w:rsid w:val="005A0ED0"/>
    <w:rsid w:val="005A144C"/>
    <w:rsid w:val="005A158C"/>
    <w:rsid w:val="005A230F"/>
    <w:rsid w:val="005A23D1"/>
    <w:rsid w:val="005A2F31"/>
    <w:rsid w:val="005A4091"/>
    <w:rsid w:val="005A426F"/>
    <w:rsid w:val="005A440B"/>
    <w:rsid w:val="005A485A"/>
    <w:rsid w:val="005A4FEE"/>
    <w:rsid w:val="005A5774"/>
    <w:rsid w:val="005A59AE"/>
    <w:rsid w:val="005A6D3F"/>
    <w:rsid w:val="005A704B"/>
    <w:rsid w:val="005A72E3"/>
    <w:rsid w:val="005A7B66"/>
    <w:rsid w:val="005B0C0F"/>
    <w:rsid w:val="005B1406"/>
    <w:rsid w:val="005B148B"/>
    <w:rsid w:val="005B1BE5"/>
    <w:rsid w:val="005B1F08"/>
    <w:rsid w:val="005B2A19"/>
    <w:rsid w:val="005B2E86"/>
    <w:rsid w:val="005B32F0"/>
    <w:rsid w:val="005B3931"/>
    <w:rsid w:val="005B3C29"/>
    <w:rsid w:val="005B3CC1"/>
    <w:rsid w:val="005B4649"/>
    <w:rsid w:val="005B46C5"/>
    <w:rsid w:val="005B500C"/>
    <w:rsid w:val="005B52D5"/>
    <w:rsid w:val="005B534E"/>
    <w:rsid w:val="005B5971"/>
    <w:rsid w:val="005B5ACB"/>
    <w:rsid w:val="005B6876"/>
    <w:rsid w:val="005B71A1"/>
    <w:rsid w:val="005C004B"/>
    <w:rsid w:val="005C02F4"/>
    <w:rsid w:val="005C0CA2"/>
    <w:rsid w:val="005C152B"/>
    <w:rsid w:val="005C16F1"/>
    <w:rsid w:val="005C1E20"/>
    <w:rsid w:val="005C21F0"/>
    <w:rsid w:val="005C2705"/>
    <w:rsid w:val="005C36CB"/>
    <w:rsid w:val="005C3BFD"/>
    <w:rsid w:val="005C4BA2"/>
    <w:rsid w:val="005C546C"/>
    <w:rsid w:val="005C68E8"/>
    <w:rsid w:val="005C72A5"/>
    <w:rsid w:val="005C79DF"/>
    <w:rsid w:val="005D00CA"/>
    <w:rsid w:val="005D01F3"/>
    <w:rsid w:val="005D0692"/>
    <w:rsid w:val="005D0FE7"/>
    <w:rsid w:val="005D18D9"/>
    <w:rsid w:val="005D1CFA"/>
    <w:rsid w:val="005D25D2"/>
    <w:rsid w:val="005D360C"/>
    <w:rsid w:val="005D5D91"/>
    <w:rsid w:val="005D713E"/>
    <w:rsid w:val="005D7658"/>
    <w:rsid w:val="005D797C"/>
    <w:rsid w:val="005E0C00"/>
    <w:rsid w:val="005E171F"/>
    <w:rsid w:val="005E184F"/>
    <w:rsid w:val="005E4BDE"/>
    <w:rsid w:val="005E4C08"/>
    <w:rsid w:val="005E4F7E"/>
    <w:rsid w:val="005E5ED5"/>
    <w:rsid w:val="005E65E5"/>
    <w:rsid w:val="005E6CA8"/>
    <w:rsid w:val="005F1EE9"/>
    <w:rsid w:val="005F2E76"/>
    <w:rsid w:val="005F2EA9"/>
    <w:rsid w:val="005F2F3E"/>
    <w:rsid w:val="005F3A9F"/>
    <w:rsid w:val="005F4D41"/>
    <w:rsid w:val="005F6A8A"/>
    <w:rsid w:val="005F7021"/>
    <w:rsid w:val="005F792E"/>
    <w:rsid w:val="005F7D73"/>
    <w:rsid w:val="00600059"/>
    <w:rsid w:val="006008C8"/>
    <w:rsid w:val="00600AB0"/>
    <w:rsid w:val="00601884"/>
    <w:rsid w:val="00602795"/>
    <w:rsid w:val="0060317F"/>
    <w:rsid w:val="00603484"/>
    <w:rsid w:val="0060357B"/>
    <w:rsid w:val="00604BC3"/>
    <w:rsid w:val="00605093"/>
    <w:rsid w:val="006053E9"/>
    <w:rsid w:val="0060592A"/>
    <w:rsid w:val="0060621F"/>
    <w:rsid w:val="0060728B"/>
    <w:rsid w:val="00607BA5"/>
    <w:rsid w:val="006107F1"/>
    <w:rsid w:val="00611292"/>
    <w:rsid w:val="006119AB"/>
    <w:rsid w:val="00612ADC"/>
    <w:rsid w:val="00613776"/>
    <w:rsid w:val="00613EA6"/>
    <w:rsid w:val="00615491"/>
    <w:rsid w:val="0061560C"/>
    <w:rsid w:val="0061579A"/>
    <w:rsid w:val="006159DB"/>
    <w:rsid w:val="00615DD4"/>
    <w:rsid w:val="00616913"/>
    <w:rsid w:val="00620088"/>
    <w:rsid w:val="0062009D"/>
    <w:rsid w:val="006203DB"/>
    <w:rsid w:val="00620B56"/>
    <w:rsid w:val="0062294A"/>
    <w:rsid w:val="00623A1D"/>
    <w:rsid w:val="00623BC4"/>
    <w:rsid w:val="0062425D"/>
    <w:rsid w:val="00624272"/>
    <w:rsid w:val="0062470B"/>
    <w:rsid w:val="0062521A"/>
    <w:rsid w:val="00627775"/>
    <w:rsid w:val="00627CBC"/>
    <w:rsid w:val="00632779"/>
    <w:rsid w:val="00633D5E"/>
    <w:rsid w:val="00633EDF"/>
    <w:rsid w:val="00634154"/>
    <w:rsid w:val="006341CD"/>
    <w:rsid w:val="0063462E"/>
    <w:rsid w:val="0063497E"/>
    <w:rsid w:val="00634D8E"/>
    <w:rsid w:val="006365D6"/>
    <w:rsid w:val="00636A90"/>
    <w:rsid w:val="006400DB"/>
    <w:rsid w:val="00641586"/>
    <w:rsid w:val="00642664"/>
    <w:rsid w:val="00642D09"/>
    <w:rsid w:val="006434A5"/>
    <w:rsid w:val="006441A6"/>
    <w:rsid w:val="006447CA"/>
    <w:rsid w:val="00645A98"/>
    <w:rsid w:val="0064662A"/>
    <w:rsid w:val="00646B87"/>
    <w:rsid w:val="00646C26"/>
    <w:rsid w:val="00646C61"/>
    <w:rsid w:val="0065114E"/>
    <w:rsid w:val="006511B7"/>
    <w:rsid w:val="0065185A"/>
    <w:rsid w:val="00651C59"/>
    <w:rsid w:val="00651E2F"/>
    <w:rsid w:val="00652139"/>
    <w:rsid w:val="0065279D"/>
    <w:rsid w:val="0065323E"/>
    <w:rsid w:val="00653CD9"/>
    <w:rsid w:val="006541E6"/>
    <w:rsid w:val="00654ECB"/>
    <w:rsid w:val="00655017"/>
    <w:rsid w:val="00655647"/>
    <w:rsid w:val="00656D41"/>
    <w:rsid w:val="00656E85"/>
    <w:rsid w:val="006579B1"/>
    <w:rsid w:val="00657EE6"/>
    <w:rsid w:val="006602E0"/>
    <w:rsid w:val="00661011"/>
    <w:rsid w:val="006614E2"/>
    <w:rsid w:val="006615F4"/>
    <w:rsid w:val="00662735"/>
    <w:rsid w:val="0066377D"/>
    <w:rsid w:val="00664855"/>
    <w:rsid w:val="00666A04"/>
    <w:rsid w:val="00666BA1"/>
    <w:rsid w:val="0067012D"/>
    <w:rsid w:val="00670536"/>
    <w:rsid w:val="00672383"/>
    <w:rsid w:val="00672551"/>
    <w:rsid w:val="006727E7"/>
    <w:rsid w:val="006747C2"/>
    <w:rsid w:val="00675773"/>
    <w:rsid w:val="0067603B"/>
    <w:rsid w:val="00676402"/>
    <w:rsid w:val="00676464"/>
    <w:rsid w:val="00676CB9"/>
    <w:rsid w:val="00676DBA"/>
    <w:rsid w:val="006808D9"/>
    <w:rsid w:val="00680CAB"/>
    <w:rsid w:val="0068105F"/>
    <w:rsid w:val="006815B9"/>
    <w:rsid w:val="0068192B"/>
    <w:rsid w:val="00682030"/>
    <w:rsid w:val="00684C2A"/>
    <w:rsid w:val="00684CEF"/>
    <w:rsid w:val="006852FC"/>
    <w:rsid w:val="00685649"/>
    <w:rsid w:val="006856A1"/>
    <w:rsid w:val="00685F75"/>
    <w:rsid w:val="006862A2"/>
    <w:rsid w:val="00686D34"/>
    <w:rsid w:val="00687A1A"/>
    <w:rsid w:val="00687C1B"/>
    <w:rsid w:val="00690403"/>
    <w:rsid w:val="0069045A"/>
    <w:rsid w:val="00691433"/>
    <w:rsid w:val="006918B0"/>
    <w:rsid w:val="00691CD7"/>
    <w:rsid w:val="00691D77"/>
    <w:rsid w:val="00691F71"/>
    <w:rsid w:val="00692494"/>
    <w:rsid w:val="006940E5"/>
    <w:rsid w:val="00694B0C"/>
    <w:rsid w:val="00694DC1"/>
    <w:rsid w:val="00694ED7"/>
    <w:rsid w:val="006957A8"/>
    <w:rsid w:val="00697461"/>
    <w:rsid w:val="00697D60"/>
    <w:rsid w:val="006A00C8"/>
    <w:rsid w:val="006A1315"/>
    <w:rsid w:val="006A177C"/>
    <w:rsid w:val="006A2429"/>
    <w:rsid w:val="006A29F7"/>
    <w:rsid w:val="006A3235"/>
    <w:rsid w:val="006A36B0"/>
    <w:rsid w:val="006A3F20"/>
    <w:rsid w:val="006A505D"/>
    <w:rsid w:val="006A508E"/>
    <w:rsid w:val="006A58CC"/>
    <w:rsid w:val="006A74E7"/>
    <w:rsid w:val="006A77E0"/>
    <w:rsid w:val="006A7E34"/>
    <w:rsid w:val="006B0046"/>
    <w:rsid w:val="006B0279"/>
    <w:rsid w:val="006B0A11"/>
    <w:rsid w:val="006B0C5F"/>
    <w:rsid w:val="006B0E96"/>
    <w:rsid w:val="006B1CC0"/>
    <w:rsid w:val="006B2F61"/>
    <w:rsid w:val="006B3D9D"/>
    <w:rsid w:val="006B4B52"/>
    <w:rsid w:val="006B55D0"/>
    <w:rsid w:val="006B6694"/>
    <w:rsid w:val="006B68CB"/>
    <w:rsid w:val="006B6C33"/>
    <w:rsid w:val="006B707C"/>
    <w:rsid w:val="006B7369"/>
    <w:rsid w:val="006B742C"/>
    <w:rsid w:val="006B7B13"/>
    <w:rsid w:val="006C11A0"/>
    <w:rsid w:val="006C2CE4"/>
    <w:rsid w:val="006C30B7"/>
    <w:rsid w:val="006C37B9"/>
    <w:rsid w:val="006C3D6F"/>
    <w:rsid w:val="006C5C0F"/>
    <w:rsid w:val="006C600E"/>
    <w:rsid w:val="006C62A6"/>
    <w:rsid w:val="006C7531"/>
    <w:rsid w:val="006C78D6"/>
    <w:rsid w:val="006C7A1F"/>
    <w:rsid w:val="006C7DAB"/>
    <w:rsid w:val="006D2A6C"/>
    <w:rsid w:val="006D4377"/>
    <w:rsid w:val="006D5E2D"/>
    <w:rsid w:val="006D62CA"/>
    <w:rsid w:val="006D76FE"/>
    <w:rsid w:val="006D7A8A"/>
    <w:rsid w:val="006E0B3C"/>
    <w:rsid w:val="006E1C59"/>
    <w:rsid w:val="006E1D38"/>
    <w:rsid w:val="006E1E67"/>
    <w:rsid w:val="006E28E8"/>
    <w:rsid w:val="006E3CC9"/>
    <w:rsid w:val="006E5C6B"/>
    <w:rsid w:val="006E67CC"/>
    <w:rsid w:val="006E6FB0"/>
    <w:rsid w:val="006E730D"/>
    <w:rsid w:val="006E765A"/>
    <w:rsid w:val="006E7B27"/>
    <w:rsid w:val="006F0E7D"/>
    <w:rsid w:val="006F153F"/>
    <w:rsid w:val="006F1557"/>
    <w:rsid w:val="006F1D34"/>
    <w:rsid w:val="006F3369"/>
    <w:rsid w:val="006F47CC"/>
    <w:rsid w:val="006F4997"/>
    <w:rsid w:val="006F4BF7"/>
    <w:rsid w:val="006F5EE8"/>
    <w:rsid w:val="006F62B6"/>
    <w:rsid w:val="006F687F"/>
    <w:rsid w:val="006F73DA"/>
    <w:rsid w:val="006F76FC"/>
    <w:rsid w:val="00700AAC"/>
    <w:rsid w:val="00700B61"/>
    <w:rsid w:val="00700C0F"/>
    <w:rsid w:val="007012CA"/>
    <w:rsid w:val="007028DB"/>
    <w:rsid w:val="00702A74"/>
    <w:rsid w:val="00703254"/>
    <w:rsid w:val="007049C4"/>
    <w:rsid w:val="00704EFB"/>
    <w:rsid w:val="0070639C"/>
    <w:rsid w:val="0070692D"/>
    <w:rsid w:val="00707DAA"/>
    <w:rsid w:val="00710D42"/>
    <w:rsid w:val="007125A7"/>
    <w:rsid w:val="00712EE7"/>
    <w:rsid w:val="0071312F"/>
    <w:rsid w:val="00713557"/>
    <w:rsid w:val="0071365B"/>
    <w:rsid w:val="00713A3A"/>
    <w:rsid w:val="00713D68"/>
    <w:rsid w:val="00715C63"/>
    <w:rsid w:val="00715E2E"/>
    <w:rsid w:val="0071712A"/>
    <w:rsid w:val="007204AB"/>
    <w:rsid w:val="007212F3"/>
    <w:rsid w:val="00722AB0"/>
    <w:rsid w:val="00723507"/>
    <w:rsid w:val="00723D17"/>
    <w:rsid w:val="00724316"/>
    <w:rsid w:val="0072457D"/>
    <w:rsid w:val="00725EC3"/>
    <w:rsid w:val="00726AA7"/>
    <w:rsid w:val="00727042"/>
    <w:rsid w:val="007272B3"/>
    <w:rsid w:val="007272B6"/>
    <w:rsid w:val="007300B0"/>
    <w:rsid w:val="00730329"/>
    <w:rsid w:val="00730BCE"/>
    <w:rsid w:val="00730CB0"/>
    <w:rsid w:val="00730DC2"/>
    <w:rsid w:val="007317A1"/>
    <w:rsid w:val="00732A39"/>
    <w:rsid w:val="00733B0F"/>
    <w:rsid w:val="0073469F"/>
    <w:rsid w:val="00734987"/>
    <w:rsid w:val="007360B3"/>
    <w:rsid w:val="007360EA"/>
    <w:rsid w:val="00737490"/>
    <w:rsid w:val="007374AC"/>
    <w:rsid w:val="00737CFB"/>
    <w:rsid w:val="007405F1"/>
    <w:rsid w:val="00740D9E"/>
    <w:rsid w:val="00740E6B"/>
    <w:rsid w:val="0074183C"/>
    <w:rsid w:val="00741E35"/>
    <w:rsid w:val="00743CC1"/>
    <w:rsid w:val="00743FD4"/>
    <w:rsid w:val="007443BF"/>
    <w:rsid w:val="007450C5"/>
    <w:rsid w:val="0074531E"/>
    <w:rsid w:val="007453FD"/>
    <w:rsid w:val="007455BC"/>
    <w:rsid w:val="007456CF"/>
    <w:rsid w:val="00746AF6"/>
    <w:rsid w:val="007477C6"/>
    <w:rsid w:val="00747AE7"/>
    <w:rsid w:val="00747F87"/>
    <w:rsid w:val="00750631"/>
    <w:rsid w:val="007512FB"/>
    <w:rsid w:val="007529A5"/>
    <w:rsid w:val="007532EA"/>
    <w:rsid w:val="00754704"/>
    <w:rsid w:val="00754B38"/>
    <w:rsid w:val="00756AA7"/>
    <w:rsid w:val="00760A8A"/>
    <w:rsid w:val="00761428"/>
    <w:rsid w:val="00761B33"/>
    <w:rsid w:val="00763535"/>
    <w:rsid w:val="00763837"/>
    <w:rsid w:val="007639AA"/>
    <w:rsid w:val="00763B55"/>
    <w:rsid w:val="00763C7F"/>
    <w:rsid w:val="00763C91"/>
    <w:rsid w:val="00763EEB"/>
    <w:rsid w:val="0076405F"/>
    <w:rsid w:val="00764270"/>
    <w:rsid w:val="0076538F"/>
    <w:rsid w:val="00765615"/>
    <w:rsid w:val="00766560"/>
    <w:rsid w:val="007673C2"/>
    <w:rsid w:val="007676B9"/>
    <w:rsid w:val="007679C2"/>
    <w:rsid w:val="00767E05"/>
    <w:rsid w:val="00770128"/>
    <w:rsid w:val="00770479"/>
    <w:rsid w:val="00770F29"/>
    <w:rsid w:val="00771430"/>
    <w:rsid w:val="00771581"/>
    <w:rsid w:val="00771DE0"/>
    <w:rsid w:val="00772FA5"/>
    <w:rsid w:val="00772FFE"/>
    <w:rsid w:val="0077378C"/>
    <w:rsid w:val="00773C5E"/>
    <w:rsid w:val="00774120"/>
    <w:rsid w:val="0077463F"/>
    <w:rsid w:val="007747A5"/>
    <w:rsid w:val="00774990"/>
    <w:rsid w:val="00775A7E"/>
    <w:rsid w:val="0077614F"/>
    <w:rsid w:val="00776F51"/>
    <w:rsid w:val="007770D8"/>
    <w:rsid w:val="0077757B"/>
    <w:rsid w:val="00777A4C"/>
    <w:rsid w:val="00777FF5"/>
    <w:rsid w:val="00780759"/>
    <w:rsid w:val="00781669"/>
    <w:rsid w:val="00782021"/>
    <w:rsid w:val="007831CB"/>
    <w:rsid w:val="00783C21"/>
    <w:rsid w:val="00783CE0"/>
    <w:rsid w:val="007858F9"/>
    <w:rsid w:val="00785DEA"/>
    <w:rsid w:val="007875F8"/>
    <w:rsid w:val="00787FCC"/>
    <w:rsid w:val="00790236"/>
    <w:rsid w:val="00790247"/>
    <w:rsid w:val="0079065D"/>
    <w:rsid w:val="0079079F"/>
    <w:rsid w:val="00790CC3"/>
    <w:rsid w:val="007910FB"/>
    <w:rsid w:val="00791E9D"/>
    <w:rsid w:val="007921EB"/>
    <w:rsid w:val="0079278A"/>
    <w:rsid w:val="00792AD8"/>
    <w:rsid w:val="00792F48"/>
    <w:rsid w:val="007936F6"/>
    <w:rsid w:val="0079391C"/>
    <w:rsid w:val="00793C2A"/>
    <w:rsid w:val="00796A50"/>
    <w:rsid w:val="00797456"/>
    <w:rsid w:val="00797813"/>
    <w:rsid w:val="007A0448"/>
    <w:rsid w:val="007A13DB"/>
    <w:rsid w:val="007A1B7E"/>
    <w:rsid w:val="007A2679"/>
    <w:rsid w:val="007A39B8"/>
    <w:rsid w:val="007A413D"/>
    <w:rsid w:val="007A4421"/>
    <w:rsid w:val="007A4E3F"/>
    <w:rsid w:val="007A4FA2"/>
    <w:rsid w:val="007A6281"/>
    <w:rsid w:val="007A6CD4"/>
    <w:rsid w:val="007A710B"/>
    <w:rsid w:val="007B015E"/>
    <w:rsid w:val="007B038D"/>
    <w:rsid w:val="007B0501"/>
    <w:rsid w:val="007B1672"/>
    <w:rsid w:val="007B1787"/>
    <w:rsid w:val="007B1D63"/>
    <w:rsid w:val="007B217D"/>
    <w:rsid w:val="007B33F5"/>
    <w:rsid w:val="007B464D"/>
    <w:rsid w:val="007B5469"/>
    <w:rsid w:val="007B5E16"/>
    <w:rsid w:val="007B62F0"/>
    <w:rsid w:val="007B704F"/>
    <w:rsid w:val="007B75FF"/>
    <w:rsid w:val="007C0A25"/>
    <w:rsid w:val="007C0F2F"/>
    <w:rsid w:val="007C10EE"/>
    <w:rsid w:val="007C138E"/>
    <w:rsid w:val="007C6A2C"/>
    <w:rsid w:val="007C6FC2"/>
    <w:rsid w:val="007D01C8"/>
    <w:rsid w:val="007D1130"/>
    <w:rsid w:val="007D1974"/>
    <w:rsid w:val="007D286E"/>
    <w:rsid w:val="007D3329"/>
    <w:rsid w:val="007D40FB"/>
    <w:rsid w:val="007D441E"/>
    <w:rsid w:val="007D4966"/>
    <w:rsid w:val="007D4BB1"/>
    <w:rsid w:val="007D50A5"/>
    <w:rsid w:val="007D50C1"/>
    <w:rsid w:val="007D52A4"/>
    <w:rsid w:val="007D6351"/>
    <w:rsid w:val="007D6741"/>
    <w:rsid w:val="007D6A1B"/>
    <w:rsid w:val="007D6FF4"/>
    <w:rsid w:val="007D7354"/>
    <w:rsid w:val="007D7444"/>
    <w:rsid w:val="007E0348"/>
    <w:rsid w:val="007E071F"/>
    <w:rsid w:val="007E131A"/>
    <w:rsid w:val="007E137B"/>
    <w:rsid w:val="007E2027"/>
    <w:rsid w:val="007E3715"/>
    <w:rsid w:val="007E37E6"/>
    <w:rsid w:val="007E3B9B"/>
    <w:rsid w:val="007E6589"/>
    <w:rsid w:val="007E6DAC"/>
    <w:rsid w:val="007E7233"/>
    <w:rsid w:val="007E7DF8"/>
    <w:rsid w:val="007F0142"/>
    <w:rsid w:val="007F227A"/>
    <w:rsid w:val="007F3309"/>
    <w:rsid w:val="007F3C4F"/>
    <w:rsid w:val="007F48C4"/>
    <w:rsid w:val="007F52D4"/>
    <w:rsid w:val="007F578E"/>
    <w:rsid w:val="007F6802"/>
    <w:rsid w:val="007F6F57"/>
    <w:rsid w:val="00800596"/>
    <w:rsid w:val="00800C9E"/>
    <w:rsid w:val="00802538"/>
    <w:rsid w:val="00802621"/>
    <w:rsid w:val="0080364D"/>
    <w:rsid w:val="00803A38"/>
    <w:rsid w:val="008046C7"/>
    <w:rsid w:val="00804FF3"/>
    <w:rsid w:val="00806122"/>
    <w:rsid w:val="008078DB"/>
    <w:rsid w:val="00812417"/>
    <w:rsid w:val="00812812"/>
    <w:rsid w:val="00813AF5"/>
    <w:rsid w:val="00813ED9"/>
    <w:rsid w:val="00814355"/>
    <w:rsid w:val="00814C7C"/>
    <w:rsid w:val="00815AC6"/>
    <w:rsid w:val="00815DE1"/>
    <w:rsid w:val="008162EF"/>
    <w:rsid w:val="00823055"/>
    <w:rsid w:val="00823096"/>
    <w:rsid w:val="00823F4F"/>
    <w:rsid w:val="00824024"/>
    <w:rsid w:val="00824985"/>
    <w:rsid w:val="00825D55"/>
    <w:rsid w:val="00827594"/>
    <w:rsid w:val="00830EB6"/>
    <w:rsid w:val="0083203D"/>
    <w:rsid w:val="0083230A"/>
    <w:rsid w:val="00833CB8"/>
    <w:rsid w:val="008358E3"/>
    <w:rsid w:val="008378C6"/>
    <w:rsid w:val="00837EBA"/>
    <w:rsid w:val="00837F72"/>
    <w:rsid w:val="00840E1D"/>
    <w:rsid w:val="0084100F"/>
    <w:rsid w:val="008410C7"/>
    <w:rsid w:val="008416B3"/>
    <w:rsid w:val="00841A20"/>
    <w:rsid w:val="00844939"/>
    <w:rsid w:val="00844D5C"/>
    <w:rsid w:val="00845233"/>
    <w:rsid w:val="00845944"/>
    <w:rsid w:val="00845D6A"/>
    <w:rsid w:val="008460C6"/>
    <w:rsid w:val="00846972"/>
    <w:rsid w:val="0084702D"/>
    <w:rsid w:val="00847BE2"/>
    <w:rsid w:val="00847CA0"/>
    <w:rsid w:val="00847FE6"/>
    <w:rsid w:val="00850AB3"/>
    <w:rsid w:val="008526DC"/>
    <w:rsid w:val="00854141"/>
    <w:rsid w:val="00854EBE"/>
    <w:rsid w:val="00854EF2"/>
    <w:rsid w:val="00856981"/>
    <w:rsid w:val="00856A81"/>
    <w:rsid w:val="0086028F"/>
    <w:rsid w:val="00862631"/>
    <w:rsid w:val="00862ED6"/>
    <w:rsid w:val="00864499"/>
    <w:rsid w:val="0086452F"/>
    <w:rsid w:val="00864580"/>
    <w:rsid w:val="00864D72"/>
    <w:rsid w:val="00865131"/>
    <w:rsid w:val="00866133"/>
    <w:rsid w:val="0086684F"/>
    <w:rsid w:val="00866CCB"/>
    <w:rsid w:val="00871BF1"/>
    <w:rsid w:val="00871FA7"/>
    <w:rsid w:val="008722EA"/>
    <w:rsid w:val="00874234"/>
    <w:rsid w:val="00874B99"/>
    <w:rsid w:val="00874C85"/>
    <w:rsid w:val="008762A6"/>
    <w:rsid w:val="008773C9"/>
    <w:rsid w:val="00877620"/>
    <w:rsid w:val="00881803"/>
    <w:rsid w:val="00881915"/>
    <w:rsid w:val="00881B0C"/>
    <w:rsid w:val="00882093"/>
    <w:rsid w:val="008824FF"/>
    <w:rsid w:val="0088314C"/>
    <w:rsid w:val="00885CD7"/>
    <w:rsid w:val="00885D9C"/>
    <w:rsid w:val="00885E56"/>
    <w:rsid w:val="008863DF"/>
    <w:rsid w:val="008867C5"/>
    <w:rsid w:val="0088714F"/>
    <w:rsid w:val="00887A9A"/>
    <w:rsid w:val="00890CA9"/>
    <w:rsid w:val="00891095"/>
    <w:rsid w:val="00891C83"/>
    <w:rsid w:val="00892168"/>
    <w:rsid w:val="008924AC"/>
    <w:rsid w:val="008947B4"/>
    <w:rsid w:val="0089511C"/>
    <w:rsid w:val="00895231"/>
    <w:rsid w:val="00896495"/>
    <w:rsid w:val="008A0207"/>
    <w:rsid w:val="008A0BF2"/>
    <w:rsid w:val="008A30A8"/>
    <w:rsid w:val="008A3647"/>
    <w:rsid w:val="008A3EFF"/>
    <w:rsid w:val="008A52FE"/>
    <w:rsid w:val="008A5CBA"/>
    <w:rsid w:val="008A7EC2"/>
    <w:rsid w:val="008B0D4F"/>
    <w:rsid w:val="008B3E12"/>
    <w:rsid w:val="008B4460"/>
    <w:rsid w:val="008B4640"/>
    <w:rsid w:val="008B621C"/>
    <w:rsid w:val="008C012B"/>
    <w:rsid w:val="008C1489"/>
    <w:rsid w:val="008C1503"/>
    <w:rsid w:val="008C2A74"/>
    <w:rsid w:val="008C3220"/>
    <w:rsid w:val="008C4273"/>
    <w:rsid w:val="008C4CFC"/>
    <w:rsid w:val="008C54E9"/>
    <w:rsid w:val="008C6211"/>
    <w:rsid w:val="008C71ED"/>
    <w:rsid w:val="008C7D7D"/>
    <w:rsid w:val="008C7DF5"/>
    <w:rsid w:val="008D07E0"/>
    <w:rsid w:val="008D1306"/>
    <w:rsid w:val="008D1732"/>
    <w:rsid w:val="008D2938"/>
    <w:rsid w:val="008D4A02"/>
    <w:rsid w:val="008D4F9F"/>
    <w:rsid w:val="008D52B4"/>
    <w:rsid w:val="008D52C7"/>
    <w:rsid w:val="008D5D5B"/>
    <w:rsid w:val="008D6C35"/>
    <w:rsid w:val="008D6D67"/>
    <w:rsid w:val="008D70F6"/>
    <w:rsid w:val="008D7D66"/>
    <w:rsid w:val="008E0133"/>
    <w:rsid w:val="008E0ADE"/>
    <w:rsid w:val="008E1D0C"/>
    <w:rsid w:val="008E2220"/>
    <w:rsid w:val="008E3102"/>
    <w:rsid w:val="008E4707"/>
    <w:rsid w:val="008E4870"/>
    <w:rsid w:val="008E79D4"/>
    <w:rsid w:val="008F0941"/>
    <w:rsid w:val="008F114B"/>
    <w:rsid w:val="008F1347"/>
    <w:rsid w:val="008F2878"/>
    <w:rsid w:val="008F3DFB"/>
    <w:rsid w:val="008F4BB7"/>
    <w:rsid w:val="008F697D"/>
    <w:rsid w:val="008F6BBD"/>
    <w:rsid w:val="008F6C00"/>
    <w:rsid w:val="008F6D40"/>
    <w:rsid w:val="008F71AA"/>
    <w:rsid w:val="00900ECD"/>
    <w:rsid w:val="00901828"/>
    <w:rsid w:val="0090469F"/>
    <w:rsid w:val="009049B8"/>
    <w:rsid w:val="00905DE4"/>
    <w:rsid w:val="00906643"/>
    <w:rsid w:val="00906698"/>
    <w:rsid w:val="0090773E"/>
    <w:rsid w:val="009079C3"/>
    <w:rsid w:val="00907CB4"/>
    <w:rsid w:val="00910089"/>
    <w:rsid w:val="009103E2"/>
    <w:rsid w:val="0091180A"/>
    <w:rsid w:val="00911FAB"/>
    <w:rsid w:val="00912481"/>
    <w:rsid w:val="0091264B"/>
    <w:rsid w:val="00912F27"/>
    <w:rsid w:val="00912F78"/>
    <w:rsid w:val="00913094"/>
    <w:rsid w:val="00913C13"/>
    <w:rsid w:val="00913D69"/>
    <w:rsid w:val="009144D5"/>
    <w:rsid w:val="0091463B"/>
    <w:rsid w:val="00914B86"/>
    <w:rsid w:val="00915974"/>
    <w:rsid w:val="00915BEB"/>
    <w:rsid w:val="00915CD7"/>
    <w:rsid w:val="0091705B"/>
    <w:rsid w:val="00917657"/>
    <w:rsid w:val="00917D44"/>
    <w:rsid w:val="009211AC"/>
    <w:rsid w:val="0092234E"/>
    <w:rsid w:val="00922CA1"/>
    <w:rsid w:val="00922D03"/>
    <w:rsid w:val="009238FB"/>
    <w:rsid w:val="00924121"/>
    <w:rsid w:val="00924370"/>
    <w:rsid w:val="009272C0"/>
    <w:rsid w:val="00927652"/>
    <w:rsid w:val="00927949"/>
    <w:rsid w:val="00930AE7"/>
    <w:rsid w:val="00931636"/>
    <w:rsid w:val="00931F46"/>
    <w:rsid w:val="00932C12"/>
    <w:rsid w:val="00932D60"/>
    <w:rsid w:val="00932E65"/>
    <w:rsid w:val="0093374C"/>
    <w:rsid w:val="009351EC"/>
    <w:rsid w:val="00936584"/>
    <w:rsid w:val="0093792D"/>
    <w:rsid w:val="00940110"/>
    <w:rsid w:val="009415A9"/>
    <w:rsid w:val="00941BAC"/>
    <w:rsid w:val="00942C06"/>
    <w:rsid w:val="009434F7"/>
    <w:rsid w:val="00943A4F"/>
    <w:rsid w:val="00943CD0"/>
    <w:rsid w:val="009454BA"/>
    <w:rsid w:val="00950147"/>
    <w:rsid w:val="0095082A"/>
    <w:rsid w:val="00950CC1"/>
    <w:rsid w:val="00951695"/>
    <w:rsid w:val="009517A6"/>
    <w:rsid w:val="00952EC7"/>
    <w:rsid w:val="0095338E"/>
    <w:rsid w:val="00954405"/>
    <w:rsid w:val="009568F5"/>
    <w:rsid w:val="009604D5"/>
    <w:rsid w:val="0096211D"/>
    <w:rsid w:val="009621DC"/>
    <w:rsid w:val="00962F10"/>
    <w:rsid w:val="009631D8"/>
    <w:rsid w:val="00963347"/>
    <w:rsid w:val="009638E8"/>
    <w:rsid w:val="00963E75"/>
    <w:rsid w:val="009645A5"/>
    <w:rsid w:val="00964DA7"/>
    <w:rsid w:val="009651DB"/>
    <w:rsid w:val="0096553B"/>
    <w:rsid w:val="00965916"/>
    <w:rsid w:val="00965A53"/>
    <w:rsid w:val="009661DD"/>
    <w:rsid w:val="0096669B"/>
    <w:rsid w:val="00966D7F"/>
    <w:rsid w:val="00966EB5"/>
    <w:rsid w:val="009675B7"/>
    <w:rsid w:val="00967AE3"/>
    <w:rsid w:val="0097015E"/>
    <w:rsid w:val="009706BA"/>
    <w:rsid w:val="0097111C"/>
    <w:rsid w:val="00971979"/>
    <w:rsid w:val="00971AA3"/>
    <w:rsid w:val="00972073"/>
    <w:rsid w:val="00972C7C"/>
    <w:rsid w:val="0097300C"/>
    <w:rsid w:val="00973BC8"/>
    <w:rsid w:val="00974430"/>
    <w:rsid w:val="00974651"/>
    <w:rsid w:val="00977786"/>
    <w:rsid w:val="0098007E"/>
    <w:rsid w:val="009823B9"/>
    <w:rsid w:val="00982B3F"/>
    <w:rsid w:val="00982C83"/>
    <w:rsid w:val="00983A90"/>
    <w:rsid w:val="0098542A"/>
    <w:rsid w:val="00986A35"/>
    <w:rsid w:val="00986DAB"/>
    <w:rsid w:val="009870E9"/>
    <w:rsid w:val="00987A43"/>
    <w:rsid w:val="00987C74"/>
    <w:rsid w:val="009916A8"/>
    <w:rsid w:val="0099187A"/>
    <w:rsid w:val="009934BF"/>
    <w:rsid w:val="00993544"/>
    <w:rsid w:val="00993677"/>
    <w:rsid w:val="009948A0"/>
    <w:rsid w:val="00994D06"/>
    <w:rsid w:val="00995363"/>
    <w:rsid w:val="00995F6D"/>
    <w:rsid w:val="0099628A"/>
    <w:rsid w:val="0099648F"/>
    <w:rsid w:val="009968CC"/>
    <w:rsid w:val="00997AEC"/>
    <w:rsid w:val="009A0AF4"/>
    <w:rsid w:val="009A131C"/>
    <w:rsid w:val="009A1C57"/>
    <w:rsid w:val="009A208F"/>
    <w:rsid w:val="009A239B"/>
    <w:rsid w:val="009A2DF3"/>
    <w:rsid w:val="009A2E03"/>
    <w:rsid w:val="009A313E"/>
    <w:rsid w:val="009A3D73"/>
    <w:rsid w:val="009A4509"/>
    <w:rsid w:val="009A48F6"/>
    <w:rsid w:val="009A55EF"/>
    <w:rsid w:val="009A6347"/>
    <w:rsid w:val="009A7402"/>
    <w:rsid w:val="009A75BB"/>
    <w:rsid w:val="009B0B87"/>
    <w:rsid w:val="009B0D30"/>
    <w:rsid w:val="009B238E"/>
    <w:rsid w:val="009B2439"/>
    <w:rsid w:val="009B2781"/>
    <w:rsid w:val="009B3139"/>
    <w:rsid w:val="009B356C"/>
    <w:rsid w:val="009B35C8"/>
    <w:rsid w:val="009B3EBC"/>
    <w:rsid w:val="009B4119"/>
    <w:rsid w:val="009B4630"/>
    <w:rsid w:val="009B50EE"/>
    <w:rsid w:val="009B54E0"/>
    <w:rsid w:val="009B5889"/>
    <w:rsid w:val="009B5941"/>
    <w:rsid w:val="009B6A94"/>
    <w:rsid w:val="009B75F8"/>
    <w:rsid w:val="009B763F"/>
    <w:rsid w:val="009B7AE4"/>
    <w:rsid w:val="009C0408"/>
    <w:rsid w:val="009C1565"/>
    <w:rsid w:val="009C157F"/>
    <w:rsid w:val="009C18D4"/>
    <w:rsid w:val="009C1F63"/>
    <w:rsid w:val="009C2916"/>
    <w:rsid w:val="009C4C41"/>
    <w:rsid w:val="009C4ECF"/>
    <w:rsid w:val="009C5E68"/>
    <w:rsid w:val="009C6243"/>
    <w:rsid w:val="009C65F5"/>
    <w:rsid w:val="009C71EB"/>
    <w:rsid w:val="009C7DCA"/>
    <w:rsid w:val="009D0E2A"/>
    <w:rsid w:val="009D1B86"/>
    <w:rsid w:val="009D201F"/>
    <w:rsid w:val="009D259D"/>
    <w:rsid w:val="009D3D2F"/>
    <w:rsid w:val="009D46E5"/>
    <w:rsid w:val="009D496C"/>
    <w:rsid w:val="009D5C66"/>
    <w:rsid w:val="009D5D03"/>
    <w:rsid w:val="009D6C5E"/>
    <w:rsid w:val="009E0FC8"/>
    <w:rsid w:val="009E11FE"/>
    <w:rsid w:val="009E1399"/>
    <w:rsid w:val="009E1C49"/>
    <w:rsid w:val="009E1E40"/>
    <w:rsid w:val="009E22FF"/>
    <w:rsid w:val="009E5260"/>
    <w:rsid w:val="009E5F96"/>
    <w:rsid w:val="009E70C6"/>
    <w:rsid w:val="009E7B74"/>
    <w:rsid w:val="009F03AD"/>
    <w:rsid w:val="009F0B09"/>
    <w:rsid w:val="009F3C3F"/>
    <w:rsid w:val="009F40B4"/>
    <w:rsid w:val="009F4C63"/>
    <w:rsid w:val="009F4FC4"/>
    <w:rsid w:val="009F5B48"/>
    <w:rsid w:val="009F6A46"/>
    <w:rsid w:val="009F7318"/>
    <w:rsid w:val="009F79EB"/>
    <w:rsid w:val="009F7F6F"/>
    <w:rsid w:val="009F7FAD"/>
    <w:rsid w:val="00A00038"/>
    <w:rsid w:val="00A012B1"/>
    <w:rsid w:val="00A02070"/>
    <w:rsid w:val="00A02335"/>
    <w:rsid w:val="00A03277"/>
    <w:rsid w:val="00A0393C"/>
    <w:rsid w:val="00A0410F"/>
    <w:rsid w:val="00A04256"/>
    <w:rsid w:val="00A04364"/>
    <w:rsid w:val="00A049EF"/>
    <w:rsid w:val="00A055AC"/>
    <w:rsid w:val="00A0569C"/>
    <w:rsid w:val="00A05A21"/>
    <w:rsid w:val="00A05C0B"/>
    <w:rsid w:val="00A064F0"/>
    <w:rsid w:val="00A068FB"/>
    <w:rsid w:val="00A06F99"/>
    <w:rsid w:val="00A07450"/>
    <w:rsid w:val="00A07C37"/>
    <w:rsid w:val="00A10306"/>
    <w:rsid w:val="00A115C4"/>
    <w:rsid w:val="00A11AD1"/>
    <w:rsid w:val="00A12A60"/>
    <w:rsid w:val="00A12F52"/>
    <w:rsid w:val="00A13B1E"/>
    <w:rsid w:val="00A13F64"/>
    <w:rsid w:val="00A13F97"/>
    <w:rsid w:val="00A140B3"/>
    <w:rsid w:val="00A156D3"/>
    <w:rsid w:val="00A15A86"/>
    <w:rsid w:val="00A15E75"/>
    <w:rsid w:val="00A20CD6"/>
    <w:rsid w:val="00A21101"/>
    <w:rsid w:val="00A21C62"/>
    <w:rsid w:val="00A21D22"/>
    <w:rsid w:val="00A22EFE"/>
    <w:rsid w:val="00A24457"/>
    <w:rsid w:val="00A24DE4"/>
    <w:rsid w:val="00A255B0"/>
    <w:rsid w:val="00A25B6C"/>
    <w:rsid w:val="00A260CF"/>
    <w:rsid w:val="00A2688B"/>
    <w:rsid w:val="00A26E51"/>
    <w:rsid w:val="00A27A5F"/>
    <w:rsid w:val="00A27CF6"/>
    <w:rsid w:val="00A30C52"/>
    <w:rsid w:val="00A30CD7"/>
    <w:rsid w:val="00A311CC"/>
    <w:rsid w:val="00A313E0"/>
    <w:rsid w:val="00A319CA"/>
    <w:rsid w:val="00A322B2"/>
    <w:rsid w:val="00A33204"/>
    <w:rsid w:val="00A34DAC"/>
    <w:rsid w:val="00A34F26"/>
    <w:rsid w:val="00A3530A"/>
    <w:rsid w:val="00A36724"/>
    <w:rsid w:val="00A375A5"/>
    <w:rsid w:val="00A37699"/>
    <w:rsid w:val="00A3793B"/>
    <w:rsid w:val="00A37A24"/>
    <w:rsid w:val="00A42039"/>
    <w:rsid w:val="00A42CD0"/>
    <w:rsid w:val="00A4305F"/>
    <w:rsid w:val="00A43639"/>
    <w:rsid w:val="00A4376E"/>
    <w:rsid w:val="00A4657C"/>
    <w:rsid w:val="00A47403"/>
    <w:rsid w:val="00A506D8"/>
    <w:rsid w:val="00A5259E"/>
    <w:rsid w:val="00A52A5B"/>
    <w:rsid w:val="00A55CCF"/>
    <w:rsid w:val="00A56EAF"/>
    <w:rsid w:val="00A57ABF"/>
    <w:rsid w:val="00A60E60"/>
    <w:rsid w:val="00A61A1D"/>
    <w:rsid w:val="00A61DF0"/>
    <w:rsid w:val="00A630E1"/>
    <w:rsid w:val="00A64DC6"/>
    <w:rsid w:val="00A64F66"/>
    <w:rsid w:val="00A65A22"/>
    <w:rsid w:val="00A66625"/>
    <w:rsid w:val="00A6710F"/>
    <w:rsid w:val="00A675EE"/>
    <w:rsid w:val="00A6762C"/>
    <w:rsid w:val="00A67EA9"/>
    <w:rsid w:val="00A717FD"/>
    <w:rsid w:val="00A71A9C"/>
    <w:rsid w:val="00A73315"/>
    <w:rsid w:val="00A73391"/>
    <w:rsid w:val="00A7525A"/>
    <w:rsid w:val="00A75A85"/>
    <w:rsid w:val="00A76B0D"/>
    <w:rsid w:val="00A77751"/>
    <w:rsid w:val="00A779B8"/>
    <w:rsid w:val="00A804A6"/>
    <w:rsid w:val="00A82429"/>
    <w:rsid w:val="00A82884"/>
    <w:rsid w:val="00A83EC0"/>
    <w:rsid w:val="00A841B9"/>
    <w:rsid w:val="00A850F2"/>
    <w:rsid w:val="00A855DD"/>
    <w:rsid w:val="00A85BB1"/>
    <w:rsid w:val="00A85D59"/>
    <w:rsid w:val="00A86699"/>
    <w:rsid w:val="00A87599"/>
    <w:rsid w:val="00A90E54"/>
    <w:rsid w:val="00A91091"/>
    <w:rsid w:val="00A94B9E"/>
    <w:rsid w:val="00A962FA"/>
    <w:rsid w:val="00A96F84"/>
    <w:rsid w:val="00A97A11"/>
    <w:rsid w:val="00AA0B87"/>
    <w:rsid w:val="00AA1C3C"/>
    <w:rsid w:val="00AA243B"/>
    <w:rsid w:val="00AA38BB"/>
    <w:rsid w:val="00AA38ED"/>
    <w:rsid w:val="00AA3E1E"/>
    <w:rsid w:val="00AA47C2"/>
    <w:rsid w:val="00AA4AED"/>
    <w:rsid w:val="00AA5499"/>
    <w:rsid w:val="00AA6E2C"/>
    <w:rsid w:val="00AA7BFC"/>
    <w:rsid w:val="00AB1D34"/>
    <w:rsid w:val="00AB293B"/>
    <w:rsid w:val="00AB2FFE"/>
    <w:rsid w:val="00AB36D5"/>
    <w:rsid w:val="00AB3F04"/>
    <w:rsid w:val="00AB75AA"/>
    <w:rsid w:val="00AB789F"/>
    <w:rsid w:val="00AC0115"/>
    <w:rsid w:val="00AC03EE"/>
    <w:rsid w:val="00AC06C2"/>
    <w:rsid w:val="00AC07E8"/>
    <w:rsid w:val="00AC1AA6"/>
    <w:rsid w:val="00AC221D"/>
    <w:rsid w:val="00AC36E5"/>
    <w:rsid w:val="00AC3DC6"/>
    <w:rsid w:val="00AC5006"/>
    <w:rsid w:val="00AC529E"/>
    <w:rsid w:val="00AC530D"/>
    <w:rsid w:val="00AC5693"/>
    <w:rsid w:val="00AC5814"/>
    <w:rsid w:val="00AC5DDA"/>
    <w:rsid w:val="00AC62E9"/>
    <w:rsid w:val="00AC6558"/>
    <w:rsid w:val="00AC658B"/>
    <w:rsid w:val="00AC65CE"/>
    <w:rsid w:val="00AC6F5E"/>
    <w:rsid w:val="00AD0B9A"/>
    <w:rsid w:val="00AD0F55"/>
    <w:rsid w:val="00AD1C66"/>
    <w:rsid w:val="00AD2C97"/>
    <w:rsid w:val="00AD340E"/>
    <w:rsid w:val="00AD368E"/>
    <w:rsid w:val="00AD3D87"/>
    <w:rsid w:val="00AD3F15"/>
    <w:rsid w:val="00AD4D05"/>
    <w:rsid w:val="00AD4D5E"/>
    <w:rsid w:val="00AD50BF"/>
    <w:rsid w:val="00AD60DF"/>
    <w:rsid w:val="00AE02B3"/>
    <w:rsid w:val="00AE03CD"/>
    <w:rsid w:val="00AE063C"/>
    <w:rsid w:val="00AE1531"/>
    <w:rsid w:val="00AE2383"/>
    <w:rsid w:val="00AE24A4"/>
    <w:rsid w:val="00AE2703"/>
    <w:rsid w:val="00AE2FC8"/>
    <w:rsid w:val="00AE4100"/>
    <w:rsid w:val="00AE59BE"/>
    <w:rsid w:val="00AE65D9"/>
    <w:rsid w:val="00AE6E5C"/>
    <w:rsid w:val="00AE6E6F"/>
    <w:rsid w:val="00AE733B"/>
    <w:rsid w:val="00AE7CF6"/>
    <w:rsid w:val="00AF0521"/>
    <w:rsid w:val="00AF0885"/>
    <w:rsid w:val="00AF12B5"/>
    <w:rsid w:val="00AF1AB3"/>
    <w:rsid w:val="00AF2317"/>
    <w:rsid w:val="00AF29CE"/>
    <w:rsid w:val="00AF3608"/>
    <w:rsid w:val="00AF3C38"/>
    <w:rsid w:val="00AF3EFE"/>
    <w:rsid w:val="00AF5001"/>
    <w:rsid w:val="00AF50BE"/>
    <w:rsid w:val="00AF54B3"/>
    <w:rsid w:val="00AF603B"/>
    <w:rsid w:val="00AF609F"/>
    <w:rsid w:val="00AF727D"/>
    <w:rsid w:val="00AF730C"/>
    <w:rsid w:val="00B00977"/>
    <w:rsid w:val="00B00B0B"/>
    <w:rsid w:val="00B00FE4"/>
    <w:rsid w:val="00B01501"/>
    <w:rsid w:val="00B01F50"/>
    <w:rsid w:val="00B028A2"/>
    <w:rsid w:val="00B02AAF"/>
    <w:rsid w:val="00B03476"/>
    <w:rsid w:val="00B03BE2"/>
    <w:rsid w:val="00B03CF2"/>
    <w:rsid w:val="00B04184"/>
    <w:rsid w:val="00B04D22"/>
    <w:rsid w:val="00B05B75"/>
    <w:rsid w:val="00B05CA7"/>
    <w:rsid w:val="00B065C2"/>
    <w:rsid w:val="00B07101"/>
    <w:rsid w:val="00B07FB4"/>
    <w:rsid w:val="00B1000C"/>
    <w:rsid w:val="00B102A2"/>
    <w:rsid w:val="00B10411"/>
    <w:rsid w:val="00B11857"/>
    <w:rsid w:val="00B11D2B"/>
    <w:rsid w:val="00B1322E"/>
    <w:rsid w:val="00B1417A"/>
    <w:rsid w:val="00B1500C"/>
    <w:rsid w:val="00B1570A"/>
    <w:rsid w:val="00B15940"/>
    <w:rsid w:val="00B16C06"/>
    <w:rsid w:val="00B179F8"/>
    <w:rsid w:val="00B200B9"/>
    <w:rsid w:val="00B204CB"/>
    <w:rsid w:val="00B21088"/>
    <w:rsid w:val="00B225AC"/>
    <w:rsid w:val="00B22B15"/>
    <w:rsid w:val="00B25110"/>
    <w:rsid w:val="00B25F9E"/>
    <w:rsid w:val="00B263C2"/>
    <w:rsid w:val="00B274ED"/>
    <w:rsid w:val="00B3050A"/>
    <w:rsid w:val="00B3128A"/>
    <w:rsid w:val="00B315C8"/>
    <w:rsid w:val="00B32919"/>
    <w:rsid w:val="00B33936"/>
    <w:rsid w:val="00B3422D"/>
    <w:rsid w:val="00B3442F"/>
    <w:rsid w:val="00B3543F"/>
    <w:rsid w:val="00B3631F"/>
    <w:rsid w:val="00B3640A"/>
    <w:rsid w:val="00B37325"/>
    <w:rsid w:val="00B414F5"/>
    <w:rsid w:val="00B41ED3"/>
    <w:rsid w:val="00B41F99"/>
    <w:rsid w:val="00B4217B"/>
    <w:rsid w:val="00B42596"/>
    <w:rsid w:val="00B437B0"/>
    <w:rsid w:val="00B455ED"/>
    <w:rsid w:val="00B47982"/>
    <w:rsid w:val="00B50053"/>
    <w:rsid w:val="00B50A85"/>
    <w:rsid w:val="00B51A19"/>
    <w:rsid w:val="00B521E1"/>
    <w:rsid w:val="00B52C9E"/>
    <w:rsid w:val="00B5415A"/>
    <w:rsid w:val="00B5467B"/>
    <w:rsid w:val="00B54F17"/>
    <w:rsid w:val="00B55AD7"/>
    <w:rsid w:val="00B5676F"/>
    <w:rsid w:val="00B56FFF"/>
    <w:rsid w:val="00B60118"/>
    <w:rsid w:val="00B6174D"/>
    <w:rsid w:val="00B61BB9"/>
    <w:rsid w:val="00B61C9B"/>
    <w:rsid w:val="00B62001"/>
    <w:rsid w:val="00B621A3"/>
    <w:rsid w:val="00B62276"/>
    <w:rsid w:val="00B6278E"/>
    <w:rsid w:val="00B62A50"/>
    <w:rsid w:val="00B62D4D"/>
    <w:rsid w:val="00B62F7A"/>
    <w:rsid w:val="00B633BE"/>
    <w:rsid w:val="00B6418C"/>
    <w:rsid w:val="00B65029"/>
    <w:rsid w:val="00B658BE"/>
    <w:rsid w:val="00B660D5"/>
    <w:rsid w:val="00B664E5"/>
    <w:rsid w:val="00B669B6"/>
    <w:rsid w:val="00B6767C"/>
    <w:rsid w:val="00B71D78"/>
    <w:rsid w:val="00B73E5A"/>
    <w:rsid w:val="00B747B4"/>
    <w:rsid w:val="00B75034"/>
    <w:rsid w:val="00B75681"/>
    <w:rsid w:val="00B759C6"/>
    <w:rsid w:val="00B75A68"/>
    <w:rsid w:val="00B770F1"/>
    <w:rsid w:val="00B77BEC"/>
    <w:rsid w:val="00B80B72"/>
    <w:rsid w:val="00B81345"/>
    <w:rsid w:val="00B81E94"/>
    <w:rsid w:val="00B83571"/>
    <w:rsid w:val="00B84B25"/>
    <w:rsid w:val="00B84B40"/>
    <w:rsid w:val="00B8534F"/>
    <w:rsid w:val="00B854B2"/>
    <w:rsid w:val="00B85753"/>
    <w:rsid w:val="00B8712B"/>
    <w:rsid w:val="00B8752C"/>
    <w:rsid w:val="00B87854"/>
    <w:rsid w:val="00B87D4E"/>
    <w:rsid w:val="00B90EAE"/>
    <w:rsid w:val="00B920E4"/>
    <w:rsid w:val="00B92201"/>
    <w:rsid w:val="00B93643"/>
    <w:rsid w:val="00B93BBC"/>
    <w:rsid w:val="00B93DFD"/>
    <w:rsid w:val="00B94423"/>
    <w:rsid w:val="00B96787"/>
    <w:rsid w:val="00B97377"/>
    <w:rsid w:val="00B97AA8"/>
    <w:rsid w:val="00BA220D"/>
    <w:rsid w:val="00BA2630"/>
    <w:rsid w:val="00BA2BB3"/>
    <w:rsid w:val="00BA3B88"/>
    <w:rsid w:val="00BA5890"/>
    <w:rsid w:val="00BA5F07"/>
    <w:rsid w:val="00BA725A"/>
    <w:rsid w:val="00BA7E9F"/>
    <w:rsid w:val="00BB0EEA"/>
    <w:rsid w:val="00BB2316"/>
    <w:rsid w:val="00BB479F"/>
    <w:rsid w:val="00BB5327"/>
    <w:rsid w:val="00BB5A19"/>
    <w:rsid w:val="00BB6780"/>
    <w:rsid w:val="00BB70EA"/>
    <w:rsid w:val="00BB711B"/>
    <w:rsid w:val="00BC0820"/>
    <w:rsid w:val="00BC17DF"/>
    <w:rsid w:val="00BC1E39"/>
    <w:rsid w:val="00BC2031"/>
    <w:rsid w:val="00BC3671"/>
    <w:rsid w:val="00BC3E4E"/>
    <w:rsid w:val="00BC439F"/>
    <w:rsid w:val="00BC49E8"/>
    <w:rsid w:val="00BC57FE"/>
    <w:rsid w:val="00BC6AA6"/>
    <w:rsid w:val="00BC705C"/>
    <w:rsid w:val="00BD164E"/>
    <w:rsid w:val="00BD167E"/>
    <w:rsid w:val="00BD17EB"/>
    <w:rsid w:val="00BD1D06"/>
    <w:rsid w:val="00BD2432"/>
    <w:rsid w:val="00BD3C4E"/>
    <w:rsid w:val="00BD3C70"/>
    <w:rsid w:val="00BD4464"/>
    <w:rsid w:val="00BD48D7"/>
    <w:rsid w:val="00BD5013"/>
    <w:rsid w:val="00BD593D"/>
    <w:rsid w:val="00BD676D"/>
    <w:rsid w:val="00BD6A9E"/>
    <w:rsid w:val="00BD745A"/>
    <w:rsid w:val="00BE003F"/>
    <w:rsid w:val="00BE0167"/>
    <w:rsid w:val="00BE02AF"/>
    <w:rsid w:val="00BE1E35"/>
    <w:rsid w:val="00BE3002"/>
    <w:rsid w:val="00BE3DD3"/>
    <w:rsid w:val="00BE431D"/>
    <w:rsid w:val="00BE6317"/>
    <w:rsid w:val="00BE692B"/>
    <w:rsid w:val="00BE6E83"/>
    <w:rsid w:val="00BF22DC"/>
    <w:rsid w:val="00BF2AAA"/>
    <w:rsid w:val="00BF3929"/>
    <w:rsid w:val="00BF426F"/>
    <w:rsid w:val="00BF54A0"/>
    <w:rsid w:val="00BF6663"/>
    <w:rsid w:val="00BF6AA4"/>
    <w:rsid w:val="00BF76FE"/>
    <w:rsid w:val="00BF7EEB"/>
    <w:rsid w:val="00C00620"/>
    <w:rsid w:val="00C006A1"/>
    <w:rsid w:val="00C018BA"/>
    <w:rsid w:val="00C0228E"/>
    <w:rsid w:val="00C0247E"/>
    <w:rsid w:val="00C035F5"/>
    <w:rsid w:val="00C03881"/>
    <w:rsid w:val="00C03C06"/>
    <w:rsid w:val="00C03C68"/>
    <w:rsid w:val="00C040BE"/>
    <w:rsid w:val="00C043D6"/>
    <w:rsid w:val="00C04CC7"/>
    <w:rsid w:val="00C0566F"/>
    <w:rsid w:val="00C05778"/>
    <w:rsid w:val="00C0670F"/>
    <w:rsid w:val="00C076B3"/>
    <w:rsid w:val="00C07875"/>
    <w:rsid w:val="00C07B7C"/>
    <w:rsid w:val="00C07CF2"/>
    <w:rsid w:val="00C11BF8"/>
    <w:rsid w:val="00C11BFD"/>
    <w:rsid w:val="00C13191"/>
    <w:rsid w:val="00C1405A"/>
    <w:rsid w:val="00C1456E"/>
    <w:rsid w:val="00C14F95"/>
    <w:rsid w:val="00C15ED7"/>
    <w:rsid w:val="00C161FD"/>
    <w:rsid w:val="00C16882"/>
    <w:rsid w:val="00C21150"/>
    <w:rsid w:val="00C212AA"/>
    <w:rsid w:val="00C21483"/>
    <w:rsid w:val="00C21A3A"/>
    <w:rsid w:val="00C220D2"/>
    <w:rsid w:val="00C22486"/>
    <w:rsid w:val="00C225BF"/>
    <w:rsid w:val="00C22FA4"/>
    <w:rsid w:val="00C23923"/>
    <w:rsid w:val="00C23EA8"/>
    <w:rsid w:val="00C2635C"/>
    <w:rsid w:val="00C263F7"/>
    <w:rsid w:val="00C3060B"/>
    <w:rsid w:val="00C30EA3"/>
    <w:rsid w:val="00C310EF"/>
    <w:rsid w:val="00C32872"/>
    <w:rsid w:val="00C32AB8"/>
    <w:rsid w:val="00C344E4"/>
    <w:rsid w:val="00C3464F"/>
    <w:rsid w:val="00C34AEA"/>
    <w:rsid w:val="00C354FA"/>
    <w:rsid w:val="00C35C1D"/>
    <w:rsid w:val="00C370C9"/>
    <w:rsid w:val="00C3771F"/>
    <w:rsid w:val="00C3794C"/>
    <w:rsid w:val="00C37E8B"/>
    <w:rsid w:val="00C40186"/>
    <w:rsid w:val="00C41EA8"/>
    <w:rsid w:val="00C4539A"/>
    <w:rsid w:val="00C45C6D"/>
    <w:rsid w:val="00C46104"/>
    <w:rsid w:val="00C501F1"/>
    <w:rsid w:val="00C5096C"/>
    <w:rsid w:val="00C514BD"/>
    <w:rsid w:val="00C52089"/>
    <w:rsid w:val="00C524B6"/>
    <w:rsid w:val="00C5289B"/>
    <w:rsid w:val="00C52B5E"/>
    <w:rsid w:val="00C5323B"/>
    <w:rsid w:val="00C5569D"/>
    <w:rsid w:val="00C560A4"/>
    <w:rsid w:val="00C56114"/>
    <w:rsid w:val="00C56571"/>
    <w:rsid w:val="00C56B38"/>
    <w:rsid w:val="00C5725B"/>
    <w:rsid w:val="00C57FA0"/>
    <w:rsid w:val="00C60B68"/>
    <w:rsid w:val="00C62881"/>
    <w:rsid w:val="00C62FFF"/>
    <w:rsid w:val="00C630E0"/>
    <w:rsid w:val="00C6368E"/>
    <w:rsid w:val="00C64609"/>
    <w:rsid w:val="00C65BA8"/>
    <w:rsid w:val="00C66A53"/>
    <w:rsid w:val="00C66DF5"/>
    <w:rsid w:val="00C6745E"/>
    <w:rsid w:val="00C70597"/>
    <w:rsid w:val="00C70D89"/>
    <w:rsid w:val="00C71C86"/>
    <w:rsid w:val="00C71FF4"/>
    <w:rsid w:val="00C73713"/>
    <w:rsid w:val="00C73CD7"/>
    <w:rsid w:val="00C73DCE"/>
    <w:rsid w:val="00C74947"/>
    <w:rsid w:val="00C74A81"/>
    <w:rsid w:val="00C75F14"/>
    <w:rsid w:val="00C76E06"/>
    <w:rsid w:val="00C773F7"/>
    <w:rsid w:val="00C8093C"/>
    <w:rsid w:val="00C814BB"/>
    <w:rsid w:val="00C839B1"/>
    <w:rsid w:val="00C83CFE"/>
    <w:rsid w:val="00C84684"/>
    <w:rsid w:val="00C84A63"/>
    <w:rsid w:val="00C855E1"/>
    <w:rsid w:val="00C85807"/>
    <w:rsid w:val="00C85E29"/>
    <w:rsid w:val="00C863EE"/>
    <w:rsid w:val="00C86B3C"/>
    <w:rsid w:val="00C87142"/>
    <w:rsid w:val="00C8758B"/>
    <w:rsid w:val="00C87703"/>
    <w:rsid w:val="00C87AC8"/>
    <w:rsid w:val="00C91713"/>
    <w:rsid w:val="00C91A70"/>
    <w:rsid w:val="00C93A94"/>
    <w:rsid w:val="00C9437A"/>
    <w:rsid w:val="00C9466C"/>
    <w:rsid w:val="00C94AAF"/>
    <w:rsid w:val="00C94BE7"/>
    <w:rsid w:val="00C958B3"/>
    <w:rsid w:val="00C9642E"/>
    <w:rsid w:val="00C967C7"/>
    <w:rsid w:val="00C969F1"/>
    <w:rsid w:val="00C96BC9"/>
    <w:rsid w:val="00C96F65"/>
    <w:rsid w:val="00C97698"/>
    <w:rsid w:val="00C97914"/>
    <w:rsid w:val="00CA09EA"/>
    <w:rsid w:val="00CA0B98"/>
    <w:rsid w:val="00CA0E5A"/>
    <w:rsid w:val="00CA11BD"/>
    <w:rsid w:val="00CA11DF"/>
    <w:rsid w:val="00CA1A13"/>
    <w:rsid w:val="00CA1D09"/>
    <w:rsid w:val="00CA1ED2"/>
    <w:rsid w:val="00CA263B"/>
    <w:rsid w:val="00CA33A8"/>
    <w:rsid w:val="00CA36FC"/>
    <w:rsid w:val="00CA3A5E"/>
    <w:rsid w:val="00CA4A51"/>
    <w:rsid w:val="00CA54EE"/>
    <w:rsid w:val="00CA58A0"/>
    <w:rsid w:val="00CA60C9"/>
    <w:rsid w:val="00CA65C9"/>
    <w:rsid w:val="00CA6936"/>
    <w:rsid w:val="00CB1765"/>
    <w:rsid w:val="00CB1880"/>
    <w:rsid w:val="00CB2715"/>
    <w:rsid w:val="00CB2D68"/>
    <w:rsid w:val="00CB4CA9"/>
    <w:rsid w:val="00CB553A"/>
    <w:rsid w:val="00CB56EB"/>
    <w:rsid w:val="00CB5AFF"/>
    <w:rsid w:val="00CB6366"/>
    <w:rsid w:val="00CB651A"/>
    <w:rsid w:val="00CB6E01"/>
    <w:rsid w:val="00CB7080"/>
    <w:rsid w:val="00CB77D9"/>
    <w:rsid w:val="00CB785B"/>
    <w:rsid w:val="00CB7B0C"/>
    <w:rsid w:val="00CB7C96"/>
    <w:rsid w:val="00CC132C"/>
    <w:rsid w:val="00CC169E"/>
    <w:rsid w:val="00CC1A6B"/>
    <w:rsid w:val="00CC1D56"/>
    <w:rsid w:val="00CC221C"/>
    <w:rsid w:val="00CC433F"/>
    <w:rsid w:val="00CC506D"/>
    <w:rsid w:val="00CC58D2"/>
    <w:rsid w:val="00CC5B0B"/>
    <w:rsid w:val="00CC70EA"/>
    <w:rsid w:val="00CC728A"/>
    <w:rsid w:val="00CC7F48"/>
    <w:rsid w:val="00CD02ED"/>
    <w:rsid w:val="00CD060B"/>
    <w:rsid w:val="00CD0859"/>
    <w:rsid w:val="00CD0983"/>
    <w:rsid w:val="00CD3580"/>
    <w:rsid w:val="00CD495C"/>
    <w:rsid w:val="00CD49A8"/>
    <w:rsid w:val="00CD4B14"/>
    <w:rsid w:val="00CD53EF"/>
    <w:rsid w:val="00CD54E9"/>
    <w:rsid w:val="00CD5889"/>
    <w:rsid w:val="00CE037C"/>
    <w:rsid w:val="00CE067C"/>
    <w:rsid w:val="00CE0B54"/>
    <w:rsid w:val="00CE1D69"/>
    <w:rsid w:val="00CE28EB"/>
    <w:rsid w:val="00CE3570"/>
    <w:rsid w:val="00CE357C"/>
    <w:rsid w:val="00CE3A96"/>
    <w:rsid w:val="00CE3C41"/>
    <w:rsid w:val="00CE4263"/>
    <w:rsid w:val="00CE46A6"/>
    <w:rsid w:val="00CE4705"/>
    <w:rsid w:val="00CE5301"/>
    <w:rsid w:val="00CE5B92"/>
    <w:rsid w:val="00CE60F9"/>
    <w:rsid w:val="00CE658C"/>
    <w:rsid w:val="00CE6CEE"/>
    <w:rsid w:val="00CE72B3"/>
    <w:rsid w:val="00CF0F7C"/>
    <w:rsid w:val="00CF11D0"/>
    <w:rsid w:val="00CF1431"/>
    <w:rsid w:val="00CF1901"/>
    <w:rsid w:val="00CF1D86"/>
    <w:rsid w:val="00CF3DBD"/>
    <w:rsid w:val="00CF40B4"/>
    <w:rsid w:val="00CF4D74"/>
    <w:rsid w:val="00CF5D9E"/>
    <w:rsid w:val="00CF63A9"/>
    <w:rsid w:val="00CF7114"/>
    <w:rsid w:val="00CF72BD"/>
    <w:rsid w:val="00D00A60"/>
    <w:rsid w:val="00D00A9F"/>
    <w:rsid w:val="00D012C7"/>
    <w:rsid w:val="00D03C5D"/>
    <w:rsid w:val="00D03CFC"/>
    <w:rsid w:val="00D0508D"/>
    <w:rsid w:val="00D06679"/>
    <w:rsid w:val="00D07D97"/>
    <w:rsid w:val="00D100E2"/>
    <w:rsid w:val="00D10235"/>
    <w:rsid w:val="00D1066A"/>
    <w:rsid w:val="00D10720"/>
    <w:rsid w:val="00D10CA2"/>
    <w:rsid w:val="00D11A7D"/>
    <w:rsid w:val="00D11C2F"/>
    <w:rsid w:val="00D14B9E"/>
    <w:rsid w:val="00D1528B"/>
    <w:rsid w:val="00D15E07"/>
    <w:rsid w:val="00D160D0"/>
    <w:rsid w:val="00D1635D"/>
    <w:rsid w:val="00D16DEC"/>
    <w:rsid w:val="00D16ED3"/>
    <w:rsid w:val="00D21519"/>
    <w:rsid w:val="00D21E52"/>
    <w:rsid w:val="00D21E76"/>
    <w:rsid w:val="00D22095"/>
    <w:rsid w:val="00D26531"/>
    <w:rsid w:val="00D26FF7"/>
    <w:rsid w:val="00D27CE1"/>
    <w:rsid w:val="00D27FEC"/>
    <w:rsid w:val="00D32D9F"/>
    <w:rsid w:val="00D34C4E"/>
    <w:rsid w:val="00D35389"/>
    <w:rsid w:val="00D36A64"/>
    <w:rsid w:val="00D36EC2"/>
    <w:rsid w:val="00D37D3E"/>
    <w:rsid w:val="00D40367"/>
    <w:rsid w:val="00D4105A"/>
    <w:rsid w:val="00D41160"/>
    <w:rsid w:val="00D4198A"/>
    <w:rsid w:val="00D42747"/>
    <w:rsid w:val="00D44555"/>
    <w:rsid w:val="00D4456C"/>
    <w:rsid w:val="00D44E2B"/>
    <w:rsid w:val="00D455BA"/>
    <w:rsid w:val="00D456B5"/>
    <w:rsid w:val="00D471B3"/>
    <w:rsid w:val="00D500F9"/>
    <w:rsid w:val="00D521D5"/>
    <w:rsid w:val="00D52314"/>
    <w:rsid w:val="00D5385B"/>
    <w:rsid w:val="00D53A12"/>
    <w:rsid w:val="00D54622"/>
    <w:rsid w:val="00D546C8"/>
    <w:rsid w:val="00D5548B"/>
    <w:rsid w:val="00D555AF"/>
    <w:rsid w:val="00D55CB3"/>
    <w:rsid w:val="00D56C77"/>
    <w:rsid w:val="00D57A4B"/>
    <w:rsid w:val="00D6021F"/>
    <w:rsid w:val="00D60C63"/>
    <w:rsid w:val="00D6169C"/>
    <w:rsid w:val="00D620AC"/>
    <w:rsid w:val="00D621E0"/>
    <w:rsid w:val="00D6326E"/>
    <w:rsid w:val="00D63793"/>
    <w:rsid w:val="00D6426F"/>
    <w:rsid w:val="00D64C9B"/>
    <w:rsid w:val="00D65C62"/>
    <w:rsid w:val="00D66DF8"/>
    <w:rsid w:val="00D67F4A"/>
    <w:rsid w:val="00D70787"/>
    <w:rsid w:val="00D71E0D"/>
    <w:rsid w:val="00D7277C"/>
    <w:rsid w:val="00D73402"/>
    <w:rsid w:val="00D74C0B"/>
    <w:rsid w:val="00D7604B"/>
    <w:rsid w:val="00D760D9"/>
    <w:rsid w:val="00D7639C"/>
    <w:rsid w:val="00D770B7"/>
    <w:rsid w:val="00D779E0"/>
    <w:rsid w:val="00D801F1"/>
    <w:rsid w:val="00D803F9"/>
    <w:rsid w:val="00D80951"/>
    <w:rsid w:val="00D80AD6"/>
    <w:rsid w:val="00D80F2F"/>
    <w:rsid w:val="00D823D7"/>
    <w:rsid w:val="00D82A1D"/>
    <w:rsid w:val="00D83F5C"/>
    <w:rsid w:val="00D8428B"/>
    <w:rsid w:val="00D8540D"/>
    <w:rsid w:val="00D85B26"/>
    <w:rsid w:val="00D85B29"/>
    <w:rsid w:val="00D85D78"/>
    <w:rsid w:val="00D8635F"/>
    <w:rsid w:val="00D86959"/>
    <w:rsid w:val="00D86FB2"/>
    <w:rsid w:val="00D8743C"/>
    <w:rsid w:val="00D8768F"/>
    <w:rsid w:val="00D904C3"/>
    <w:rsid w:val="00D90856"/>
    <w:rsid w:val="00D91051"/>
    <w:rsid w:val="00D912C3"/>
    <w:rsid w:val="00D913FF"/>
    <w:rsid w:val="00D92128"/>
    <w:rsid w:val="00D928A3"/>
    <w:rsid w:val="00D92DD8"/>
    <w:rsid w:val="00D930EE"/>
    <w:rsid w:val="00D931B6"/>
    <w:rsid w:val="00D936BE"/>
    <w:rsid w:val="00D938A0"/>
    <w:rsid w:val="00D93E41"/>
    <w:rsid w:val="00D94905"/>
    <w:rsid w:val="00D94D14"/>
    <w:rsid w:val="00D961CA"/>
    <w:rsid w:val="00D96733"/>
    <w:rsid w:val="00D97442"/>
    <w:rsid w:val="00D97989"/>
    <w:rsid w:val="00DA04C1"/>
    <w:rsid w:val="00DA0CA0"/>
    <w:rsid w:val="00DA0D6F"/>
    <w:rsid w:val="00DA1813"/>
    <w:rsid w:val="00DA1AE9"/>
    <w:rsid w:val="00DA299E"/>
    <w:rsid w:val="00DA29DC"/>
    <w:rsid w:val="00DA2E10"/>
    <w:rsid w:val="00DA2F6E"/>
    <w:rsid w:val="00DA31D8"/>
    <w:rsid w:val="00DA3650"/>
    <w:rsid w:val="00DA3716"/>
    <w:rsid w:val="00DA385D"/>
    <w:rsid w:val="00DA406F"/>
    <w:rsid w:val="00DA4C48"/>
    <w:rsid w:val="00DA4ED3"/>
    <w:rsid w:val="00DA623B"/>
    <w:rsid w:val="00DA6295"/>
    <w:rsid w:val="00DA69D8"/>
    <w:rsid w:val="00DB0647"/>
    <w:rsid w:val="00DB0821"/>
    <w:rsid w:val="00DB1EFD"/>
    <w:rsid w:val="00DB4DDB"/>
    <w:rsid w:val="00DB547A"/>
    <w:rsid w:val="00DB570C"/>
    <w:rsid w:val="00DB67B8"/>
    <w:rsid w:val="00DB719D"/>
    <w:rsid w:val="00DB72C7"/>
    <w:rsid w:val="00DB73EF"/>
    <w:rsid w:val="00DB74F3"/>
    <w:rsid w:val="00DB7812"/>
    <w:rsid w:val="00DB7949"/>
    <w:rsid w:val="00DC01A5"/>
    <w:rsid w:val="00DC1A4C"/>
    <w:rsid w:val="00DC1C8B"/>
    <w:rsid w:val="00DC2612"/>
    <w:rsid w:val="00DC2A91"/>
    <w:rsid w:val="00DC2B6B"/>
    <w:rsid w:val="00DC2CF5"/>
    <w:rsid w:val="00DC2DD2"/>
    <w:rsid w:val="00DC2F0A"/>
    <w:rsid w:val="00DC330F"/>
    <w:rsid w:val="00DC3DCD"/>
    <w:rsid w:val="00DC486E"/>
    <w:rsid w:val="00DC4AB7"/>
    <w:rsid w:val="00DC6822"/>
    <w:rsid w:val="00DC6FDF"/>
    <w:rsid w:val="00DC7020"/>
    <w:rsid w:val="00DC773C"/>
    <w:rsid w:val="00DD0285"/>
    <w:rsid w:val="00DD0556"/>
    <w:rsid w:val="00DD0A30"/>
    <w:rsid w:val="00DD0A63"/>
    <w:rsid w:val="00DD18F3"/>
    <w:rsid w:val="00DD2203"/>
    <w:rsid w:val="00DD260A"/>
    <w:rsid w:val="00DD3551"/>
    <w:rsid w:val="00DD3F8B"/>
    <w:rsid w:val="00DD3FB4"/>
    <w:rsid w:val="00DD4B2E"/>
    <w:rsid w:val="00DD4D9B"/>
    <w:rsid w:val="00DD514D"/>
    <w:rsid w:val="00DD6DDD"/>
    <w:rsid w:val="00DD7952"/>
    <w:rsid w:val="00DE06C4"/>
    <w:rsid w:val="00DE0DB1"/>
    <w:rsid w:val="00DE1CB2"/>
    <w:rsid w:val="00DE2C1D"/>
    <w:rsid w:val="00DE2FD0"/>
    <w:rsid w:val="00DE377C"/>
    <w:rsid w:val="00DE3E57"/>
    <w:rsid w:val="00DE4661"/>
    <w:rsid w:val="00DE57B3"/>
    <w:rsid w:val="00DE5ABF"/>
    <w:rsid w:val="00DE7C1D"/>
    <w:rsid w:val="00DE7F3E"/>
    <w:rsid w:val="00DF2527"/>
    <w:rsid w:val="00DF5AB9"/>
    <w:rsid w:val="00DF5C1D"/>
    <w:rsid w:val="00DF661B"/>
    <w:rsid w:val="00DF7289"/>
    <w:rsid w:val="00E001D6"/>
    <w:rsid w:val="00E010AA"/>
    <w:rsid w:val="00E02224"/>
    <w:rsid w:val="00E045A4"/>
    <w:rsid w:val="00E04BD5"/>
    <w:rsid w:val="00E050EA"/>
    <w:rsid w:val="00E066E6"/>
    <w:rsid w:val="00E067B9"/>
    <w:rsid w:val="00E067FD"/>
    <w:rsid w:val="00E069B1"/>
    <w:rsid w:val="00E10DED"/>
    <w:rsid w:val="00E10E10"/>
    <w:rsid w:val="00E11DEE"/>
    <w:rsid w:val="00E12088"/>
    <w:rsid w:val="00E12109"/>
    <w:rsid w:val="00E12318"/>
    <w:rsid w:val="00E12DF8"/>
    <w:rsid w:val="00E12E81"/>
    <w:rsid w:val="00E1334A"/>
    <w:rsid w:val="00E13414"/>
    <w:rsid w:val="00E15519"/>
    <w:rsid w:val="00E15527"/>
    <w:rsid w:val="00E159A9"/>
    <w:rsid w:val="00E15AD6"/>
    <w:rsid w:val="00E1775A"/>
    <w:rsid w:val="00E20592"/>
    <w:rsid w:val="00E21950"/>
    <w:rsid w:val="00E221B9"/>
    <w:rsid w:val="00E23155"/>
    <w:rsid w:val="00E23C1B"/>
    <w:rsid w:val="00E24499"/>
    <w:rsid w:val="00E2488C"/>
    <w:rsid w:val="00E24A06"/>
    <w:rsid w:val="00E2559C"/>
    <w:rsid w:val="00E256B0"/>
    <w:rsid w:val="00E25C3E"/>
    <w:rsid w:val="00E26AE7"/>
    <w:rsid w:val="00E309CC"/>
    <w:rsid w:val="00E31057"/>
    <w:rsid w:val="00E3128B"/>
    <w:rsid w:val="00E3151C"/>
    <w:rsid w:val="00E321E8"/>
    <w:rsid w:val="00E32B03"/>
    <w:rsid w:val="00E32F13"/>
    <w:rsid w:val="00E34025"/>
    <w:rsid w:val="00E3407C"/>
    <w:rsid w:val="00E41050"/>
    <w:rsid w:val="00E419FC"/>
    <w:rsid w:val="00E41A49"/>
    <w:rsid w:val="00E4244F"/>
    <w:rsid w:val="00E42A31"/>
    <w:rsid w:val="00E444AB"/>
    <w:rsid w:val="00E44893"/>
    <w:rsid w:val="00E448B4"/>
    <w:rsid w:val="00E451D1"/>
    <w:rsid w:val="00E45606"/>
    <w:rsid w:val="00E45A73"/>
    <w:rsid w:val="00E46822"/>
    <w:rsid w:val="00E46844"/>
    <w:rsid w:val="00E47ABA"/>
    <w:rsid w:val="00E50841"/>
    <w:rsid w:val="00E50EB5"/>
    <w:rsid w:val="00E511DF"/>
    <w:rsid w:val="00E51515"/>
    <w:rsid w:val="00E51C4C"/>
    <w:rsid w:val="00E526BD"/>
    <w:rsid w:val="00E5305C"/>
    <w:rsid w:val="00E535B1"/>
    <w:rsid w:val="00E53940"/>
    <w:rsid w:val="00E541EE"/>
    <w:rsid w:val="00E57A22"/>
    <w:rsid w:val="00E612C6"/>
    <w:rsid w:val="00E614AB"/>
    <w:rsid w:val="00E6217E"/>
    <w:rsid w:val="00E62260"/>
    <w:rsid w:val="00E622FF"/>
    <w:rsid w:val="00E65CF7"/>
    <w:rsid w:val="00E66640"/>
    <w:rsid w:val="00E6667D"/>
    <w:rsid w:val="00E66858"/>
    <w:rsid w:val="00E668AA"/>
    <w:rsid w:val="00E66FEC"/>
    <w:rsid w:val="00E67E1B"/>
    <w:rsid w:val="00E7001C"/>
    <w:rsid w:val="00E71703"/>
    <w:rsid w:val="00E718C3"/>
    <w:rsid w:val="00E7196C"/>
    <w:rsid w:val="00E72061"/>
    <w:rsid w:val="00E7246C"/>
    <w:rsid w:val="00E72949"/>
    <w:rsid w:val="00E730C0"/>
    <w:rsid w:val="00E73840"/>
    <w:rsid w:val="00E73FE4"/>
    <w:rsid w:val="00E75A53"/>
    <w:rsid w:val="00E76514"/>
    <w:rsid w:val="00E768CC"/>
    <w:rsid w:val="00E77C6F"/>
    <w:rsid w:val="00E77DFD"/>
    <w:rsid w:val="00E800A5"/>
    <w:rsid w:val="00E81992"/>
    <w:rsid w:val="00E81BE7"/>
    <w:rsid w:val="00E8386F"/>
    <w:rsid w:val="00E83B3B"/>
    <w:rsid w:val="00E840BA"/>
    <w:rsid w:val="00E853F8"/>
    <w:rsid w:val="00E865F1"/>
    <w:rsid w:val="00E8753A"/>
    <w:rsid w:val="00E90330"/>
    <w:rsid w:val="00E903D8"/>
    <w:rsid w:val="00E91046"/>
    <w:rsid w:val="00E9163F"/>
    <w:rsid w:val="00E91BBE"/>
    <w:rsid w:val="00E92A0F"/>
    <w:rsid w:val="00E930AB"/>
    <w:rsid w:val="00E94243"/>
    <w:rsid w:val="00E9441E"/>
    <w:rsid w:val="00E94C39"/>
    <w:rsid w:val="00E957A5"/>
    <w:rsid w:val="00E95BED"/>
    <w:rsid w:val="00E95D49"/>
    <w:rsid w:val="00E964A6"/>
    <w:rsid w:val="00E969BC"/>
    <w:rsid w:val="00E96B3B"/>
    <w:rsid w:val="00E96FA3"/>
    <w:rsid w:val="00E97305"/>
    <w:rsid w:val="00E97956"/>
    <w:rsid w:val="00E979FC"/>
    <w:rsid w:val="00EA0886"/>
    <w:rsid w:val="00EA170B"/>
    <w:rsid w:val="00EA17F0"/>
    <w:rsid w:val="00EA26EE"/>
    <w:rsid w:val="00EA280C"/>
    <w:rsid w:val="00EA2841"/>
    <w:rsid w:val="00EA35E6"/>
    <w:rsid w:val="00EA3CDC"/>
    <w:rsid w:val="00EA440F"/>
    <w:rsid w:val="00EA6092"/>
    <w:rsid w:val="00EA7128"/>
    <w:rsid w:val="00EB05EE"/>
    <w:rsid w:val="00EB07D9"/>
    <w:rsid w:val="00EB1687"/>
    <w:rsid w:val="00EB1AAD"/>
    <w:rsid w:val="00EB1B69"/>
    <w:rsid w:val="00EB3C82"/>
    <w:rsid w:val="00EB4EDB"/>
    <w:rsid w:val="00EB516C"/>
    <w:rsid w:val="00EB5D33"/>
    <w:rsid w:val="00EB60DE"/>
    <w:rsid w:val="00EB6CFF"/>
    <w:rsid w:val="00EB731F"/>
    <w:rsid w:val="00EC098F"/>
    <w:rsid w:val="00EC12B2"/>
    <w:rsid w:val="00EC1B65"/>
    <w:rsid w:val="00EC2159"/>
    <w:rsid w:val="00EC2645"/>
    <w:rsid w:val="00EC296F"/>
    <w:rsid w:val="00EC32BD"/>
    <w:rsid w:val="00EC34CB"/>
    <w:rsid w:val="00EC3BF9"/>
    <w:rsid w:val="00EC4545"/>
    <w:rsid w:val="00EC5ECF"/>
    <w:rsid w:val="00EC6302"/>
    <w:rsid w:val="00EC6491"/>
    <w:rsid w:val="00EC6812"/>
    <w:rsid w:val="00EC78B7"/>
    <w:rsid w:val="00ED0364"/>
    <w:rsid w:val="00ED042D"/>
    <w:rsid w:val="00ED046E"/>
    <w:rsid w:val="00ED394F"/>
    <w:rsid w:val="00ED4CDA"/>
    <w:rsid w:val="00ED5BD8"/>
    <w:rsid w:val="00ED6288"/>
    <w:rsid w:val="00ED6E04"/>
    <w:rsid w:val="00ED6E41"/>
    <w:rsid w:val="00ED7FFD"/>
    <w:rsid w:val="00EE013D"/>
    <w:rsid w:val="00EE0F3D"/>
    <w:rsid w:val="00EE11DA"/>
    <w:rsid w:val="00EE15B2"/>
    <w:rsid w:val="00EE16AB"/>
    <w:rsid w:val="00EE1DC1"/>
    <w:rsid w:val="00EE2B1D"/>
    <w:rsid w:val="00EE3025"/>
    <w:rsid w:val="00EE379A"/>
    <w:rsid w:val="00EE3B32"/>
    <w:rsid w:val="00EE4297"/>
    <w:rsid w:val="00EE484A"/>
    <w:rsid w:val="00EE4B91"/>
    <w:rsid w:val="00EE4EF4"/>
    <w:rsid w:val="00EE644D"/>
    <w:rsid w:val="00EE725B"/>
    <w:rsid w:val="00EF0B8D"/>
    <w:rsid w:val="00EF184C"/>
    <w:rsid w:val="00EF19AC"/>
    <w:rsid w:val="00EF4080"/>
    <w:rsid w:val="00EF4696"/>
    <w:rsid w:val="00EF4F5B"/>
    <w:rsid w:val="00EF5222"/>
    <w:rsid w:val="00EF52D7"/>
    <w:rsid w:val="00EF6488"/>
    <w:rsid w:val="00EF74AD"/>
    <w:rsid w:val="00EF766F"/>
    <w:rsid w:val="00F0023B"/>
    <w:rsid w:val="00F01028"/>
    <w:rsid w:val="00F023CF"/>
    <w:rsid w:val="00F026EC"/>
    <w:rsid w:val="00F03005"/>
    <w:rsid w:val="00F041B3"/>
    <w:rsid w:val="00F04E19"/>
    <w:rsid w:val="00F05520"/>
    <w:rsid w:val="00F065A9"/>
    <w:rsid w:val="00F07273"/>
    <w:rsid w:val="00F0761C"/>
    <w:rsid w:val="00F1140C"/>
    <w:rsid w:val="00F13C71"/>
    <w:rsid w:val="00F13CBC"/>
    <w:rsid w:val="00F14075"/>
    <w:rsid w:val="00F142A4"/>
    <w:rsid w:val="00F147D1"/>
    <w:rsid w:val="00F14B6F"/>
    <w:rsid w:val="00F14B8A"/>
    <w:rsid w:val="00F15128"/>
    <w:rsid w:val="00F15A50"/>
    <w:rsid w:val="00F16302"/>
    <w:rsid w:val="00F16AAD"/>
    <w:rsid w:val="00F16C06"/>
    <w:rsid w:val="00F176AC"/>
    <w:rsid w:val="00F17D10"/>
    <w:rsid w:val="00F20533"/>
    <w:rsid w:val="00F205FD"/>
    <w:rsid w:val="00F20AA4"/>
    <w:rsid w:val="00F22B73"/>
    <w:rsid w:val="00F22D60"/>
    <w:rsid w:val="00F22F02"/>
    <w:rsid w:val="00F23311"/>
    <w:rsid w:val="00F23991"/>
    <w:rsid w:val="00F2596A"/>
    <w:rsid w:val="00F259E0"/>
    <w:rsid w:val="00F266BD"/>
    <w:rsid w:val="00F26F63"/>
    <w:rsid w:val="00F27499"/>
    <w:rsid w:val="00F27E6D"/>
    <w:rsid w:val="00F305A3"/>
    <w:rsid w:val="00F30691"/>
    <w:rsid w:val="00F31AF5"/>
    <w:rsid w:val="00F32CAD"/>
    <w:rsid w:val="00F337A6"/>
    <w:rsid w:val="00F33BFC"/>
    <w:rsid w:val="00F34415"/>
    <w:rsid w:val="00F34C2E"/>
    <w:rsid w:val="00F34FFA"/>
    <w:rsid w:val="00F35881"/>
    <w:rsid w:val="00F405C4"/>
    <w:rsid w:val="00F42E53"/>
    <w:rsid w:val="00F4461A"/>
    <w:rsid w:val="00F44692"/>
    <w:rsid w:val="00F44C44"/>
    <w:rsid w:val="00F45CFC"/>
    <w:rsid w:val="00F45EF4"/>
    <w:rsid w:val="00F461D1"/>
    <w:rsid w:val="00F465F6"/>
    <w:rsid w:val="00F46BF3"/>
    <w:rsid w:val="00F46CA6"/>
    <w:rsid w:val="00F46E7E"/>
    <w:rsid w:val="00F473F9"/>
    <w:rsid w:val="00F475E8"/>
    <w:rsid w:val="00F47CE6"/>
    <w:rsid w:val="00F508CC"/>
    <w:rsid w:val="00F50B5C"/>
    <w:rsid w:val="00F50C4B"/>
    <w:rsid w:val="00F518C9"/>
    <w:rsid w:val="00F51AEB"/>
    <w:rsid w:val="00F51BA0"/>
    <w:rsid w:val="00F52267"/>
    <w:rsid w:val="00F52DC8"/>
    <w:rsid w:val="00F530E0"/>
    <w:rsid w:val="00F5331A"/>
    <w:rsid w:val="00F535D6"/>
    <w:rsid w:val="00F539AF"/>
    <w:rsid w:val="00F5556E"/>
    <w:rsid w:val="00F601D4"/>
    <w:rsid w:val="00F608F3"/>
    <w:rsid w:val="00F60A23"/>
    <w:rsid w:val="00F6187C"/>
    <w:rsid w:val="00F62F6E"/>
    <w:rsid w:val="00F63733"/>
    <w:rsid w:val="00F659B3"/>
    <w:rsid w:val="00F66BAE"/>
    <w:rsid w:val="00F66DA9"/>
    <w:rsid w:val="00F678F5"/>
    <w:rsid w:val="00F70057"/>
    <w:rsid w:val="00F738AC"/>
    <w:rsid w:val="00F7399D"/>
    <w:rsid w:val="00F73D73"/>
    <w:rsid w:val="00F74931"/>
    <w:rsid w:val="00F759EB"/>
    <w:rsid w:val="00F772B0"/>
    <w:rsid w:val="00F7762B"/>
    <w:rsid w:val="00F81739"/>
    <w:rsid w:val="00F81A44"/>
    <w:rsid w:val="00F81BA3"/>
    <w:rsid w:val="00F81E63"/>
    <w:rsid w:val="00F8232A"/>
    <w:rsid w:val="00F82645"/>
    <w:rsid w:val="00F836CA"/>
    <w:rsid w:val="00F84115"/>
    <w:rsid w:val="00F84A8D"/>
    <w:rsid w:val="00F84BC7"/>
    <w:rsid w:val="00F84F72"/>
    <w:rsid w:val="00F85311"/>
    <w:rsid w:val="00F854FC"/>
    <w:rsid w:val="00F86256"/>
    <w:rsid w:val="00F86279"/>
    <w:rsid w:val="00F86B7D"/>
    <w:rsid w:val="00F87A7F"/>
    <w:rsid w:val="00F87B41"/>
    <w:rsid w:val="00F87E6A"/>
    <w:rsid w:val="00F91590"/>
    <w:rsid w:val="00F91863"/>
    <w:rsid w:val="00F924D8"/>
    <w:rsid w:val="00F93D38"/>
    <w:rsid w:val="00F969CF"/>
    <w:rsid w:val="00F97AB1"/>
    <w:rsid w:val="00FA04AD"/>
    <w:rsid w:val="00FA121E"/>
    <w:rsid w:val="00FA14F4"/>
    <w:rsid w:val="00FA1612"/>
    <w:rsid w:val="00FA19B2"/>
    <w:rsid w:val="00FA1E8A"/>
    <w:rsid w:val="00FA2111"/>
    <w:rsid w:val="00FA233A"/>
    <w:rsid w:val="00FA2B62"/>
    <w:rsid w:val="00FA30AB"/>
    <w:rsid w:val="00FA340C"/>
    <w:rsid w:val="00FA3FF9"/>
    <w:rsid w:val="00FA414A"/>
    <w:rsid w:val="00FA46D2"/>
    <w:rsid w:val="00FA4767"/>
    <w:rsid w:val="00FA52F0"/>
    <w:rsid w:val="00FA5977"/>
    <w:rsid w:val="00FA6288"/>
    <w:rsid w:val="00FA6F3D"/>
    <w:rsid w:val="00FA70BC"/>
    <w:rsid w:val="00FA732B"/>
    <w:rsid w:val="00FA7CEF"/>
    <w:rsid w:val="00FB0CA9"/>
    <w:rsid w:val="00FB1229"/>
    <w:rsid w:val="00FB1987"/>
    <w:rsid w:val="00FB23F9"/>
    <w:rsid w:val="00FB298D"/>
    <w:rsid w:val="00FB40B1"/>
    <w:rsid w:val="00FB574B"/>
    <w:rsid w:val="00FB58A2"/>
    <w:rsid w:val="00FB6433"/>
    <w:rsid w:val="00FB688D"/>
    <w:rsid w:val="00FB7AD8"/>
    <w:rsid w:val="00FB7EFB"/>
    <w:rsid w:val="00FC26AA"/>
    <w:rsid w:val="00FC37FA"/>
    <w:rsid w:val="00FC3F06"/>
    <w:rsid w:val="00FC7064"/>
    <w:rsid w:val="00FC7B7A"/>
    <w:rsid w:val="00FD12F1"/>
    <w:rsid w:val="00FD151D"/>
    <w:rsid w:val="00FD2371"/>
    <w:rsid w:val="00FD3809"/>
    <w:rsid w:val="00FD3B61"/>
    <w:rsid w:val="00FD4B41"/>
    <w:rsid w:val="00FD512B"/>
    <w:rsid w:val="00FD5E17"/>
    <w:rsid w:val="00FD68D7"/>
    <w:rsid w:val="00FD7517"/>
    <w:rsid w:val="00FD7D33"/>
    <w:rsid w:val="00FE0178"/>
    <w:rsid w:val="00FE0D74"/>
    <w:rsid w:val="00FE19C1"/>
    <w:rsid w:val="00FE1F52"/>
    <w:rsid w:val="00FE2793"/>
    <w:rsid w:val="00FE2B55"/>
    <w:rsid w:val="00FE2C1B"/>
    <w:rsid w:val="00FE4245"/>
    <w:rsid w:val="00FE464B"/>
    <w:rsid w:val="00FE46CC"/>
    <w:rsid w:val="00FE5689"/>
    <w:rsid w:val="00FE5D7C"/>
    <w:rsid w:val="00FE6C40"/>
    <w:rsid w:val="00FE72BE"/>
    <w:rsid w:val="00FE76A4"/>
    <w:rsid w:val="00FF0080"/>
    <w:rsid w:val="00FF0218"/>
    <w:rsid w:val="00FF08BD"/>
    <w:rsid w:val="00FF2336"/>
    <w:rsid w:val="00FF30B0"/>
    <w:rsid w:val="00FF38B7"/>
    <w:rsid w:val="00FF3C1F"/>
    <w:rsid w:val="00FF4694"/>
    <w:rsid w:val="00FF53CD"/>
    <w:rsid w:val="00FF5E6D"/>
    <w:rsid w:val="00FF67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821"/>
    <w:rPr>
      <w:rFonts w:ascii="Times New Roman" w:eastAsia="Times New Roman" w:hAnsi="Times New Roman" w:cs="Times New Roman"/>
      <w:lang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73E2"/>
    <w:pPr>
      <w:ind w:left="720"/>
      <w:contextualSpacing/>
    </w:pPr>
    <w:rPr>
      <w:rFonts w:asciiTheme="minorHAnsi" w:eastAsiaTheme="minorEastAsia" w:hAnsiTheme="minorHAnsi" w:cstheme="minorBidi"/>
      <w:lang w:eastAsia="en-US"/>
    </w:rPr>
  </w:style>
  <w:style w:type="paragraph" w:styleId="a4">
    <w:name w:val="footer"/>
    <w:basedOn w:val="a"/>
    <w:link w:val="Char"/>
    <w:uiPriority w:val="99"/>
    <w:unhideWhenUsed/>
    <w:rsid w:val="000D73E2"/>
    <w:pPr>
      <w:tabs>
        <w:tab w:val="center" w:pos="4680"/>
        <w:tab w:val="right" w:pos="9360"/>
      </w:tabs>
    </w:pPr>
    <w:rPr>
      <w:rFonts w:asciiTheme="minorHAnsi" w:eastAsiaTheme="minorEastAsia" w:hAnsiTheme="minorHAnsi" w:cstheme="minorBidi"/>
      <w:lang w:eastAsia="en-US"/>
    </w:rPr>
  </w:style>
  <w:style w:type="character" w:customStyle="1" w:styleId="Char">
    <w:name w:val="页脚 Char"/>
    <w:basedOn w:val="a0"/>
    <w:link w:val="a4"/>
    <w:uiPriority w:val="99"/>
    <w:rsid w:val="000D73E2"/>
  </w:style>
  <w:style w:type="character" w:styleId="a5">
    <w:name w:val="page number"/>
    <w:basedOn w:val="a0"/>
    <w:uiPriority w:val="99"/>
    <w:semiHidden/>
    <w:unhideWhenUsed/>
    <w:rsid w:val="000D73E2"/>
  </w:style>
  <w:style w:type="paragraph" w:styleId="a6">
    <w:name w:val="header"/>
    <w:basedOn w:val="a"/>
    <w:link w:val="Char0"/>
    <w:uiPriority w:val="99"/>
    <w:unhideWhenUsed/>
    <w:rsid w:val="000D73E2"/>
    <w:pPr>
      <w:tabs>
        <w:tab w:val="center" w:pos="4680"/>
        <w:tab w:val="right" w:pos="9360"/>
      </w:tabs>
    </w:pPr>
    <w:rPr>
      <w:rFonts w:asciiTheme="minorHAnsi" w:eastAsiaTheme="minorEastAsia" w:hAnsiTheme="minorHAnsi" w:cstheme="minorBidi"/>
      <w:lang w:eastAsia="en-US"/>
    </w:rPr>
  </w:style>
  <w:style w:type="character" w:customStyle="1" w:styleId="Char0">
    <w:name w:val="页眉 Char"/>
    <w:basedOn w:val="a0"/>
    <w:link w:val="a6"/>
    <w:uiPriority w:val="99"/>
    <w:rsid w:val="000D73E2"/>
  </w:style>
  <w:style w:type="paragraph" w:styleId="a7">
    <w:name w:val="Normal (Web)"/>
    <w:basedOn w:val="a"/>
    <w:uiPriority w:val="99"/>
    <w:unhideWhenUsed/>
    <w:rsid w:val="000D73E2"/>
    <w:pPr>
      <w:spacing w:before="100" w:beforeAutospacing="1" w:after="100" w:afterAutospacing="1"/>
    </w:pPr>
    <w:rPr>
      <w:lang w:eastAsia="en-US"/>
    </w:rPr>
  </w:style>
  <w:style w:type="paragraph" w:styleId="a8">
    <w:name w:val="footnote text"/>
    <w:basedOn w:val="a"/>
    <w:link w:val="Char1"/>
    <w:uiPriority w:val="99"/>
    <w:semiHidden/>
    <w:unhideWhenUsed/>
    <w:rsid w:val="000D73E2"/>
    <w:rPr>
      <w:rFonts w:asciiTheme="minorHAnsi" w:eastAsiaTheme="minorEastAsia" w:hAnsiTheme="minorHAnsi" w:cstheme="minorBidi"/>
      <w:sz w:val="20"/>
      <w:szCs w:val="20"/>
      <w:lang w:eastAsia="en-US"/>
    </w:rPr>
  </w:style>
  <w:style w:type="character" w:customStyle="1" w:styleId="Char1">
    <w:name w:val="脚注文本 Char"/>
    <w:basedOn w:val="a0"/>
    <w:link w:val="a8"/>
    <w:uiPriority w:val="99"/>
    <w:semiHidden/>
    <w:rsid w:val="000D73E2"/>
    <w:rPr>
      <w:sz w:val="20"/>
      <w:szCs w:val="20"/>
    </w:rPr>
  </w:style>
  <w:style w:type="character" w:styleId="a9">
    <w:name w:val="footnote reference"/>
    <w:basedOn w:val="a0"/>
    <w:uiPriority w:val="99"/>
    <w:semiHidden/>
    <w:unhideWhenUsed/>
    <w:rsid w:val="000D73E2"/>
    <w:rPr>
      <w:vertAlign w:val="superscript"/>
    </w:rPr>
  </w:style>
  <w:style w:type="table" w:styleId="aa">
    <w:name w:val="Table Grid"/>
    <w:basedOn w:val="a1"/>
    <w:uiPriority w:val="59"/>
    <w:rsid w:val="00E15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laceholder Text"/>
    <w:basedOn w:val="a0"/>
    <w:uiPriority w:val="99"/>
    <w:semiHidden/>
    <w:rsid w:val="00E15527"/>
    <w:rPr>
      <w:color w:val="808080"/>
    </w:rPr>
  </w:style>
  <w:style w:type="character" w:styleId="ac">
    <w:name w:val="Hyperlink"/>
    <w:basedOn w:val="a0"/>
    <w:uiPriority w:val="99"/>
    <w:unhideWhenUsed/>
    <w:rsid w:val="005F792E"/>
    <w:rPr>
      <w:color w:val="0563C1" w:themeColor="hyperlink"/>
      <w:u w:val="single"/>
    </w:rPr>
  </w:style>
  <w:style w:type="character" w:customStyle="1" w:styleId="UnresolvedMention1">
    <w:name w:val="Unresolved Mention1"/>
    <w:basedOn w:val="a0"/>
    <w:uiPriority w:val="99"/>
    <w:semiHidden/>
    <w:unhideWhenUsed/>
    <w:rsid w:val="005F792E"/>
    <w:rPr>
      <w:color w:val="605E5C"/>
      <w:shd w:val="clear" w:color="auto" w:fill="E1DFDD"/>
    </w:rPr>
  </w:style>
  <w:style w:type="character" w:styleId="ad">
    <w:name w:val="FollowedHyperlink"/>
    <w:basedOn w:val="a0"/>
    <w:uiPriority w:val="99"/>
    <w:semiHidden/>
    <w:unhideWhenUsed/>
    <w:rsid w:val="005F792E"/>
    <w:rPr>
      <w:color w:val="954F72" w:themeColor="followedHyperlink"/>
      <w:u w:val="single"/>
    </w:rPr>
  </w:style>
  <w:style w:type="character" w:styleId="ae">
    <w:name w:val="annotation reference"/>
    <w:basedOn w:val="a0"/>
    <w:uiPriority w:val="99"/>
    <w:semiHidden/>
    <w:unhideWhenUsed/>
    <w:rsid w:val="00783CE0"/>
    <w:rPr>
      <w:sz w:val="16"/>
      <w:szCs w:val="16"/>
    </w:rPr>
  </w:style>
  <w:style w:type="paragraph" w:styleId="af">
    <w:name w:val="annotation text"/>
    <w:basedOn w:val="a"/>
    <w:link w:val="Char2"/>
    <w:uiPriority w:val="99"/>
    <w:semiHidden/>
    <w:unhideWhenUsed/>
    <w:rsid w:val="00783CE0"/>
    <w:rPr>
      <w:rFonts w:asciiTheme="minorHAnsi" w:eastAsiaTheme="minorEastAsia" w:hAnsiTheme="minorHAnsi" w:cstheme="minorBidi"/>
      <w:sz w:val="20"/>
      <w:szCs w:val="20"/>
      <w:lang w:eastAsia="en-US"/>
    </w:rPr>
  </w:style>
  <w:style w:type="character" w:customStyle="1" w:styleId="Char2">
    <w:name w:val="批注文字 Char"/>
    <w:basedOn w:val="a0"/>
    <w:link w:val="af"/>
    <w:uiPriority w:val="99"/>
    <w:semiHidden/>
    <w:rsid w:val="00783CE0"/>
    <w:rPr>
      <w:sz w:val="20"/>
      <w:szCs w:val="20"/>
    </w:rPr>
  </w:style>
  <w:style w:type="paragraph" w:styleId="af0">
    <w:name w:val="annotation subject"/>
    <w:basedOn w:val="af"/>
    <w:next w:val="af"/>
    <w:link w:val="Char3"/>
    <w:uiPriority w:val="99"/>
    <w:semiHidden/>
    <w:unhideWhenUsed/>
    <w:rsid w:val="00783CE0"/>
    <w:rPr>
      <w:b/>
      <w:bCs/>
    </w:rPr>
  </w:style>
  <w:style w:type="character" w:customStyle="1" w:styleId="Char3">
    <w:name w:val="批注主题 Char"/>
    <w:basedOn w:val="Char2"/>
    <w:link w:val="af0"/>
    <w:uiPriority w:val="99"/>
    <w:semiHidden/>
    <w:rsid w:val="00783CE0"/>
    <w:rPr>
      <w:b/>
      <w:bCs/>
      <w:sz w:val="20"/>
      <w:szCs w:val="20"/>
    </w:rPr>
  </w:style>
  <w:style w:type="paragraph" w:styleId="af1">
    <w:name w:val="Balloon Text"/>
    <w:basedOn w:val="a"/>
    <w:link w:val="Char4"/>
    <w:uiPriority w:val="99"/>
    <w:semiHidden/>
    <w:unhideWhenUsed/>
    <w:rsid w:val="00783CE0"/>
    <w:rPr>
      <w:rFonts w:ascii="Segoe UI" w:eastAsiaTheme="minorEastAsia" w:hAnsi="Segoe UI" w:cs="Segoe UI"/>
      <w:sz w:val="18"/>
      <w:szCs w:val="18"/>
      <w:lang w:eastAsia="en-US"/>
    </w:rPr>
  </w:style>
  <w:style w:type="character" w:customStyle="1" w:styleId="Char4">
    <w:name w:val="批注框文本 Char"/>
    <w:basedOn w:val="a0"/>
    <w:link w:val="af1"/>
    <w:uiPriority w:val="99"/>
    <w:semiHidden/>
    <w:rsid w:val="00783CE0"/>
    <w:rPr>
      <w:rFonts w:ascii="Segoe UI" w:hAnsi="Segoe UI" w:cs="Segoe UI"/>
      <w:sz w:val="18"/>
      <w:szCs w:val="18"/>
    </w:rPr>
  </w:style>
  <w:style w:type="paragraph" w:styleId="af2">
    <w:name w:val="Revision"/>
    <w:hidden/>
    <w:uiPriority w:val="99"/>
    <w:semiHidden/>
    <w:rsid w:val="000C73A3"/>
  </w:style>
  <w:style w:type="character" w:customStyle="1" w:styleId="UnresolvedMention2">
    <w:name w:val="Unresolved Mention2"/>
    <w:basedOn w:val="a0"/>
    <w:uiPriority w:val="99"/>
    <w:semiHidden/>
    <w:unhideWhenUsed/>
    <w:rsid w:val="00E11DEE"/>
    <w:rPr>
      <w:color w:val="605E5C"/>
      <w:shd w:val="clear" w:color="auto" w:fill="E1DFDD"/>
    </w:rPr>
  </w:style>
  <w:style w:type="paragraph" w:styleId="af3">
    <w:name w:val="caption"/>
    <w:basedOn w:val="a"/>
    <w:next w:val="a"/>
    <w:uiPriority w:val="35"/>
    <w:unhideWhenUsed/>
    <w:qFormat/>
    <w:rsid w:val="00A73315"/>
    <w:pPr>
      <w:spacing w:after="200"/>
    </w:pPr>
    <w:rPr>
      <w:rFonts w:asciiTheme="minorHAnsi" w:eastAsiaTheme="minorEastAsia" w:hAnsiTheme="minorHAnsi" w:cstheme="minorBidi"/>
      <w:i/>
      <w:iCs/>
      <w:color w:val="44546A" w:themeColor="text2"/>
      <w:sz w:val="18"/>
      <w:szCs w:val="18"/>
      <w:lang w:eastAsia="en-US"/>
    </w:rPr>
  </w:style>
  <w:style w:type="character" w:customStyle="1" w:styleId="apple-converted-space">
    <w:name w:val="apple-converted-space"/>
    <w:basedOn w:val="a0"/>
    <w:rsid w:val="003B06C7"/>
  </w:style>
  <w:style w:type="paragraph" w:styleId="af4">
    <w:name w:val="No Spacing"/>
    <w:uiPriority w:val="1"/>
    <w:qFormat/>
    <w:rsid w:val="00DC3DCD"/>
    <w:rPr>
      <w:rFonts w:ascii="Times New Roman" w:eastAsia="Times New Roman" w:hAnsi="Times New Roman" w:cs="Times New Roman"/>
      <w:lang w:eastAsia="en-GB"/>
    </w:rPr>
  </w:style>
</w:styles>
</file>

<file path=word/webSettings.xml><?xml version="1.0" encoding="utf-8"?>
<w:webSettings xmlns:r="http://schemas.openxmlformats.org/officeDocument/2006/relationships" xmlns:w="http://schemas.openxmlformats.org/wordprocessingml/2006/main">
  <w:divs>
    <w:div w:id="7559772">
      <w:bodyDiv w:val="1"/>
      <w:marLeft w:val="0"/>
      <w:marRight w:val="0"/>
      <w:marTop w:val="0"/>
      <w:marBottom w:val="0"/>
      <w:divBdr>
        <w:top w:val="none" w:sz="0" w:space="0" w:color="auto"/>
        <w:left w:val="none" w:sz="0" w:space="0" w:color="auto"/>
        <w:bottom w:val="none" w:sz="0" w:space="0" w:color="auto"/>
        <w:right w:val="none" w:sz="0" w:space="0" w:color="auto"/>
      </w:divBdr>
    </w:div>
    <w:div w:id="9844258">
      <w:bodyDiv w:val="1"/>
      <w:marLeft w:val="0"/>
      <w:marRight w:val="0"/>
      <w:marTop w:val="0"/>
      <w:marBottom w:val="0"/>
      <w:divBdr>
        <w:top w:val="none" w:sz="0" w:space="0" w:color="auto"/>
        <w:left w:val="none" w:sz="0" w:space="0" w:color="auto"/>
        <w:bottom w:val="none" w:sz="0" w:space="0" w:color="auto"/>
        <w:right w:val="none" w:sz="0" w:space="0" w:color="auto"/>
      </w:divBdr>
    </w:div>
    <w:div w:id="11540700">
      <w:bodyDiv w:val="1"/>
      <w:marLeft w:val="0"/>
      <w:marRight w:val="0"/>
      <w:marTop w:val="0"/>
      <w:marBottom w:val="0"/>
      <w:divBdr>
        <w:top w:val="none" w:sz="0" w:space="0" w:color="auto"/>
        <w:left w:val="none" w:sz="0" w:space="0" w:color="auto"/>
        <w:bottom w:val="none" w:sz="0" w:space="0" w:color="auto"/>
        <w:right w:val="none" w:sz="0" w:space="0" w:color="auto"/>
      </w:divBdr>
      <w:divsChild>
        <w:div w:id="729227149">
          <w:marLeft w:val="0"/>
          <w:marRight w:val="0"/>
          <w:marTop w:val="0"/>
          <w:marBottom w:val="0"/>
          <w:divBdr>
            <w:top w:val="none" w:sz="0" w:space="0" w:color="auto"/>
            <w:left w:val="none" w:sz="0" w:space="0" w:color="auto"/>
            <w:bottom w:val="none" w:sz="0" w:space="0" w:color="auto"/>
            <w:right w:val="none" w:sz="0" w:space="0" w:color="auto"/>
          </w:divBdr>
          <w:divsChild>
            <w:div w:id="452941698">
              <w:marLeft w:val="0"/>
              <w:marRight w:val="0"/>
              <w:marTop w:val="0"/>
              <w:marBottom w:val="0"/>
              <w:divBdr>
                <w:top w:val="none" w:sz="0" w:space="0" w:color="auto"/>
                <w:left w:val="none" w:sz="0" w:space="0" w:color="auto"/>
                <w:bottom w:val="none" w:sz="0" w:space="0" w:color="auto"/>
                <w:right w:val="none" w:sz="0" w:space="0" w:color="auto"/>
              </w:divBdr>
              <w:divsChild>
                <w:div w:id="16735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468">
      <w:bodyDiv w:val="1"/>
      <w:marLeft w:val="0"/>
      <w:marRight w:val="0"/>
      <w:marTop w:val="0"/>
      <w:marBottom w:val="0"/>
      <w:divBdr>
        <w:top w:val="none" w:sz="0" w:space="0" w:color="auto"/>
        <w:left w:val="none" w:sz="0" w:space="0" w:color="auto"/>
        <w:bottom w:val="none" w:sz="0" w:space="0" w:color="auto"/>
        <w:right w:val="none" w:sz="0" w:space="0" w:color="auto"/>
      </w:divBdr>
    </w:div>
    <w:div w:id="12416780">
      <w:bodyDiv w:val="1"/>
      <w:marLeft w:val="0"/>
      <w:marRight w:val="0"/>
      <w:marTop w:val="0"/>
      <w:marBottom w:val="0"/>
      <w:divBdr>
        <w:top w:val="none" w:sz="0" w:space="0" w:color="auto"/>
        <w:left w:val="none" w:sz="0" w:space="0" w:color="auto"/>
        <w:bottom w:val="none" w:sz="0" w:space="0" w:color="auto"/>
        <w:right w:val="none" w:sz="0" w:space="0" w:color="auto"/>
      </w:divBdr>
    </w:div>
    <w:div w:id="28343254">
      <w:bodyDiv w:val="1"/>
      <w:marLeft w:val="0"/>
      <w:marRight w:val="0"/>
      <w:marTop w:val="0"/>
      <w:marBottom w:val="0"/>
      <w:divBdr>
        <w:top w:val="none" w:sz="0" w:space="0" w:color="auto"/>
        <w:left w:val="none" w:sz="0" w:space="0" w:color="auto"/>
        <w:bottom w:val="none" w:sz="0" w:space="0" w:color="auto"/>
        <w:right w:val="none" w:sz="0" w:space="0" w:color="auto"/>
      </w:divBdr>
      <w:divsChild>
        <w:div w:id="173038321">
          <w:marLeft w:val="0"/>
          <w:marRight w:val="0"/>
          <w:marTop w:val="0"/>
          <w:marBottom w:val="0"/>
          <w:divBdr>
            <w:top w:val="none" w:sz="0" w:space="0" w:color="auto"/>
            <w:left w:val="none" w:sz="0" w:space="0" w:color="auto"/>
            <w:bottom w:val="none" w:sz="0" w:space="0" w:color="auto"/>
            <w:right w:val="none" w:sz="0" w:space="0" w:color="auto"/>
          </w:divBdr>
          <w:divsChild>
            <w:div w:id="1889412582">
              <w:marLeft w:val="0"/>
              <w:marRight w:val="0"/>
              <w:marTop w:val="0"/>
              <w:marBottom w:val="0"/>
              <w:divBdr>
                <w:top w:val="none" w:sz="0" w:space="0" w:color="auto"/>
                <w:left w:val="none" w:sz="0" w:space="0" w:color="auto"/>
                <w:bottom w:val="none" w:sz="0" w:space="0" w:color="auto"/>
                <w:right w:val="none" w:sz="0" w:space="0" w:color="auto"/>
              </w:divBdr>
              <w:divsChild>
                <w:div w:id="143689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11182">
      <w:bodyDiv w:val="1"/>
      <w:marLeft w:val="0"/>
      <w:marRight w:val="0"/>
      <w:marTop w:val="0"/>
      <w:marBottom w:val="0"/>
      <w:divBdr>
        <w:top w:val="none" w:sz="0" w:space="0" w:color="auto"/>
        <w:left w:val="none" w:sz="0" w:space="0" w:color="auto"/>
        <w:bottom w:val="none" w:sz="0" w:space="0" w:color="auto"/>
        <w:right w:val="none" w:sz="0" w:space="0" w:color="auto"/>
      </w:divBdr>
    </w:div>
    <w:div w:id="55279240">
      <w:bodyDiv w:val="1"/>
      <w:marLeft w:val="0"/>
      <w:marRight w:val="0"/>
      <w:marTop w:val="0"/>
      <w:marBottom w:val="0"/>
      <w:divBdr>
        <w:top w:val="none" w:sz="0" w:space="0" w:color="auto"/>
        <w:left w:val="none" w:sz="0" w:space="0" w:color="auto"/>
        <w:bottom w:val="none" w:sz="0" w:space="0" w:color="auto"/>
        <w:right w:val="none" w:sz="0" w:space="0" w:color="auto"/>
      </w:divBdr>
    </w:div>
    <w:div w:id="81031952">
      <w:bodyDiv w:val="1"/>
      <w:marLeft w:val="0"/>
      <w:marRight w:val="0"/>
      <w:marTop w:val="0"/>
      <w:marBottom w:val="0"/>
      <w:divBdr>
        <w:top w:val="none" w:sz="0" w:space="0" w:color="auto"/>
        <w:left w:val="none" w:sz="0" w:space="0" w:color="auto"/>
        <w:bottom w:val="none" w:sz="0" w:space="0" w:color="auto"/>
        <w:right w:val="none" w:sz="0" w:space="0" w:color="auto"/>
      </w:divBdr>
      <w:divsChild>
        <w:div w:id="51275079">
          <w:marLeft w:val="0"/>
          <w:marRight w:val="0"/>
          <w:marTop w:val="0"/>
          <w:marBottom w:val="0"/>
          <w:divBdr>
            <w:top w:val="none" w:sz="0" w:space="0" w:color="auto"/>
            <w:left w:val="none" w:sz="0" w:space="0" w:color="auto"/>
            <w:bottom w:val="none" w:sz="0" w:space="0" w:color="auto"/>
            <w:right w:val="none" w:sz="0" w:space="0" w:color="auto"/>
          </w:divBdr>
          <w:divsChild>
            <w:div w:id="1477454120">
              <w:marLeft w:val="0"/>
              <w:marRight w:val="0"/>
              <w:marTop w:val="0"/>
              <w:marBottom w:val="0"/>
              <w:divBdr>
                <w:top w:val="none" w:sz="0" w:space="0" w:color="auto"/>
                <w:left w:val="none" w:sz="0" w:space="0" w:color="auto"/>
                <w:bottom w:val="none" w:sz="0" w:space="0" w:color="auto"/>
                <w:right w:val="none" w:sz="0" w:space="0" w:color="auto"/>
              </w:divBdr>
              <w:divsChild>
                <w:div w:id="63394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2015">
      <w:bodyDiv w:val="1"/>
      <w:marLeft w:val="0"/>
      <w:marRight w:val="0"/>
      <w:marTop w:val="0"/>
      <w:marBottom w:val="0"/>
      <w:divBdr>
        <w:top w:val="none" w:sz="0" w:space="0" w:color="auto"/>
        <w:left w:val="none" w:sz="0" w:space="0" w:color="auto"/>
        <w:bottom w:val="none" w:sz="0" w:space="0" w:color="auto"/>
        <w:right w:val="none" w:sz="0" w:space="0" w:color="auto"/>
      </w:divBdr>
    </w:div>
    <w:div w:id="148064064">
      <w:bodyDiv w:val="1"/>
      <w:marLeft w:val="0"/>
      <w:marRight w:val="0"/>
      <w:marTop w:val="0"/>
      <w:marBottom w:val="0"/>
      <w:divBdr>
        <w:top w:val="none" w:sz="0" w:space="0" w:color="auto"/>
        <w:left w:val="none" w:sz="0" w:space="0" w:color="auto"/>
        <w:bottom w:val="none" w:sz="0" w:space="0" w:color="auto"/>
        <w:right w:val="none" w:sz="0" w:space="0" w:color="auto"/>
      </w:divBdr>
    </w:div>
    <w:div w:id="163713762">
      <w:bodyDiv w:val="1"/>
      <w:marLeft w:val="0"/>
      <w:marRight w:val="0"/>
      <w:marTop w:val="0"/>
      <w:marBottom w:val="0"/>
      <w:divBdr>
        <w:top w:val="none" w:sz="0" w:space="0" w:color="auto"/>
        <w:left w:val="none" w:sz="0" w:space="0" w:color="auto"/>
        <w:bottom w:val="none" w:sz="0" w:space="0" w:color="auto"/>
        <w:right w:val="none" w:sz="0" w:space="0" w:color="auto"/>
      </w:divBdr>
    </w:div>
    <w:div w:id="185826946">
      <w:bodyDiv w:val="1"/>
      <w:marLeft w:val="0"/>
      <w:marRight w:val="0"/>
      <w:marTop w:val="0"/>
      <w:marBottom w:val="0"/>
      <w:divBdr>
        <w:top w:val="none" w:sz="0" w:space="0" w:color="auto"/>
        <w:left w:val="none" w:sz="0" w:space="0" w:color="auto"/>
        <w:bottom w:val="none" w:sz="0" w:space="0" w:color="auto"/>
        <w:right w:val="none" w:sz="0" w:space="0" w:color="auto"/>
      </w:divBdr>
    </w:div>
    <w:div w:id="186602032">
      <w:bodyDiv w:val="1"/>
      <w:marLeft w:val="0"/>
      <w:marRight w:val="0"/>
      <w:marTop w:val="0"/>
      <w:marBottom w:val="0"/>
      <w:divBdr>
        <w:top w:val="none" w:sz="0" w:space="0" w:color="auto"/>
        <w:left w:val="none" w:sz="0" w:space="0" w:color="auto"/>
        <w:bottom w:val="none" w:sz="0" w:space="0" w:color="auto"/>
        <w:right w:val="none" w:sz="0" w:space="0" w:color="auto"/>
      </w:divBdr>
    </w:div>
    <w:div w:id="186721845">
      <w:bodyDiv w:val="1"/>
      <w:marLeft w:val="0"/>
      <w:marRight w:val="0"/>
      <w:marTop w:val="0"/>
      <w:marBottom w:val="0"/>
      <w:divBdr>
        <w:top w:val="none" w:sz="0" w:space="0" w:color="auto"/>
        <w:left w:val="none" w:sz="0" w:space="0" w:color="auto"/>
        <w:bottom w:val="none" w:sz="0" w:space="0" w:color="auto"/>
        <w:right w:val="none" w:sz="0" w:space="0" w:color="auto"/>
      </w:divBdr>
    </w:div>
    <w:div w:id="189878248">
      <w:bodyDiv w:val="1"/>
      <w:marLeft w:val="0"/>
      <w:marRight w:val="0"/>
      <w:marTop w:val="0"/>
      <w:marBottom w:val="0"/>
      <w:divBdr>
        <w:top w:val="none" w:sz="0" w:space="0" w:color="auto"/>
        <w:left w:val="none" w:sz="0" w:space="0" w:color="auto"/>
        <w:bottom w:val="none" w:sz="0" w:space="0" w:color="auto"/>
        <w:right w:val="none" w:sz="0" w:space="0" w:color="auto"/>
      </w:divBdr>
    </w:div>
    <w:div w:id="203175933">
      <w:bodyDiv w:val="1"/>
      <w:marLeft w:val="0"/>
      <w:marRight w:val="0"/>
      <w:marTop w:val="0"/>
      <w:marBottom w:val="0"/>
      <w:divBdr>
        <w:top w:val="none" w:sz="0" w:space="0" w:color="auto"/>
        <w:left w:val="none" w:sz="0" w:space="0" w:color="auto"/>
        <w:bottom w:val="none" w:sz="0" w:space="0" w:color="auto"/>
        <w:right w:val="none" w:sz="0" w:space="0" w:color="auto"/>
      </w:divBdr>
    </w:div>
    <w:div w:id="228538239">
      <w:bodyDiv w:val="1"/>
      <w:marLeft w:val="0"/>
      <w:marRight w:val="0"/>
      <w:marTop w:val="0"/>
      <w:marBottom w:val="0"/>
      <w:divBdr>
        <w:top w:val="none" w:sz="0" w:space="0" w:color="auto"/>
        <w:left w:val="none" w:sz="0" w:space="0" w:color="auto"/>
        <w:bottom w:val="none" w:sz="0" w:space="0" w:color="auto"/>
        <w:right w:val="none" w:sz="0" w:space="0" w:color="auto"/>
      </w:divBdr>
    </w:div>
    <w:div w:id="256184076">
      <w:bodyDiv w:val="1"/>
      <w:marLeft w:val="0"/>
      <w:marRight w:val="0"/>
      <w:marTop w:val="0"/>
      <w:marBottom w:val="0"/>
      <w:divBdr>
        <w:top w:val="none" w:sz="0" w:space="0" w:color="auto"/>
        <w:left w:val="none" w:sz="0" w:space="0" w:color="auto"/>
        <w:bottom w:val="none" w:sz="0" w:space="0" w:color="auto"/>
        <w:right w:val="none" w:sz="0" w:space="0" w:color="auto"/>
      </w:divBdr>
    </w:div>
    <w:div w:id="266667891">
      <w:bodyDiv w:val="1"/>
      <w:marLeft w:val="0"/>
      <w:marRight w:val="0"/>
      <w:marTop w:val="0"/>
      <w:marBottom w:val="0"/>
      <w:divBdr>
        <w:top w:val="none" w:sz="0" w:space="0" w:color="auto"/>
        <w:left w:val="none" w:sz="0" w:space="0" w:color="auto"/>
        <w:bottom w:val="none" w:sz="0" w:space="0" w:color="auto"/>
        <w:right w:val="none" w:sz="0" w:space="0" w:color="auto"/>
      </w:divBdr>
    </w:div>
    <w:div w:id="272328866">
      <w:bodyDiv w:val="1"/>
      <w:marLeft w:val="0"/>
      <w:marRight w:val="0"/>
      <w:marTop w:val="0"/>
      <w:marBottom w:val="0"/>
      <w:divBdr>
        <w:top w:val="none" w:sz="0" w:space="0" w:color="auto"/>
        <w:left w:val="none" w:sz="0" w:space="0" w:color="auto"/>
        <w:bottom w:val="none" w:sz="0" w:space="0" w:color="auto"/>
        <w:right w:val="none" w:sz="0" w:space="0" w:color="auto"/>
      </w:divBdr>
    </w:div>
    <w:div w:id="356850295">
      <w:bodyDiv w:val="1"/>
      <w:marLeft w:val="0"/>
      <w:marRight w:val="0"/>
      <w:marTop w:val="0"/>
      <w:marBottom w:val="0"/>
      <w:divBdr>
        <w:top w:val="none" w:sz="0" w:space="0" w:color="auto"/>
        <w:left w:val="none" w:sz="0" w:space="0" w:color="auto"/>
        <w:bottom w:val="none" w:sz="0" w:space="0" w:color="auto"/>
        <w:right w:val="none" w:sz="0" w:space="0" w:color="auto"/>
      </w:divBdr>
    </w:div>
    <w:div w:id="382676139">
      <w:bodyDiv w:val="1"/>
      <w:marLeft w:val="0"/>
      <w:marRight w:val="0"/>
      <w:marTop w:val="0"/>
      <w:marBottom w:val="0"/>
      <w:divBdr>
        <w:top w:val="none" w:sz="0" w:space="0" w:color="auto"/>
        <w:left w:val="none" w:sz="0" w:space="0" w:color="auto"/>
        <w:bottom w:val="none" w:sz="0" w:space="0" w:color="auto"/>
        <w:right w:val="none" w:sz="0" w:space="0" w:color="auto"/>
      </w:divBdr>
    </w:div>
    <w:div w:id="407650222">
      <w:bodyDiv w:val="1"/>
      <w:marLeft w:val="0"/>
      <w:marRight w:val="0"/>
      <w:marTop w:val="0"/>
      <w:marBottom w:val="0"/>
      <w:divBdr>
        <w:top w:val="none" w:sz="0" w:space="0" w:color="auto"/>
        <w:left w:val="none" w:sz="0" w:space="0" w:color="auto"/>
        <w:bottom w:val="none" w:sz="0" w:space="0" w:color="auto"/>
        <w:right w:val="none" w:sz="0" w:space="0" w:color="auto"/>
      </w:divBdr>
      <w:divsChild>
        <w:div w:id="791510125">
          <w:marLeft w:val="0"/>
          <w:marRight w:val="0"/>
          <w:marTop w:val="0"/>
          <w:marBottom w:val="0"/>
          <w:divBdr>
            <w:top w:val="none" w:sz="0" w:space="0" w:color="auto"/>
            <w:left w:val="none" w:sz="0" w:space="0" w:color="auto"/>
            <w:bottom w:val="none" w:sz="0" w:space="0" w:color="auto"/>
            <w:right w:val="none" w:sz="0" w:space="0" w:color="auto"/>
          </w:divBdr>
          <w:divsChild>
            <w:div w:id="1894928871">
              <w:marLeft w:val="0"/>
              <w:marRight w:val="0"/>
              <w:marTop w:val="0"/>
              <w:marBottom w:val="0"/>
              <w:divBdr>
                <w:top w:val="none" w:sz="0" w:space="0" w:color="auto"/>
                <w:left w:val="none" w:sz="0" w:space="0" w:color="auto"/>
                <w:bottom w:val="none" w:sz="0" w:space="0" w:color="auto"/>
                <w:right w:val="none" w:sz="0" w:space="0" w:color="auto"/>
              </w:divBdr>
              <w:divsChild>
                <w:div w:id="214481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254062">
      <w:bodyDiv w:val="1"/>
      <w:marLeft w:val="0"/>
      <w:marRight w:val="0"/>
      <w:marTop w:val="0"/>
      <w:marBottom w:val="0"/>
      <w:divBdr>
        <w:top w:val="none" w:sz="0" w:space="0" w:color="auto"/>
        <w:left w:val="none" w:sz="0" w:space="0" w:color="auto"/>
        <w:bottom w:val="none" w:sz="0" w:space="0" w:color="auto"/>
        <w:right w:val="none" w:sz="0" w:space="0" w:color="auto"/>
      </w:divBdr>
    </w:div>
    <w:div w:id="422380057">
      <w:bodyDiv w:val="1"/>
      <w:marLeft w:val="0"/>
      <w:marRight w:val="0"/>
      <w:marTop w:val="0"/>
      <w:marBottom w:val="0"/>
      <w:divBdr>
        <w:top w:val="none" w:sz="0" w:space="0" w:color="auto"/>
        <w:left w:val="none" w:sz="0" w:space="0" w:color="auto"/>
        <w:bottom w:val="none" w:sz="0" w:space="0" w:color="auto"/>
        <w:right w:val="none" w:sz="0" w:space="0" w:color="auto"/>
      </w:divBdr>
    </w:div>
    <w:div w:id="433749322">
      <w:bodyDiv w:val="1"/>
      <w:marLeft w:val="0"/>
      <w:marRight w:val="0"/>
      <w:marTop w:val="0"/>
      <w:marBottom w:val="0"/>
      <w:divBdr>
        <w:top w:val="none" w:sz="0" w:space="0" w:color="auto"/>
        <w:left w:val="none" w:sz="0" w:space="0" w:color="auto"/>
        <w:bottom w:val="none" w:sz="0" w:space="0" w:color="auto"/>
        <w:right w:val="none" w:sz="0" w:space="0" w:color="auto"/>
      </w:divBdr>
    </w:div>
    <w:div w:id="437874937">
      <w:bodyDiv w:val="1"/>
      <w:marLeft w:val="0"/>
      <w:marRight w:val="0"/>
      <w:marTop w:val="0"/>
      <w:marBottom w:val="0"/>
      <w:divBdr>
        <w:top w:val="none" w:sz="0" w:space="0" w:color="auto"/>
        <w:left w:val="none" w:sz="0" w:space="0" w:color="auto"/>
        <w:bottom w:val="none" w:sz="0" w:space="0" w:color="auto"/>
        <w:right w:val="none" w:sz="0" w:space="0" w:color="auto"/>
      </w:divBdr>
    </w:div>
    <w:div w:id="458182953">
      <w:bodyDiv w:val="1"/>
      <w:marLeft w:val="0"/>
      <w:marRight w:val="0"/>
      <w:marTop w:val="0"/>
      <w:marBottom w:val="0"/>
      <w:divBdr>
        <w:top w:val="none" w:sz="0" w:space="0" w:color="auto"/>
        <w:left w:val="none" w:sz="0" w:space="0" w:color="auto"/>
        <w:bottom w:val="none" w:sz="0" w:space="0" w:color="auto"/>
        <w:right w:val="none" w:sz="0" w:space="0" w:color="auto"/>
      </w:divBdr>
    </w:div>
    <w:div w:id="463739842">
      <w:bodyDiv w:val="1"/>
      <w:marLeft w:val="0"/>
      <w:marRight w:val="0"/>
      <w:marTop w:val="0"/>
      <w:marBottom w:val="0"/>
      <w:divBdr>
        <w:top w:val="none" w:sz="0" w:space="0" w:color="auto"/>
        <w:left w:val="none" w:sz="0" w:space="0" w:color="auto"/>
        <w:bottom w:val="none" w:sz="0" w:space="0" w:color="auto"/>
        <w:right w:val="none" w:sz="0" w:space="0" w:color="auto"/>
      </w:divBdr>
    </w:div>
    <w:div w:id="472986872">
      <w:bodyDiv w:val="1"/>
      <w:marLeft w:val="0"/>
      <w:marRight w:val="0"/>
      <w:marTop w:val="0"/>
      <w:marBottom w:val="0"/>
      <w:divBdr>
        <w:top w:val="none" w:sz="0" w:space="0" w:color="auto"/>
        <w:left w:val="none" w:sz="0" w:space="0" w:color="auto"/>
        <w:bottom w:val="none" w:sz="0" w:space="0" w:color="auto"/>
        <w:right w:val="none" w:sz="0" w:space="0" w:color="auto"/>
      </w:divBdr>
      <w:divsChild>
        <w:div w:id="727189275">
          <w:marLeft w:val="0"/>
          <w:marRight w:val="0"/>
          <w:marTop w:val="0"/>
          <w:marBottom w:val="0"/>
          <w:divBdr>
            <w:top w:val="none" w:sz="0" w:space="0" w:color="auto"/>
            <w:left w:val="none" w:sz="0" w:space="0" w:color="auto"/>
            <w:bottom w:val="none" w:sz="0" w:space="0" w:color="auto"/>
            <w:right w:val="none" w:sz="0" w:space="0" w:color="auto"/>
          </w:divBdr>
          <w:divsChild>
            <w:div w:id="17294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8921">
      <w:bodyDiv w:val="1"/>
      <w:marLeft w:val="0"/>
      <w:marRight w:val="0"/>
      <w:marTop w:val="0"/>
      <w:marBottom w:val="0"/>
      <w:divBdr>
        <w:top w:val="none" w:sz="0" w:space="0" w:color="auto"/>
        <w:left w:val="none" w:sz="0" w:space="0" w:color="auto"/>
        <w:bottom w:val="none" w:sz="0" w:space="0" w:color="auto"/>
        <w:right w:val="none" w:sz="0" w:space="0" w:color="auto"/>
      </w:divBdr>
    </w:div>
    <w:div w:id="506670953">
      <w:bodyDiv w:val="1"/>
      <w:marLeft w:val="0"/>
      <w:marRight w:val="0"/>
      <w:marTop w:val="0"/>
      <w:marBottom w:val="0"/>
      <w:divBdr>
        <w:top w:val="none" w:sz="0" w:space="0" w:color="auto"/>
        <w:left w:val="none" w:sz="0" w:space="0" w:color="auto"/>
        <w:bottom w:val="none" w:sz="0" w:space="0" w:color="auto"/>
        <w:right w:val="none" w:sz="0" w:space="0" w:color="auto"/>
      </w:divBdr>
    </w:div>
    <w:div w:id="517888957">
      <w:bodyDiv w:val="1"/>
      <w:marLeft w:val="0"/>
      <w:marRight w:val="0"/>
      <w:marTop w:val="0"/>
      <w:marBottom w:val="0"/>
      <w:divBdr>
        <w:top w:val="none" w:sz="0" w:space="0" w:color="auto"/>
        <w:left w:val="none" w:sz="0" w:space="0" w:color="auto"/>
        <w:bottom w:val="none" w:sz="0" w:space="0" w:color="auto"/>
        <w:right w:val="none" w:sz="0" w:space="0" w:color="auto"/>
      </w:divBdr>
    </w:div>
    <w:div w:id="531961701">
      <w:bodyDiv w:val="1"/>
      <w:marLeft w:val="0"/>
      <w:marRight w:val="0"/>
      <w:marTop w:val="0"/>
      <w:marBottom w:val="0"/>
      <w:divBdr>
        <w:top w:val="none" w:sz="0" w:space="0" w:color="auto"/>
        <w:left w:val="none" w:sz="0" w:space="0" w:color="auto"/>
        <w:bottom w:val="none" w:sz="0" w:space="0" w:color="auto"/>
        <w:right w:val="none" w:sz="0" w:space="0" w:color="auto"/>
      </w:divBdr>
    </w:div>
    <w:div w:id="537474476">
      <w:bodyDiv w:val="1"/>
      <w:marLeft w:val="0"/>
      <w:marRight w:val="0"/>
      <w:marTop w:val="0"/>
      <w:marBottom w:val="0"/>
      <w:divBdr>
        <w:top w:val="none" w:sz="0" w:space="0" w:color="auto"/>
        <w:left w:val="none" w:sz="0" w:space="0" w:color="auto"/>
        <w:bottom w:val="none" w:sz="0" w:space="0" w:color="auto"/>
        <w:right w:val="none" w:sz="0" w:space="0" w:color="auto"/>
      </w:divBdr>
    </w:div>
    <w:div w:id="588857323">
      <w:bodyDiv w:val="1"/>
      <w:marLeft w:val="0"/>
      <w:marRight w:val="0"/>
      <w:marTop w:val="0"/>
      <w:marBottom w:val="0"/>
      <w:divBdr>
        <w:top w:val="none" w:sz="0" w:space="0" w:color="auto"/>
        <w:left w:val="none" w:sz="0" w:space="0" w:color="auto"/>
        <w:bottom w:val="none" w:sz="0" w:space="0" w:color="auto"/>
        <w:right w:val="none" w:sz="0" w:space="0" w:color="auto"/>
      </w:divBdr>
      <w:divsChild>
        <w:div w:id="2061242146">
          <w:marLeft w:val="0"/>
          <w:marRight w:val="0"/>
          <w:marTop w:val="0"/>
          <w:marBottom w:val="0"/>
          <w:divBdr>
            <w:top w:val="none" w:sz="0" w:space="0" w:color="auto"/>
            <w:left w:val="none" w:sz="0" w:space="0" w:color="auto"/>
            <w:bottom w:val="none" w:sz="0" w:space="0" w:color="auto"/>
            <w:right w:val="none" w:sz="0" w:space="0" w:color="auto"/>
          </w:divBdr>
          <w:divsChild>
            <w:div w:id="148324059">
              <w:marLeft w:val="0"/>
              <w:marRight w:val="0"/>
              <w:marTop w:val="0"/>
              <w:marBottom w:val="0"/>
              <w:divBdr>
                <w:top w:val="none" w:sz="0" w:space="0" w:color="auto"/>
                <w:left w:val="none" w:sz="0" w:space="0" w:color="auto"/>
                <w:bottom w:val="none" w:sz="0" w:space="0" w:color="auto"/>
                <w:right w:val="none" w:sz="0" w:space="0" w:color="auto"/>
              </w:divBdr>
              <w:divsChild>
                <w:div w:id="10100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00275">
      <w:bodyDiv w:val="1"/>
      <w:marLeft w:val="0"/>
      <w:marRight w:val="0"/>
      <w:marTop w:val="0"/>
      <w:marBottom w:val="0"/>
      <w:divBdr>
        <w:top w:val="none" w:sz="0" w:space="0" w:color="auto"/>
        <w:left w:val="none" w:sz="0" w:space="0" w:color="auto"/>
        <w:bottom w:val="none" w:sz="0" w:space="0" w:color="auto"/>
        <w:right w:val="none" w:sz="0" w:space="0" w:color="auto"/>
      </w:divBdr>
    </w:div>
    <w:div w:id="612320308">
      <w:bodyDiv w:val="1"/>
      <w:marLeft w:val="0"/>
      <w:marRight w:val="0"/>
      <w:marTop w:val="0"/>
      <w:marBottom w:val="0"/>
      <w:divBdr>
        <w:top w:val="none" w:sz="0" w:space="0" w:color="auto"/>
        <w:left w:val="none" w:sz="0" w:space="0" w:color="auto"/>
        <w:bottom w:val="none" w:sz="0" w:space="0" w:color="auto"/>
        <w:right w:val="none" w:sz="0" w:space="0" w:color="auto"/>
      </w:divBdr>
    </w:div>
    <w:div w:id="628977416">
      <w:bodyDiv w:val="1"/>
      <w:marLeft w:val="0"/>
      <w:marRight w:val="0"/>
      <w:marTop w:val="0"/>
      <w:marBottom w:val="0"/>
      <w:divBdr>
        <w:top w:val="none" w:sz="0" w:space="0" w:color="auto"/>
        <w:left w:val="none" w:sz="0" w:space="0" w:color="auto"/>
        <w:bottom w:val="none" w:sz="0" w:space="0" w:color="auto"/>
        <w:right w:val="none" w:sz="0" w:space="0" w:color="auto"/>
      </w:divBdr>
    </w:div>
    <w:div w:id="642271852">
      <w:bodyDiv w:val="1"/>
      <w:marLeft w:val="0"/>
      <w:marRight w:val="0"/>
      <w:marTop w:val="0"/>
      <w:marBottom w:val="0"/>
      <w:divBdr>
        <w:top w:val="none" w:sz="0" w:space="0" w:color="auto"/>
        <w:left w:val="none" w:sz="0" w:space="0" w:color="auto"/>
        <w:bottom w:val="none" w:sz="0" w:space="0" w:color="auto"/>
        <w:right w:val="none" w:sz="0" w:space="0" w:color="auto"/>
      </w:divBdr>
    </w:div>
    <w:div w:id="686835741">
      <w:bodyDiv w:val="1"/>
      <w:marLeft w:val="0"/>
      <w:marRight w:val="0"/>
      <w:marTop w:val="0"/>
      <w:marBottom w:val="0"/>
      <w:divBdr>
        <w:top w:val="none" w:sz="0" w:space="0" w:color="auto"/>
        <w:left w:val="none" w:sz="0" w:space="0" w:color="auto"/>
        <w:bottom w:val="none" w:sz="0" w:space="0" w:color="auto"/>
        <w:right w:val="none" w:sz="0" w:space="0" w:color="auto"/>
      </w:divBdr>
    </w:div>
    <w:div w:id="712003202">
      <w:bodyDiv w:val="1"/>
      <w:marLeft w:val="0"/>
      <w:marRight w:val="0"/>
      <w:marTop w:val="0"/>
      <w:marBottom w:val="0"/>
      <w:divBdr>
        <w:top w:val="none" w:sz="0" w:space="0" w:color="auto"/>
        <w:left w:val="none" w:sz="0" w:space="0" w:color="auto"/>
        <w:bottom w:val="none" w:sz="0" w:space="0" w:color="auto"/>
        <w:right w:val="none" w:sz="0" w:space="0" w:color="auto"/>
      </w:divBdr>
    </w:div>
    <w:div w:id="744105390">
      <w:bodyDiv w:val="1"/>
      <w:marLeft w:val="0"/>
      <w:marRight w:val="0"/>
      <w:marTop w:val="0"/>
      <w:marBottom w:val="0"/>
      <w:divBdr>
        <w:top w:val="none" w:sz="0" w:space="0" w:color="auto"/>
        <w:left w:val="none" w:sz="0" w:space="0" w:color="auto"/>
        <w:bottom w:val="none" w:sz="0" w:space="0" w:color="auto"/>
        <w:right w:val="none" w:sz="0" w:space="0" w:color="auto"/>
      </w:divBdr>
    </w:div>
    <w:div w:id="754128923">
      <w:bodyDiv w:val="1"/>
      <w:marLeft w:val="0"/>
      <w:marRight w:val="0"/>
      <w:marTop w:val="0"/>
      <w:marBottom w:val="0"/>
      <w:divBdr>
        <w:top w:val="none" w:sz="0" w:space="0" w:color="auto"/>
        <w:left w:val="none" w:sz="0" w:space="0" w:color="auto"/>
        <w:bottom w:val="none" w:sz="0" w:space="0" w:color="auto"/>
        <w:right w:val="none" w:sz="0" w:space="0" w:color="auto"/>
      </w:divBdr>
    </w:div>
    <w:div w:id="767458307">
      <w:bodyDiv w:val="1"/>
      <w:marLeft w:val="0"/>
      <w:marRight w:val="0"/>
      <w:marTop w:val="0"/>
      <w:marBottom w:val="0"/>
      <w:divBdr>
        <w:top w:val="none" w:sz="0" w:space="0" w:color="auto"/>
        <w:left w:val="none" w:sz="0" w:space="0" w:color="auto"/>
        <w:bottom w:val="none" w:sz="0" w:space="0" w:color="auto"/>
        <w:right w:val="none" w:sz="0" w:space="0" w:color="auto"/>
      </w:divBdr>
    </w:div>
    <w:div w:id="786849889">
      <w:bodyDiv w:val="1"/>
      <w:marLeft w:val="0"/>
      <w:marRight w:val="0"/>
      <w:marTop w:val="0"/>
      <w:marBottom w:val="0"/>
      <w:divBdr>
        <w:top w:val="none" w:sz="0" w:space="0" w:color="auto"/>
        <w:left w:val="none" w:sz="0" w:space="0" w:color="auto"/>
        <w:bottom w:val="none" w:sz="0" w:space="0" w:color="auto"/>
        <w:right w:val="none" w:sz="0" w:space="0" w:color="auto"/>
      </w:divBdr>
    </w:div>
    <w:div w:id="815530718">
      <w:bodyDiv w:val="1"/>
      <w:marLeft w:val="0"/>
      <w:marRight w:val="0"/>
      <w:marTop w:val="0"/>
      <w:marBottom w:val="0"/>
      <w:divBdr>
        <w:top w:val="none" w:sz="0" w:space="0" w:color="auto"/>
        <w:left w:val="none" w:sz="0" w:space="0" w:color="auto"/>
        <w:bottom w:val="none" w:sz="0" w:space="0" w:color="auto"/>
        <w:right w:val="none" w:sz="0" w:space="0" w:color="auto"/>
      </w:divBdr>
      <w:divsChild>
        <w:div w:id="374549595">
          <w:marLeft w:val="0"/>
          <w:marRight w:val="0"/>
          <w:marTop w:val="0"/>
          <w:marBottom w:val="0"/>
          <w:divBdr>
            <w:top w:val="none" w:sz="0" w:space="0" w:color="auto"/>
            <w:left w:val="none" w:sz="0" w:space="0" w:color="auto"/>
            <w:bottom w:val="none" w:sz="0" w:space="0" w:color="auto"/>
            <w:right w:val="none" w:sz="0" w:space="0" w:color="auto"/>
          </w:divBdr>
          <w:divsChild>
            <w:div w:id="1348403421">
              <w:marLeft w:val="0"/>
              <w:marRight w:val="0"/>
              <w:marTop w:val="0"/>
              <w:marBottom w:val="0"/>
              <w:divBdr>
                <w:top w:val="none" w:sz="0" w:space="0" w:color="auto"/>
                <w:left w:val="none" w:sz="0" w:space="0" w:color="auto"/>
                <w:bottom w:val="none" w:sz="0" w:space="0" w:color="auto"/>
                <w:right w:val="none" w:sz="0" w:space="0" w:color="auto"/>
              </w:divBdr>
              <w:divsChild>
                <w:div w:id="71188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923">
      <w:bodyDiv w:val="1"/>
      <w:marLeft w:val="0"/>
      <w:marRight w:val="0"/>
      <w:marTop w:val="0"/>
      <w:marBottom w:val="0"/>
      <w:divBdr>
        <w:top w:val="none" w:sz="0" w:space="0" w:color="auto"/>
        <w:left w:val="none" w:sz="0" w:space="0" w:color="auto"/>
        <w:bottom w:val="none" w:sz="0" w:space="0" w:color="auto"/>
        <w:right w:val="none" w:sz="0" w:space="0" w:color="auto"/>
      </w:divBdr>
    </w:div>
    <w:div w:id="886188732">
      <w:bodyDiv w:val="1"/>
      <w:marLeft w:val="0"/>
      <w:marRight w:val="0"/>
      <w:marTop w:val="0"/>
      <w:marBottom w:val="0"/>
      <w:divBdr>
        <w:top w:val="none" w:sz="0" w:space="0" w:color="auto"/>
        <w:left w:val="none" w:sz="0" w:space="0" w:color="auto"/>
        <w:bottom w:val="none" w:sz="0" w:space="0" w:color="auto"/>
        <w:right w:val="none" w:sz="0" w:space="0" w:color="auto"/>
      </w:divBdr>
    </w:div>
    <w:div w:id="905996964">
      <w:bodyDiv w:val="1"/>
      <w:marLeft w:val="0"/>
      <w:marRight w:val="0"/>
      <w:marTop w:val="0"/>
      <w:marBottom w:val="0"/>
      <w:divBdr>
        <w:top w:val="none" w:sz="0" w:space="0" w:color="auto"/>
        <w:left w:val="none" w:sz="0" w:space="0" w:color="auto"/>
        <w:bottom w:val="none" w:sz="0" w:space="0" w:color="auto"/>
        <w:right w:val="none" w:sz="0" w:space="0" w:color="auto"/>
      </w:divBdr>
    </w:div>
    <w:div w:id="931204028">
      <w:bodyDiv w:val="1"/>
      <w:marLeft w:val="0"/>
      <w:marRight w:val="0"/>
      <w:marTop w:val="0"/>
      <w:marBottom w:val="0"/>
      <w:divBdr>
        <w:top w:val="none" w:sz="0" w:space="0" w:color="auto"/>
        <w:left w:val="none" w:sz="0" w:space="0" w:color="auto"/>
        <w:bottom w:val="none" w:sz="0" w:space="0" w:color="auto"/>
        <w:right w:val="none" w:sz="0" w:space="0" w:color="auto"/>
      </w:divBdr>
    </w:div>
    <w:div w:id="931472872">
      <w:bodyDiv w:val="1"/>
      <w:marLeft w:val="0"/>
      <w:marRight w:val="0"/>
      <w:marTop w:val="0"/>
      <w:marBottom w:val="0"/>
      <w:divBdr>
        <w:top w:val="none" w:sz="0" w:space="0" w:color="auto"/>
        <w:left w:val="none" w:sz="0" w:space="0" w:color="auto"/>
        <w:bottom w:val="none" w:sz="0" w:space="0" w:color="auto"/>
        <w:right w:val="none" w:sz="0" w:space="0" w:color="auto"/>
      </w:divBdr>
    </w:div>
    <w:div w:id="945189984">
      <w:bodyDiv w:val="1"/>
      <w:marLeft w:val="0"/>
      <w:marRight w:val="0"/>
      <w:marTop w:val="0"/>
      <w:marBottom w:val="0"/>
      <w:divBdr>
        <w:top w:val="none" w:sz="0" w:space="0" w:color="auto"/>
        <w:left w:val="none" w:sz="0" w:space="0" w:color="auto"/>
        <w:bottom w:val="none" w:sz="0" w:space="0" w:color="auto"/>
        <w:right w:val="none" w:sz="0" w:space="0" w:color="auto"/>
      </w:divBdr>
    </w:div>
    <w:div w:id="967005419">
      <w:bodyDiv w:val="1"/>
      <w:marLeft w:val="0"/>
      <w:marRight w:val="0"/>
      <w:marTop w:val="0"/>
      <w:marBottom w:val="0"/>
      <w:divBdr>
        <w:top w:val="none" w:sz="0" w:space="0" w:color="auto"/>
        <w:left w:val="none" w:sz="0" w:space="0" w:color="auto"/>
        <w:bottom w:val="none" w:sz="0" w:space="0" w:color="auto"/>
        <w:right w:val="none" w:sz="0" w:space="0" w:color="auto"/>
      </w:divBdr>
    </w:div>
    <w:div w:id="974679903">
      <w:bodyDiv w:val="1"/>
      <w:marLeft w:val="0"/>
      <w:marRight w:val="0"/>
      <w:marTop w:val="0"/>
      <w:marBottom w:val="0"/>
      <w:divBdr>
        <w:top w:val="none" w:sz="0" w:space="0" w:color="auto"/>
        <w:left w:val="none" w:sz="0" w:space="0" w:color="auto"/>
        <w:bottom w:val="none" w:sz="0" w:space="0" w:color="auto"/>
        <w:right w:val="none" w:sz="0" w:space="0" w:color="auto"/>
      </w:divBdr>
    </w:div>
    <w:div w:id="974873062">
      <w:bodyDiv w:val="1"/>
      <w:marLeft w:val="0"/>
      <w:marRight w:val="0"/>
      <w:marTop w:val="0"/>
      <w:marBottom w:val="0"/>
      <w:divBdr>
        <w:top w:val="none" w:sz="0" w:space="0" w:color="auto"/>
        <w:left w:val="none" w:sz="0" w:space="0" w:color="auto"/>
        <w:bottom w:val="none" w:sz="0" w:space="0" w:color="auto"/>
        <w:right w:val="none" w:sz="0" w:space="0" w:color="auto"/>
      </w:divBdr>
    </w:div>
    <w:div w:id="999040849">
      <w:bodyDiv w:val="1"/>
      <w:marLeft w:val="0"/>
      <w:marRight w:val="0"/>
      <w:marTop w:val="0"/>
      <w:marBottom w:val="0"/>
      <w:divBdr>
        <w:top w:val="none" w:sz="0" w:space="0" w:color="auto"/>
        <w:left w:val="none" w:sz="0" w:space="0" w:color="auto"/>
        <w:bottom w:val="none" w:sz="0" w:space="0" w:color="auto"/>
        <w:right w:val="none" w:sz="0" w:space="0" w:color="auto"/>
      </w:divBdr>
    </w:div>
    <w:div w:id="1006322988">
      <w:bodyDiv w:val="1"/>
      <w:marLeft w:val="0"/>
      <w:marRight w:val="0"/>
      <w:marTop w:val="0"/>
      <w:marBottom w:val="0"/>
      <w:divBdr>
        <w:top w:val="none" w:sz="0" w:space="0" w:color="auto"/>
        <w:left w:val="none" w:sz="0" w:space="0" w:color="auto"/>
        <w:bottom w:val="none" w:sz="0" w:space="0" w:color="auto"/>
        <w:right w:val="none" w:sz="0" w:space="0" w:color="auto"/>
      </w:divBdr>
    </w:div>
    <w:div w:id="1022050275">
      <w:bodyDiv w:val="1"/>
      <w:marLeft w:val="0"/>
      <w:marRight w:val="0"/>
      <w:marTop w:val="0"/>
      <w:marBottom w:val="0"/>
      <w:divBdr>
        <w:top w:val="none" w:sz="0" w:space="0" w:color="auto"/>
        <w:left w:val="none" w:sz="0" w:space="0" w:color="auto"/>
        <w:bottom w:val="none" w:sz="0" w:space="0" w:color="auto"/>
        <w:right w:val="none" w:sz="0" w:space="0" w:color="auto"/>
      </w:divBdr>
    </w:div>
    <w:div w:id="1023045977">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87531637">
      <w:bodyDiv w:val="1"/>
      <w:marLeft w:val="0"/>
      <w:marRight w:val="0"/>
      <w:marTop w:val="0"/>
      <w:marBottom w:val="0"/>
      <w:divBdr>
        <w:top w:val="none" w:sz="0" w:space="0" w:color="auto"/>
        <w:left w:val="none" w:sz="0" w:space="0" w:color="auto"/>
        <w:bottom w:val="none" w:sz="0" w:space="0" w:color="auto"/>
        <w:right w:val="none" w:sz="0" w:space="0" w:color="auto"/>
      </w:divBdr>
      <w:divsChild>
        <w:div w:id="327443962">
          <w:marLeft w:val="0"/>
          <w:marRight w:val="0"/>
          <w:marTop w:val="0"/>
          <w:marBottom w:val="0"/>
          <w:divBdr>
            <w:top w:val="none" w:sz="0" w:space="0" w:color="auto"/>
            <w:left w:val="none" w:sz="0" w:space="0" w:color="auto"/>
            <w:bottom w:val="none" w:sz="0" w:space="0" w:color="auto"/>
            <w:right w:val="none" w:sz="0" w:space="0" w:color="auto"/>
          </w:divBdr>
          <w:divsChild>
            <w:div w:id="895622393">
              <w:marLeft w:val="0"/>
              <w:marRight w:val="0"/>
              <w:marTop w:val="0"/>
              <w:marBottom w:val="0"/>
              <w:divBdr>
                <w:top w:val="none" w:sz="0" w:space="0" w:color="auto"/>
                <w:left w:val="none" w:sz="0" w:space="0" w:color="auto"/>
                <w:bottom w:val="none" w:sz="0" w:space="0" w:color="auto"/>
                <w:right w:val="none" w:sz="0" w:space="0" w:color="auto"/>
              </w:divBdr>
              <w:divsChild>
                <w:div w:id="158953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14298">
      <w:bodyDiv w:val="1"/>
      <w:marLeft w:val="0"/>
      <w:marRight w:val="0"/>
      <w:marTop w:val="0"/>
      <w:marBottom w:val="0"/>
      <w:divBdr>
        <w:top w:val="none" w:sz="0" w:space="0" w:color="auto"/>
        <w:left w:val="none" w:sz="0" w:space="0" w:color="auto"/>
        <w:bottom w:val="none" w:sz="0" w:space="0" w:color="auto"/>
        <w:right w:val="none" w:sz="0" w:space="0" w:color="auto"/>
      </w:divBdr>
    </w:div>
    <w:div w:id="1102385457">
      <w:bodyDiv w:val="1"/>
      <w:marLeft w:val="0"/>
      <w:marRight w:val="0"/>
      <w:marTop w:val="0"/>
      <w:marBottom w:val="0"/>
      <w:divBdr>
        <w:top w:val="none" w:sz="0" w:space="0" w:color="auto"/>
        <w:left w:val="none" w:sz="0" w:space="0" w:color="auto"/>
        <w:bottom w:val="none" w:sz="0" w:space="0" w:color="auto"/>
        <w:right w:val="none" w:sz="0" w:space="0" w:color="auto"/>
      </w:divBdr>
    </w:div>
    <w:div w:id="1120033697">
      <w:bodyDiv w:val="1"/>
      <w:marLeft w:val="0"/>
      <w:marRight w:val="0"/>
      <w:marTop w:val="0"/>
      <w:marBottom w:val="0"/>
      <w:divBdr>
        <w:top w:val="none" w:sz="0" w:space="0" w:color="auto"/>
        <w:left w:val="none" w:sz="0" w:space="0" w:color="auto"/>
        <w:bottom w:val="none" w:sz="0" w:space="0" w:color="auto"/>
        <w:right w:val="none" w:sz="0" w:space="0" w:color="auto"/>
      </w:divBdr>
    </w:div>
    <w:div w:id="1140265059">
      <w:bodyDiv w:val="1"/>
      <w:marLeft w:val="0"/>
      <w:marRight w:val="0"/>
      <w:marTop w:val="0"/>
      <w:marBottom w:val="0"/>
      <w:divBdr>
        <w:top w:val="none" w:sz="0" w:space="0" w:color="auto"/>
        <w:left w:val="none" w:sz="0" w:space="0" w:color="auto"/>
        <w:bottom w:val="none" w:sz="0" w:space="0" w:color="auto"/>
        <w:right w:val="none" w:sz="0" w:space="0" w:color="auto"/>
      </w:divBdr>
    </w:div>
    <w:div w:id="1155492471">
      <w:bodyDiv w:val="1"/>
      <w:marLeft w:val="0"/>
      <w:marRight w:val="0"/>
      <w:marTop w:val="0"/>
      <w:marBottom w:val="0"/>
      <w:divBdr>
        <w:top w:val="none" w:sz="0" w:space="0" w:color="auto"/>
        <w:left w:val="none" w:sz="0" w:space="0" w:color="auto"/>
        <w:bottom w:val="none" w:sz="0" w:space="0" w:color="auto"/>
        <w:right w:val="none" w:sz="0" w:space="0" w:color="auto"/>
      </w:divBdr>
      <w:divsChild>
        <w:div w:id="468714988">
          <w:marLeft w:val="0"/>
          <w:marRight w:val="0"/>
          <w:marTop w:val="0"/>
          <w:marBottom w:val="0"/>
          <w:divBdr>
            <w:top w:val="none" w:sz="0" w:space="0" w:color="auto"/>
            <w:left w:val="none" w:sz="0" w:space="0" w:color="auto"/>
            <w:bottom w:val="none" w:sz="0" w:space="0" w:color="auto"/>
            <w:right w:val="none" w:sz="0" w:space="0" w:color="auto"/>
          </w:divBdr>
          <w:divsChild>
            <w:div w:id="1898279708">
              <w:marLeft w:val="0"/>
              <w:marRight w:val="0"/>
              <w:marTop w:val="0"/>
              <w:marBottom w:val="0"/>
              <w:divBdr>
                <w:top w:val="none" w:sz="0" w:space="0" w:color="auto"/>
                <w:left w:val="none" w:sz="0" w:space="0" w:color="auto"/>
                <w:bottom w:val="none" w:sz="0" w:space="0" w:color="auto"/>
                <w:right w:val="none" w:sz="0" w:space="0" w:color="auto"/>
              </w:divBdr>
              <w:divsChild>
                <w:div w:id="11572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74603">
      <w:bodyDiv w:val="1"/>
      <w:marLeft w:val="0"/>
      <w:marRight w:val="0"/>
      <w:marTop w:val="0"/>
      <w:marBottom w:val="0"/>
      <w:divBdr>
        <w:top w:val="none" w:sz="0" w:space="0" w:color="auto"/>
        <w:left w:val="none" w:sz="0" w:space="0" w:color="auto"/>
        <w:bottom w:val="none" w:sz="0" w:space="0" w:color="auto"/>
        <w:right w:val="none" w:sz="0" w:space="0" w:color="auto"/>
      </w:divBdr>
    </w:div>
    <w:div w:id="1189680732">
      <w:bodyDiv w:val="1"/>
      <w:marLeft w:val="0"/>
      <w:marRight w:val="0"/>
      <w:marTop w:val="0"/>
      <w:marBottom w:val="0"/>
      <w:divBdr>
        <w:top w:val="none" w:sz="0" w:space="0" w:color="auto"/>
        <w:left w:val="none" w:sz="0" w:space="0" w:color="auto"/>
        <w:bottom w:val="none" w:sz="0" w:space="0" w:color="auto"/>
        <w:right w:val="none" w:sz="0" w:space="0" w:color="auto"/>
      </w:divBdr>
    </w:div>
    <w:div w:id="1200358021">
      <w:bodyDiv w:val="1"/>
      <w:marLeft w:val="0"/>
      <w:marRight w:val="0"/>
      <w:marTop w:val="0"/>
      <w:marBottom w:val="0"/>
      <w:divBdr>
        <w:top w:val="none" w:sz="0" w:space="0" w:color="auto"/>
        <w:left w:val="none" w:sz="0" w:space="0" w:color="auto"/>
        <w:bottom w:val="none" w:sz="0" w:space="0" w:color="auto"/>
        <w:right w:val="none" w:sz="0" w:space="0" w:color="auto"/>
      </w:divBdr>
    </w:div>
    <w:div w:id="1225482078">
      <w:bodyDiv w:val="1"/>
      <w:marLeft w:val="0"/>
      <w:marRight w:val="0"/>
      <w:marTop w:val="0"/>
      <w:marBottom w:val="0"/>
      <w:divBdr>
        <w:top w:val="none" w:sz="0" w:space="0" w:color="auto"/>
        <w:left w:val="none" w:sz="0" w:space="0" w:color="auto"/>
        <w:bottom w:val="none" w:sz="0" w:space="0" w:color="auto"/>
        <w:right w:val="none" w:sz="0" w:space="0" w:color="auto"/>
      </w:divBdr>
    </w:div>
    <w:div w:id="1299723574">
      <w:bodyDiv w:val="1"/>
      <w:marLeft w:val="0"/>
      <w:marRight w:val="0"/>
      <w:marTop w:val="0"/>
      <w:marBottom w:val="0"/>
      <w:divBdr>
        <w:top w:val="none" w:sz="0" w:space="0" w:color="auto"/>
        <w:left w:val="none" w:sz="0" w:space="0" w:color="auto"/>
        <w:bottom w:val="none" w:sz="0" w:space="0" w:color="auto"/>
        <w:right w:val="none" w:sz="0" w:space="0" w:color="auto"/>
      </w:divBdr>
    </w:div>
    <w:div w:id="1315525962">
      <w:bodyDiv w:val="1"/>
      <w:marLeft w:val="0"/>
      <w:marRight w:val="0"/>
      <w:marTop w:val="0"/>
      <w:marBottom w:val="0"/>
      <w:divBdr>
        <w:top w:val="none" w:sz="0" w:space="0" w:color="auto"/>
        <w:left w:val="none" w:sz="0" w:space="0" w:color="auto"/>
        <w:bottom w:val="none" w:sz="0" w:space="0" w:color="auto"/>
        <w:right w:val="none" w:sz="0" w:space="0" w:color="auto"/>
      </w:divBdr>
    </w:div>
    <w:div w:id="1338195098">
      <w:bodyDiv w:val="1"/>
      <w:marLeft w:val="0"/>
      <w:marRight w:val="0"/>
      <w:marTop w:val="0"/>
      <w:marBottom w:val="0"/>
      <w:divBdr>
        <w:top w:val="none" w:sz="0" w:space="0" w:color="auto"/>
        <w:left w:val="none" w:sz="0" w:space="0" w:color="auto"/>
        <w:bottom w:val="none" w:sz="0" w:space="0" w:color="auto"/>
        <w:right w:val="none" w:sz="0" w:space="0" w:color="auto"/>
      </w:divBdr>
    </w:div>
    <w:div w:id="1360274287">
      <w:bodyDiv w:val="1"/>
      <w:marLeft w:val="0"/>
      <w:marRight w:val="0"/>
      <w:marTop w:val="0"/>
      <w:marBottom w:val="0"/>
      <w:divBdr>
        <w:top w:val="none" w:sz="0" w:space="0" w:color="auto"/>
        <w:left w:val="none" w:sz="0" w:space="0" w:color="auto"/>
        <w:bottom w:val="none" w:sz="0" w:space="0" w:color="auto"/>
        <w:right w:val="none" w:sz="0" w:space="0" w:color="auto"/>
      </w:divBdr>
    </w:div>
    <w:div w:id="1385328747">
      <w:bodyDiv w:val="1"/>
      <w:marLeft w:val="0"/>
      <w:marRight w:val="0"/>
      <w:marTop w:val="0"/>
      <w:marBottom w:val="0"/>
      <w:divBdr>
        <w:top w:val="none" w:sz="0" w:space="0" w:color="auto"/>
        <w:left w:val="none" w:sz="0" w:space="0" w:color="auto"/>
        <w:bottom w:val="none" w:sz="0" w:space="0" w:color="auto"/>
        <w:right w:val="none" w:sz="0" w:space="0" w:color="auto"/>
      </w:divBdr>
    </w:div>
    <w:div w:id="1404568683">
      <w:bodyDiv w:val="1"/>
      <w:marLeft w:val="0"/>
      <w:marRight w:val="0"/>
      <w:marTop w:val="0"/>
      <w:marBottom w:val="0"/>
      <w:divBdr>
        <w:top w:val="none" w:sz="0" w:space="0" w:color="auto"/>
        <w:left w:val="none" w:sz="0" w:space="0" w:color="auto"/>
        <w:bottom w:val="none" w:sz="0" w:space="0" w:color="auto"/>
        <w:right w:val="none" w:sz="0" w:space="0" w:color="auto"/>
      </w:divBdr>
      <w:divsChild>
        <w:div w:id="1843741346">
          <w:marLeft w:val="0"/>
          <w:marRight w:val="0"/>
          <w:marTop w:val="0"/>
          <w:marBottom w:val="0"/>
          <w:divBdr>
            <w:top w:val="none" w:sz="0" w:space="0" w:color="auto"/>
            <w:left w:val="none" w:sz="0" w:space="0" w:color="auto"/>
            <w:bottom w:val="none" w:sz="0" w:space="0" w:color="auto"/>
            <w:right w:val="none" w:sz="0" w:space="0" w:color="auto"/>
          </w:divBdr>
          <w:divsChild>
            <w:div w:id="1626503162">
              <w:marLeft w:val="0"/>
              <w:marRight w:val="0"/>
              <w:marTop w:val="0"/>
              <w:marBottom w:val="0"/>
              <w:divBdr>
                <w:top w:val="none" w:sz="0" w:space="0" w:color="auto"/>
                <w:left w:val="none" w:sz="0" w:space="0" w:color="auto"/>
                <w:bottom w:val="none" w:sz="0" w:space="0" w:color="auto"/>
                <w:right w:val="none" w:sz="0" w:space="0" w:color="auto"/>
              </w:divBdr>
              <w:divsChild>
                <w:div w:id="6401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94895">
      <w:bodyDiv w:val="1"/>
      <w:marLeft w:val="0"/>
      <w:marRight w:val="0"/>
      <w:marTop w:val="0"/>
      <w:marBottom w:val="0"/>
      <w:divBdr>
        <w:top w:val="none" w:sz="0" w:space="0" w:color="auto"/>
        <w:left w:val="none" w:sz="0" w:space="0" w:color="auto"/>
        <w:bottom w:val="none" w:sz="0" w:space="0" w:color="auto"/>
        <w:right w:val="none" w:sz="0" w:space="0" w:color="auto"/>
      </w:divBdr>
    </w:div>
    <w:div w:id="1421759269">
      <w:bodyDiv w:val="1"/>
      <w:marLeft w:val="0"/>
      <w:marRight w:val="0"/>
      <w:marTop w:val="0"/>
      <w:marBottom w:val="0"/>
      <w:divBdr>
        <w:top w:val="none" w:sz="0" w:space="0" w:color="auto"/>
        <w:left w:val="none" w:sz="0" w:space="0" w:color="auto"/>
        <w:bottom w:val="none" w:sz="0" w:space="0" w:color="auto"/>
        <w:right w:val="none" w:sz="0" w:space="0" w:color="auto"/>
      </w:divBdr>
    </w:div>
    <w:div w:id="1433748073">
      <w:bodyDiv w:val="1"/>
      <w:marLeft w:val="0"/>
      <w:marRight w:val="0"/>
      <w:marTop w:val="0"/>
      <w:marBottom w:val="0"/>
      <w:divBdr>
        <w:top w:val="none" w:sz="0" w:space="0" w:color="auto"/>
        <w:left w:val="none" w:sz="0" w:space="0" w:color="auto"/>
        <w:bottom w:val="none" w:sz="0" w:space="0" w:color="auto"/>
        <w:right w:val="none" w:sz="0" w:space="0" w:color="auto"/>
      </w:divBdr>
    </w:div>
    <w:div w:id="1439250431">
      <w:bodyDiv w:val="1"/>
      <w:marLeft w:val="0"/>
      <w:marRight w:val="0"/>
      <w:marTop w:val="0"/>
      <w:marBottom w:val="0"/>
      <w:divBdr>
        <w:top w:val="none" w:sz="0" w:space="0" w:color="auto"/>
        <w:left w:val="none" w:sz="0" w:space="0" w:color="auto"/>
        <w:bottom w:val="none" w:sz="0" w:space="0" w:color="auto"/>
        <w:right w:val="none" w:sz="0" w:space="0" w:color="auto"/>
      </w:divBdr>
    </w:div>
    <w:div w:id="1465612867">
      <w:bodyDiv w:val="1"/>
      <w:marLeft w:val="0"/>
      <w:marRight w:val="0"/>
      <w:marTop w:val="0"/>
      <w:marBottom w:val="0"/>
      <w:divBdr>
        <w:top w:val="none" w:sz="0" w:space="0" w:color="auto"/>
        <w:left w:val="none" w:sz="0" w:space="0" w:color="auto"/>
        <w:bottom w:val="none" w:sz="0" w:space="0" w:color="auto"/>
        <w:right w:val="none" w:sz="0" w:space="0" w:color="auto"/>
      </w:divBdr>
    </w:div>
    <w:div w:id="1469862919">
      <w:bodyDiv w:val="1"/>
      <w:marLeft w:val="0"/>
      <w:marRight w:val="0"/>
      <w:marTop w:val="0"/>
      <w:marBottom w:val="0"/>
      <w:divBdr>
        <w:top w:val="none" w:sz="0" w:space="0" w:color="auto"/>
        <w:left w:val="none" w:sz="0" w:space="0" w:color="auto"/>
        <w:bottom w:val="none" w:sz="0" w:space="0" w:color="auto"/>
        <w:right w:val="none" w:sz="0" w:space="0" w:color="auto"/>
      </w:divBdr>
    </w:div>
    <w:div w:id="1495415183">
      <w:bodyDiv w:val="1"/>
      <w:marLeft w:val="0"/>
      <w:marRight w:val="0"/>
      <w:marTop w:val="0"/>
      <w:marBottom w:val="0"/>
      <w:divBdr>
        <w:top w:val="none" w:sz="0" w:space="0" w:color="auto"/>
        <w:left w:val="none" w:sz="0" w:space="0" w:color="auto"/>
        <w:bottom w:val="none" w:sz="0" w:space="0" w:color="auto"/>
        <w:right w:val="none" w:sz="0" w:space="0" w:color="auto"/>
      </w:divBdr>
    </w:div>
    <w:div w:id="1502424178">
      <w:bodyDiv w:val="1"/>
      <w:marLeft w:val="0"/>
      <w:marRight w:val="0"/>
      <w:marTop w:val="0"/>
      <w:marBottom w:val="0"/>
      <w:divBdr>
        <w:top w:val="none" w:sz="0" w:space="0" w:color="auto"/>
        <w:left w:val="none" w:sz="0" w:space="0" w:color="auto"/>
        <w:bottom w:val="none" w:sz="0" w:space="0" w:color="auto"/>
        <w:right w:val="none" w:sz="0" w:space="0" w:color="auto"/>
      </w:divBdr>
    </w:div>
    <w:div w:id="1555971498">
      <w:bodyDiv w:val="1"/>
      <w:marLeft w:val="0"/>
      <w:marRight w:val="0"/>
      <w:marTop w:val="0"/>
      <w:marBottom w:val="0"/>
      <w:divBdr>
        <w:top w:val="none" w:sz="0" w:space="0" w:color="auto"/>
        <w:left w:val="none" w:sz="0" w:space="0" w:color="auto"/>
        <w:bottom w:val="none" w:sz="0" w:space="0" w:color="auto"/>
        <w:right w:val="none" w:sz="0" w:space="0" w:color="auto"/>
      </w:divBdr>
    </w:div>
    <w:div w:id="1557349076">
      <w:bodyDiv w:val="1"/>
      <w:marLeft w:val="0"/>
      <w:marRight w:val="0"/>
      <w:marTop w:val="0"/>
      <w:marBottom w:val="0"/>
      <w:divBdr>
        <w:top w:val="none" w:sz="0" w:space="0" w:color="auto"/>
        <w:left w:val="none" w:sz="0" w:space="0" w:color="auto"/>
        <w:bottom w:val="none" w:sz="0" w:space="0" w:color="auto"/>
        <w:right w:val="none" w:sz="0" w:space="0" w:color="auto"/>
      </w:divBdr>
    </w:div>
    <w:div w:id="1569337048">
      <w:bodyDiv w:val="1"/>
      <w:marLeft w:val="0"/>
      <w:marRight w:val="0"/>
      <w:marTop w:val="0"/>
      <w:marBottom w:val="0"/>
      <w:divBdr>
        <w:top w:val="none" w:sz="0" w:space="0" w:color="auto"/>
        <w:left w:val="none" w:sz="0" w:space="0" w:color="auto"/>
        <w:bottom w:val="none" w:sz="0" w:space="0" w:color="auto"/>
        <w:right w:val="none" w:sz="0" w:space="0" w:color="auto"/>
      </w:divBdr>
    </w:div>
    <w:div w:id="1577085133">
      <w:bodyDiv w:val="1"/>
      <w:marLeft w:val="0"/>
      <w:marRight w:val="0"/>
      <w:marTop w:val="0"/>
      <w:marBottom w:val="0"/>
      <w:divBdr>
        <w:top w:val="none" w:sz="0" w:space="0" w:color="auto"/>
        <w:left w:val="none" w:sz="0" w:space="0" w:color="auto"/>
        <w:bottom w:val="none" w:sz="0" w:space="0" w:color="auto"/>
        <w:right w:val="none" w:sz="0" w:space="0" w:color="auto"/>
      </w:divBdr>
    </w:div>
    <w:div w:id="1591349801">
      <w:bodyDiv w:val="1"/>
      <w:marLeft w:val="0"/>
      <w:marRight w:val="0"/>
      <w:marTop w:val="0"/>
      <w:marBottom w:val="0"/>
      <w:divBdr>
        <w:top w:val="none" w:sz="0" w:space="0" w:color="auto"/>
        <w:left w:val="none" w:sz="0" w:space="0" w:color="auto"/>
        <w:bottom w:val="none" w:sz="0" w:space="0" w:color="auto"/>
        <w:right w:val="none" w:sz="0" w:space="0" w:color="auto"/>
      </w:divBdr>
    </w:div>
    <w:div w:id="1591935008">
      <w:bodyDiv w:val="1"/>
      <w:marLeft w:val="0"/>
      <w:marRight w:val="0"/>
      <w:marTop w:val="0"/>
      <w:marBottom w:val="0"/>
      <w:divBdr>
        <w:top w:val="none" w:sz="0" w:space="0" w:color="auto"/>
        <w:left w:val="none" w:sz="0" w:space="0" w:color="auto"/>
        <w:bottom w:val="none" w:sz="0" w:space="0" w:color="auto"/>
        <w:right w:val="none" w:sz="0" w:space="0" w:color="auto"/>
      </w:divBdr>
    </w:div>
    <w:div w:id="1602755896">
      <w:bodyDiv w:val="1"/>
      <w:marLeft w:val="0"/>
      <w:marRight w:val="0"/>
      <w:marTop w:val="0"/>
      <w:marBottom w:val="0"/>
      <w:divBdr>
        <w:top w:val="none" w:sz="0" w:space="0" w:color="auto"/>
        <w:left w:val="none" w:sz="0" w:space="0" w:color="auto"/>
        <w:bottom w:val="none" w:sz="0" w:space="0" w:color="auto"/>
        <w:right w:val="none" w:sz="0" w:space="0" w:color="auto"/>
      </w:divBdr>
    </w:div>
    <w:div w:id="1605963839">
      <w:bodyDiv w:val="1"/>
      <w:marLeft w:val="0"/>
      <w:marRight w:val="0"/>
      <w:marTop w:val="0"/>
      <w:marBottom w:val="0"/>
      <w:divBdr>
        <w:top w:val="none" w:sz="0" w:space="0" w:color="auto"/>
        <w:left w:val="none" w:sz="0" w:space="0" w:color="auto"/>
        <w:bottom w:val="none" w:sz="0" w:space="0" w:color="auto"/>
        <w:right w:val="none" w:sz="0" w:space="0" w:color="auto"/>
      </w:divBdr>
    </w:div>
    <w:div w:id="1623030855">
      <w:bodyDiv w:val="1"/>
      <w:marLeft w:val="0"/>
      <w:marRight w:val="0"/>
      <w:marTop w:val="0"/>
      <w:marBottom w:val="0"/>
      <w:divBdr>
        <w:top w:val="none" w:sz="0" w:space="0" w:color="auto"/>
        <w:left w:val="none" w:sz="0" w:space="0" w:color="auto"/>
        <w:bottom w:val="none" w:sz="0" w:space="0" w:color="auto"/>
        <w:right w:val="none" w:sz="0" w:space="0" w:color="auto"/>
      </w:divBdr>
    </w:div>
    <w:div w:id="1646202191">
      <w:bodyDiv w:val="1"/>
      <w:marLeft w:val="0"/>
      <w:marRight w:val="0"/>
      <w:marTop w:val="0"/>
      <w:marBottom w:val="0"/>
      <w:divBdr>
        <w:top w:val="none" w:sz="0" w:space="0" w:color="auto"/>
        <w:left w:val="none" w:sz="0" w:space="0" w:color="auto"/>
        <w:bottom w:val="none" w:sz="0" w:space="0" w:color="auto"/>
        <w:right w:val="none" w:sz="0" w:space="0" w:color="auto"/>
      </w:divBdr>
    </w:div>
    <w:div w:id="1647737554">
      <w:bodyDiv w:val="1"/>
      <w:marLeft w:val="0"/>
      <w:marRight w:val="0"/>
      <w:marTop w:val="0"/>
      <w:marBottom w:val="0"/>
      <w:divBdr>
        <w:top w:val="none" w:sz="0" w:space="0" w:color="auto"/>
        <w:left w:val="none" w:sz="0" w:space="0" w:color="auto"/>
        <w:bottom w:val="none" w:sz="0" w:space="0" w:color="auto"/>
        <w:right w:val="none" w:sz="0" w:space="0" w:color="auto"/>
      </w:divBdr>
    </w:div>
    <w:div w:id="1649820005">
      <w:bodyDiv w:val="1"/>
      <w:marLeft w:val="0"/>
      <w:marRight w:val="0"/>
      <w:marTop w:val="0"/>
      <w:marBottom w:val="0"/>
      <w:divBdr>
        <w:top w:val="none" w:sz="0" w:space="0" w:color="auto"/>
        <w:left w:val="none" w:sz="0" w:space="0" w:color="auto"/>
        <w:bottom w:val="none" w:sz="0" w:space="0" w:color="auto"/>
        <w:right w:val="none" w:sz="0" w:space="0" w:color="auto"/>
      </w:divBdr>
    </w:div>
    <w:div w:id="1652901106">
      <w:bodyDiv w:val="1"/>
      <w:marLeft w:val="0"/>
      <w:marRight w:val="0"/>
      <w:marTop w:val="0"/>
      <w:marBottom w:val="0"/>
      <w:divBdr>
        <w:top w:val="none" w:sz="0" w:space="0" w:color="auto"/>
        <w:left w:val="none" w:sz="0" w:space="0" w:color="auto"/>
        <w:bottom w:val="none" w:sz="0" w:space="0" w:color="auto"/>
        <w:right w:val="none" w:sz="0" w:space="0" w:color="auto"/>
      </w:divBdr>
    </w:div>
    <w:div w:id="1673142513">
      <w:bodyDiv w:val="1"/>
      <w:marLeft w:val="0"/>
      <w:marRight w:val="0"/>
      <w:marTop w:val="0"/>
      <w:marBottom w:val="0"/>
      <w:divBdr>
        <w:top w:val="none" w:sz="0" w:space="0" w:color="auto"/>
        <w:left w:val="none" w:sz="0" w:space="0" w:color="auto"/>
        <w:bottom w:val="none" w:sz="0" w:space="0" w:color="auto"/>
        <w:right w:val="none" w:sz="0" w:space="0" w:color="auto"/>
      </w:divBdr>
    </w:div>
    <w:div w:id="1682971805">
      <w:bodyDiv w:val="1"/>
      <w:marLeft w:val="0"/>
      <w:marRight w:val="0"/>
      <w:marTop w:val="0"/>
      <w:marBottom w:val="0"/>
      <w:divBdr>
        <w:top w:val="none" w:sz="0" w:space="0" w:color="auto"/>
        <w:left w:val="none" w:sz="0" w:space="0" w:color="auto"/>
        <w:bottom w:val="none" w:sz="0" w:space="0" w:color="auto"/>
        <w:right w:val="none" w:sz="0" w:space="0" w:color="auto"/>
      </w:divBdr>
      <w:divsChild>
        <w:div w:id="2096432771">
          <w:marLeft w:val="0"/>
          <w:marRight w:val="0"/>
          <w:marTop w:val="0"/>
          <w:marBottom w:val="0"/>
          <w:divBdr>
            <w:top w:val="none" w:sz="0" w:space="0" w:color="auto"/>
            <w:left w:val="none" w:sz="0" w:space="0" w:color="auto"/>
            <w:bottom w:val="none" w:sz="0" w:space="0" w:color="auto"/>
            <w:right w:val="none" w:sz="0" w:space="0" w:color="auto"/>
          </w:divBdr>
          <w:divsChild>
            <w:div w:id="1933933126">
              <w:marLeft w:val="0"/>
              <w:marRight w:val="0"/>
              <w:marTop w:val="0"/>
              <w:marBottom w:val="0"/>
              <w:divBdr>
                <w:top w:val="none" w:sz="0" w:space="0" w:color="auto"/>
                <w:left w:val="none" w:sz="0" w:space="0" w:color="auto"/>
                <w:bottom w:val="none" w:sz="0" w:space="0" w:color="auto"/>
                <w:right w:val="none" w:sz="0" w:space="0" w:color="auto"/>
              </w:divBdr>
              <w:divsChild>
                <w:div w:id="5084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83378">
      <w:bodyDiv w:val="1"/>
      <w:marLeft w:val="0"/>
      <w:marRight w:val="0"/>
      <w:marTop w:val="0"/>
      <w:marBottom w:val="0"/>
      <w:divBdr>
        <w:top w:val="none" w:sz="0" w:space="0" w:color="auto"/>
        <w:left w:val="none" w:sz="0" w:space="0" w:color="auto"/>
        <w:bottom w:val="none" w:sz="0" w:space="0" w:color="auto"/>
        <w:right w:val="none" w:sz="0" w:space="0" w:color="auto"/>
      </w:divBdr>
    </w:div>
    <w:div w:id="1732465098">
      <w:bodyDiv w:val="1"/>
      <w:marLeft w:val="0"/>
      <w:marRight w:val="0"/>
      <w:marTop w:val="0"/>
      <w:marBottom w:val="0"/>
      <w:divBdr>
        <w:top w:val="none" w:sz="0" w:space="0" w:color="auto"/>
        <w:left w:val="none" w:sz="0" w:space="0" w:color="auto"/>
        <w:bottom w:val="none" w:sz="0" w:space="0" w:color="auto"/>
        <w:right w:val="none" w:sz="0" w:space="0" w:color="auto"/>
      </w:divBdr>
    </w:div>
    <w:div w:id="1747023794">
      <w:bodyDiv w:val="1"/>
      <w:marLeft w:val="0"/>
      <w:marRight w:val="0"/>
      <w:marTop w:val="0"/>
      <w:marBottom w:val="0"/>
      <w:divBdr>
        <w:top w:val="none" w:sz="0" w:space="0" w:color="auto"/>
        <w:left w:val="none" w:sz="0" w:space="0" w:color="auto"/>
        <w:bottom w:val="none" w:sz="0" w:space="0" w:color="auto"/>
        <w:right w:val="none" w:sz="0" w:space="0" w:color="auto"/>
      </w:divBdr>
    </w:div>
    <w:div w:id="1760634353">
      <w:bodyDiv w:val="1"/>
      <w:marLeft w:val="0"/>
      <w:marRight w:val="0"/>
      <w:marTop w:val="0"/>
      <w:marBottom w:val="0"/>
      <w:divBdr>
        <w:top w:val="none" w:sz="0" w:space="0" w:color="auto"/>
        <w:left w:val="none" w:sz="0" w:space="0" w:color="auto"/>
        <w:bottom w:val="none" w:sz="0" w:space="0" w:color="auto"/>
        <w:right w:val="none" w:sz="0" w:space="0" w:color="auto"/>
      </w:divBdr>
    </w:div>
    <w:div w:id="1770003898">
      <w:bodyDiv w:val="1"/>
      <w:marLeft w:val="0"/>
      <w:marRight w:val="0"/>
      <w:marTop w:val="0"/>
      <w:marBottom w:val="0"/>
      <w:divBdr>
        <w:top w:val="none" w:sz="0" w:space="0" w:color="auto"/>
        <w:left w:val="none" w:sz="0" w:space="0" w:color="auto"/>
        <w:bottom w:val="none" w:sz="0" w:space="0" w:color="auto"/>
        <w:right w:val="none" w:sz="0" w:space="0" w:color="auto"/>
      </w:divBdr>
    </w:div>
    <w:div w:id="1774089385">
      <w:bodyDiv w:val="1"/>
      <w:marLeft w:val="0"/>
      <w:marRight w:val="0"/>
      <w:marTop w:val="0"/>
      <w:marBottom w:val="0"/>
      <w:divBdr>
        <w:top w:val="none" w:sz="0" w:space="0" w:color="auto"/>
        <w:left w:val="none" w:sz="0" w:space="0" w:color="auto"/>
        <w:bottom w:val="none" w:sz="0" w:space="0" w:color="auto"/>
        <w:right w:val="none" w:sz="0" w:space="0" w:color="auto"/>
      </w:divBdr>
    </w:div>
    <w:div w:id="1778017154">
      <w:bodyDiv w:val="1"/>
      <w:marLeft w:val="0"/>
      <w:marRight w:val="0"/>
      <w:marTop w:val="0"/>
      <w:marBottom w:val="0"/>
      <w:divBdr>
        <w:top w:val="none" w:sz="0" w:space="0" w:color="auto"/>
        <w:left w:val="none" w:sz="0" w:space="0" w:color="auto"/>
        <w:bottom w:val="none" w:sz="0" w:space="0" w:color="auto"/>
        <w:right w:val="none" w:sz="0" w:space="0" w:color="auto"/>
      </w:divBdr>
    </w:div>
    <w:div w:id="1783914985">
      <w:bodyDiv w:val="1"/>
      <w:marLeft w:val="0"/>
      <w:marRight w:val="0"/>
      <w:marTop w:val="0"/>
      <w:marBottom w:val="0"/>
      <w:divBdr>
        <w:top w:val="none" w:sz="0" w:space="0" w:color="auto"/>
        <w:left w:val="none" w:sz="0" w:space="0" w:color="auto"/>
        <w:bottom w:val="none" w:sz="0" w:space="0" w:color="auto"/>
        <w:right w:val="none" w:sz="0" w:space="0" w:color="auto"/>
      </w:divBdr>
    </w:div>
    <w:div w:id="1827819890">
      <w:bodyDiv w:val="1"/>
      <w:marLeft w:val="0"/>
      <w:marRight w:val="0"/>
      <w:marTop w:val="0"/>
      <w:marBottom w:val="0"/>
      <w:divBdr>
        <w:top w:val="none" w:sz="0" w:space="0" w:color="auto"/>
        <w:left w:val="none" w:sz="0" w:space="0" w:color="auto"/>
        <w:bottom w:val="none" w:sz="0" w:space="0" w:color="auto"/>
        <w:right w:val="none" w:sz="0" w:space="0" w:color="auto"/>
      </w:divBdr>
    </w:div>
    <w:div w:id="1850362643">
      <w:bodyDiv w:val="1"/>
      <w:marLeft w:val="0"/>
      <w:marRight w:val="0"/>
      <w:marTop w:val="0"/>
      <w:marBottom w:val="0"/>
      <w:divBdr>
        <w:top w:val="none" w:sz="0" w:space="0" w:color="auto"/>
        <w:left w:val="none" w:sz="0" w:space="0" w:color="auto"/>
        <w:bottom w:val="none" w:sz="0" w:space="0" w:color="auto"/>
        <w:right w:val="none" w:sz="0" w:space="0" w:color="auto"/>
      </w:divBdr>
    </w:div>
    <w:div w:id="1857769035">
      <w:bodyDiv w:val="1"/>
      <w:marLeft w:val="0"/>
      <w:marRight w:val="0"/>
      <w:marTop w:val="0"/>
      <w:marBottom w:val="0"/>
      <w:divBdr>
        <w:top w:val="none" w:sz="0" w:space="0" w:color="auto"/>
        <w:left w:val="none" w:sz="0" w:space="0" w:color="auto"/>
        <w:bottom w:val="none" w:sz="0" w:space="0" w:color="auto"/>
        <w:right w:val="none" w:sz="0" w:space="0" w:color="auto"/>
      </w:divBdr>
    </w:div>
    <w:div w:id="1873763949">
      <w:bodyDiv w:val="1"/>
      <w:marLeft w:val="0"/>
      <w:marRight w:val="0"/>
      <w:marTop w:val="0"/>
      <w:marBottom w:val="0"/>
      <w:divBdr>
        <w:top w:val="none" w:sz="0" w:space="0" w:color="auto"/>
        <w:left w:val="none" w:sz="0" w:space="0" w:color="auto"/>
        <w:bottom w:val="none" w:sz="0" w:space="0" w:color="auto"/>
        <w:right w:val="none" w:sz="0" w:space="0" w:color="auto"/>
      </w:divBdr>
    </w:div>
    <w:div w:id="1899710233">
      <w:bodyDiv w:val="1"/>
      <w:marLeft w:val="0"/>
      <w:marRight w:val="0"/>
      <w:marTop w:val="0"/>
      <w:marBottom w:val="0"/>
      <w:divBdr>
        <w:top w:val="none" w:sz="0" w:space="0" w:color="auto"/>
        <w:left w:val="none" w:sz="0" w:space="0" w:color="auto"/>
        <w:bottom w:val="none" w:sz="0" w:space="0" w:color="auto"/>
        <w:right w:val="none" w:sz="0" w:space="0" w:color="auto"/>
      </w:divBdr>
    </w:div>
    <w:div w:id="1905797635">
      <w:bodyDiv w:val="1"/>
      <w:marLeft w:val="0"/>
      <w:marRight w:val="0"/>
      <w:marTop w:val="0"/>
      <w:marBottom w:val="0"/>
      <w:divBdr>
        <w:top w:val="none" w:sz="0" w:space="0" w:color="auto"/>
        <w:left w:val="none" w:sz="0" w:space="0" w:color="auto"/>
        <w:bottom w:val="none" w:sz="0" w:space="0" w:color="auto"/>
        <w:right w:val="none" w:sz="0" w:space="0" w:color="auto"/>
      </w:divBdr>
    </w:div>
    <w:div w:id="1909413078">
      <w:bodyDiv w:val="1"/>
      <w:marLeft w:val="0"/>
      <w:marRight w:val="0"/>
      <w:marTop w:val="0"/>
      <w:marBottom w:val="0"/>
      <w:divBdr>
        <w:top w:val="none" w:sz="0" w:space="0" w:color="auto"/>
        <w:left w:val="none" w:sz="0" w:space="0" w:color="auto"/>
        <w:bottom w:val="none" w:sz="0" w:space="0" w:color="auto"/>
        <w:right w:val="none" w:sz="0" w:space="0" w:color="auto"/>
      </w:divBdr>
    </w:div>
    <w:div w:id="1965230413">
      <w:bodyDiv w:val="1"/>
      <w:marLeft w:val="0"/>
      <w:marRight w:val="0"/>
      <w:marTop w:val="0"/>
      <w:marBottom w:val="0"/>
      <w:divBdr>
        <w:top w:val="none" w:sz="0" w:space="0" w:color="auto"/>
        <w:left w:val="none" w:sz="0" w:space="0" w:color="auto"/>
        <w:bottom w:val="none" w:sz="0" w:space="0" w:color="auto"/>
        <w:right w:val="none" w:sz="0" w:space="0" w:color="auto"/>
      </w:divBdr>
    </w:div>
    <w:div w:id="1994140555">
      <w:bodyDiv w:val="1"/>
      <w:marLeft w:val="0"/>
      <w:marRight w:val="0"/>
      <w:marTop w:val="0"/>
      <w:marBottom w:val="0"/>
      <w:divBdr>
        <w:top w:val="none" w:sz="0" w:space="0" w:color="auto"/>
        <w:left w:val="none" w:sz="0" w:space="0" w:color="auto"/>
        <w:bottom w:val="none" w:sz="0" w:space="0" w:color="auto"/>
        <w:right w:val="none" w:sz="0" w:space="0" w:color="auto"/>
      </w:divBdr>
    </w:div>
    <w:div w:id="1995446956">
      <w:bodyDiv w:val="1"/>
      <w:marLeft w:val="0"/>
      <w:marRight w:val="0"/>
      <w:marTop w:val="0"/>
      <w:marBottom w:val="0"/>
      <w:divBdr>
        <w:top w:val="none" w:sz="0" w:space="0" w:color="auto"/>
        <w:left w:val="none" w:sz="0" w:space="0" w:color="auto"/>
        <w:bottom w:val="none" w:sz="0" w:space="0" w:color="auto"/>
        <w:right w:val="none" w:sz="0" w:space="0" w:color="auto"/>
      </w:divBdr>
    </w:div>
    <w:div w:id="1995990092">
      <w:bodyDiv w:val="1"/>
      <w:marLeft w:val="0"/>
      <w:marRight w:val="0"/>
      <w:marTop w:val="0"/>
      <w:marBottom w:val="0"/>
      <w:divBdr>
        <w:top w:val="none" w:sz="0" w:space="0" w:color="auto"/>
        <w:left w:val="none" w:sz="0" w:space="0" w:color="auto"/>
        <w:bottom w:val="none" w:sz="0" w:space="0" w:color="auto"/>
        <w:right w:val="none" w:sz="0" w:space="0" w:color="auto"/>
      </w:divBdr>
    </w:div>
    <w:div w:id="1997955007">
      <w:bodyDiv w:val="1"/>
      <w:marLeft w:val="0"/>
      <w:marRight w:val="0"/>
      <w:marTop w:val="0"/>
      <w:marBottom w:val="0"/>
      <w:divBdr>
        <w:top w:val="none" w:sz="0" w:space="0" w:color="auto"/>
        <w:left w:val="none" w:sz="0" w:space="0" w:color="auto"/>
        <w:bottom w:val="none" w:sz="0" w:space="0" w:color="auto"/>
        <w:right w:val="none" w:sz="0" w:space="0" w:color="auto"/>
      </w:divBdr>
    </w:div>
    <w:div w:id="2009558538">
      <w:bodyDiv w:val="1"/>
      <w:marLeft w:val="0"/>
      <w:marRight w:val="0"/>
      <w:marTop w:val="0"/>
      <w:marBottom w:val="0"/>
      <w:divBdr>
        <w:top w:val="none" w:sz="0" w:space="0" w:color="auto"/>
        <w:left w:val="none" w:sz="0" w:space="0" w:color="auto"/>
        <w:bottom w:val="none" w:sz="0" w:space="0" w:color="auto"/>
        <w:right w:val="none" w:sz="0" w:space="0" w:color="auto"/>
      </w:divBdr>
    </w:div>
    <w:div w:id="2036465964">
      <w:bodyDiv w:val="1"/>
      <w:marLeft w:val="0"/>
      <w:marRight w:val="0"/>
      <w:marTop w:val="0"/>
      <w:marBottom w:val="0"/>
      <w:divBdr>
        <w:top w:val="none" w:sz="0" w:space="0" w:color="auto"/>
        <w:left w:val="none" w:sz="0" w:space="0" w:color="auto"/>
        <w:bottom w:val="none" w:sz="0" w:space="0" w:color="auto"/>
        <w:right w:val="none" w:sz="0" w:space="0" w:color="auto"/>
      </w:divBdr>
    </w:div>
    <w:div w:id="2047757987">
      <w:bodyDiv w:val="1"/>
      <w:marLeft w:val="0"/>
      <w:marRight w:val="0"/>
      <w:marTop w:val="0"/>
      <w:marBottom w:val="0"/>
      <w:divBdr>
        <w:top w:val="none" w:sz="0" w:space="0" w:color="auto"/>
        <w:left w:val="none" w:sz="0" w:space="0" w:color="auto"/>
        <w:bottom w:val="none" w:sz="0" w:space="0" w:color="auto"/>
        <w:right w:val="none" w:sz="0" w:space="0" w:color="auto"/>
      </w:divBdr>
      <w:divsChild>
        <w:div w:id="1000349461">
          <w:marLeft w:val="0"/>
          <w:marRight w:val="0"/>
          <w:marTop w:val="0"/>
          <w:marBottom w:val="0"/>
          <w:divBdr>
            <w:top w:val="none" w:sz="0" w:space="0" w:color="auto"/>
            <w:left w:val="none" w:sz="0" w:space="0" w:color="auto"/>
            <w:bottom w:val="none" w:sz="0" w:space="0" w:color="auto"/>
            <w:right w:val="none" w:sz="0" w:space="0" w:color="auto"/>
          </w:divBdr>
          <w:divsChild>
            <w:div w:id="359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73803">
      <w:bodyDiv w:val="1"/>
      <w:marLeft w:val="0"/>
      <w:marRight w:val="0"/>
      <w:marTop w:val="0"/>
      <w:marBottom w:val="0"/>
      <w:divBdr>
        <w:top w:val="none" w:sz="0" w:space="0" w:color="auto"/>
        <w:left w:val="none" w:sz="0" w:space="0" w:color="auto"/>
        <w:bottom w:val="none" w:sz="0" w:space="0" w:color="auto"/>
        <w:right w:val="none" w:sz="0" w:space="0" w:color="auto"/>
      </w:divBdr>
    </w:div>
    <w:div w:id="2079665633">
      <w:bodyDiv w:val="1"/>
      <w:marLeft w:val="0"/>
      <w:marRight w:val="0"/>
      <w:marTop w:val="0"/>
      <w:marBottom w:val="0"/>
      <w:divBdr>
        <w:top w:val="none" w:sz="0" w:space="0" w:color="auto"/>
        <w:left w:val="none" w:sz="0" w:space="0" w:color="auto"/>
        <w:bottom w:val="none" w:sz="0" w:space="0" w:color="auto"/>
        <w:right w:val="none" w:sz="0" w:space="0" w:color="auto"/>
      </w:divBdr>
      <w:divsChild>
        <w:div w:id="711611491">
          <w:marLeft w:val="0"/>
          <w:marRight w:val="0"/>
          <w:marTop w:val="0"/>
          <w:marBottom w:val="0"/>
          <w:divBdr>
            <w:top w:val="none" w:sz="0" w:space="0" w:color="auto"/>
            <w:left w:val="none" w:sz="0" w:space="0" w:color="auto"/>
            <w:bottom w:val="none" w:sz="0" w:space="0" w:color="auto"/>
            <w:right w:val="none" w:sz="0" w:space="0" w:color="auto"/>
          </w:divBdr>
          <w:divsChild>
            <w:div w:id="808594843">
              <w:marLeft w:val="0"/>
              <w:marRight w:val="0"/>
              <w:marTop w:val="0"/>
              <w:marBottom w:val="0"/>
              <w:divBdr>
                <w:top w:val="none" w:sz="0" w:space="0" w:color="auto"/>
                <w:left w:val="none" w:sz="0" w:space="0" w:color="auto"/>
                <w:bottom w:val="none" w:sz="0" w:space="0" w:color="auto"/>
                <w:right w:val="none" w:sz="0" w:space="0" w:color="auto"/>
              </w:divBdr>
              <w:divsChild>
                <w:div w:id="29329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6330">
      <w:bodyDiv w:val="1"/>
      <w:marLeft w:val="0"/>
      <w:marRight w:val="0"/>
      <w:marTop w:val="0"/>
      <w:marBottom w:val="0"/>
      <w:divBdr>
        <w:top w:val="none" w:sz="0" w:space="0" w:color="auto"/>
        <w:left w:val="none" w:sz="0" w:space="0" w:color="auto"/>
        <w:bottom w:val="none" w:sz="0" w:space="0" w:color="auto"/>
        <w:right w:val="none" w:sz="0" w:space="0" w:color="auto"/>
      </w:divBdr>
    </w:div>
    <w:div w:id="2091123820">
      <w:bodyDiv w:val="1"/>
      <w:marLeft w:val="0"/>
      <w:marRight w:val="0"/>
      <w:marTop w:val="0"/>
      <w:marBottom w:val="0"/>
      <w:divBdr>
        <w:top w:val="none" w:sz="0" w:space="0" w:color="auto"/>
        <w:left w:val="none" w:sz="0" w:space="0" w:color="auto"/>
        <w:bottom w:val="none" w:sz="0" w:space="0" w:color="auto"/>
        <w:right w:val="none" w:sz="0" w:space="0" w:color="auto"/>
      </w:divBdr>
    </w:div>
    <w:div w:id="2091191298">
      <w:bodyDiv w:val="1"/>
      <w:marLeft w:val="0"/>
      <w:marRight w:val="0"/>
      <w:marTop w:val="0"/>
      <w:marBottom w:val="0"/>
      <w:divBdr>
        <w:top w:val="none" w:sz="0" w:space="0" w:color="auto"/>
        <w:left w:val="none" w:sz="0" w:space="0" w:color="auto"/>
        <w:bottom w:val="none" w:sz="0" w:space="0" w:color="auto"/>
        <w:right w:val="none" w:sz="0" w:space="0" w:color="auto"/>
      </w:divBdr>
    </w:div>
    <w:div w:id="2096243903">
      <w:bodyDiv w:val="1"/>
      <w:marLeft w:val="0"/>
      <w:marRight w:val="0"/>
      <w:marTop w:val="0"/>
      <w:marBottom w:val="0"/>
      <w:divBdr>
        <w:top w:val="none" w:sz="0" w:space="0" w:color="auto"/>
        <w:left w:val="none" w:sz="0" w:space="0" w:color="auto"/>
        <w:bottom w:val="none" w:sz="0" w:space="0" w:color="auto"/>
        <w:right w:val="none" w:sz="0" w:space="0" w:color="auto"/>
      </w:divBdr>
    </w:div>
    <w:div w:id="2121949271">
      <w:bodyDiv w:val="1"/>
      <w:marLeft w:val="0"/>
      <w:marRight w:val="0"/>
      <w:marTop w:val="0"/>
      <w:marBottom w:val="0"/>
      <w:divBdr>
        <w:top w:val="none" w:sz="0" w:space="0" w:color="auto"/>
        <w:left w:val="none" w:sz="0" w:space="0" w:color="auto"/>
        <w:bottom w:val="none" w:sz="0" w:space="0" w:color="auto"/>
        <w:right w:val="none" w:sz="0" w:space="0" w:color="auto"/>
      </w:divBdr>
      <w:divsChild>
        <w:div w:id="1495560947">
          <w:marLeft w:val="0"/>
          <w:marRight w:val="0"/>
          <w:marTop w:val="0"/>
          <w:marBottom w:val="0"/>
          <w:divBdr>
            <w:top w:val="none" w:sz="0" w:space="0" w:color="auto"/>
            <w:left w:val="none" w:sz="0" w:space="0" w:color="auto"/>
            <w:bottom w:val="none" w:sz="0" w:space="0" w:color="auto"/>
            <w:right w:val="none" w:sz="0" w:space="0" w:color="auto"/>
          </w:divBdr>
          <w:divsChild>
            <w:div w:id="1336878105">
              <w:marLeft w:val="0"/>
              <w:marRight w:val="0"/>
              <w:marTop w:val="0"/>
              <w:marBottom w:val="0"/>
              <w:divBdr>
                <w:top w:val="none" w:sz="0" w:space="0" w:color="auto"/>
                <w:left w:val="none" w:sz="0" w:space="0" w:color="auto"/>
                <w:bottom w:val="none" w:sz="0" w:space="0" w:color="auto"/>
                <w:right w:val="none" w:sz="0" w:space="0" w:color="auto"/>
              </w:divBdr>
              <w:divsChild>
                <w:div w:id="4602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03303">
      <w:bodyDiv w:val="1"/>
      <w:marLeft w:val="0"/>
      <w:marRight w:val="0"/>
      <w:marTop w:val="0"/>
      <w:marBottom w:val="0"/>
      <w:divBdr>
        <w:top w:val="none" w:sz="0" w:space="0" w:color="auto"/>
        <w:left w:val="none" w:sz="0" w:space="0" w:color="auto"/>
        <w:bottom w:val="none" w:sz="0" w:space="0" w:color="auto"/>
        <w:right w:val="none" w:sz="0" w:space="0" w:color="auto"/>
      </w:divBdr>
    </w:div>
    <w:div w:id="2123303529">
      <w:bodyDiv w:val="1"/>
      <w:marLeft w:val="0"/>
      <w:marRight w:val="0"/>
      <w:marTop w:val="0"/>
      <w:marBottom w:val="0"/>
      <w:divBdr>
        <w:top w:val="none" w:sz="0" w:space="0" w:color="auto"/>
        <w:left w:val="none" w:sz="0" w:space="0" w:color="auto"/>
        <w:bottom w:val="none" w:sz="0" w:space="0" w:color="auto"/>
        <w:right w:val="none" w:sz="0" w:space="0" w:color="auto"/>
      </w:divBdr>
    </w:div>
    <w:div w:id="2126004214">
      <w:bodyDiv w:val="1"/>
      <w:marLeft w:val="0"/>
      <w:marRight w:val="0"/>
      <w:marTop w:val="0"/>
      <w:marBottom w:val="0"/>
      <w:divBdr>
        <w:top w:val="none" w:sz="0" w:space="0" w:color="auto"/>
        <w:left w:val="none" w:sz="0" w:space="0" w:color="auto"/>
        <w:bottom w:val="none" w:sz="0" w:space="0" w:color="auto"/>
        <w:right w:val="none" w:sz="0" w:space="0" w:color="auto"/>
      </w:divBdr>
    </w:div>
    <w:div w:id="2129349016">
      <w:bodyDiv w:val="1"/>
      <w:marLeft w:val="0"/>
      <w:marRight w:val="0"/>
      <w:marTop w:val="0"/>
      <w:marBottom w:val="0"/>
      <w:divBdr>
        <w:top w:val="none" w:sz="0" w:space="0" w:color="auto"/>
        <w:left w:val="none" w:sz="0" w:space="0" w:color="auto"/>
        <w:bottom w:val="none" w:sz="0" w:space="0" w:color="auto"/>
        <w:right w:val="none" w:sz="0" w:space="0" w:color="auto"/>
      </w:divBdr>
    </w:div>
    <w:div w:id="2131510437">
      <w:bodyDiv w:val="1"/>
      <w:marLeft w:val="0"/>
      <w:marRight w:val="0"/>
      <w:marTop w:val="0"/>
      <w:marBottom w:val="0"/>
      <w:divBdr>
        <w:top w:val="none" w:sz="0" w:space="0" w:color="auto"/>
        <w:left w:val="none" w:sz="0" w:space="0" w:color="auto"/>
        <w:bottom w:val="none" w:sz="0" w:space="0" w:color="auto"/>
        <w:right w:val="none" w:sz="0" w:space="0" w:color="auto"/>
      </w:divBdr>
      <w:divsChild>
        <w:div w:id="1127772485">
          <w:marLeft w:val="0"/>
          <w:marRight w:val="0"/>
          <w:marTop w:val="0"/>
          <w:marBottom w:val="0"/>
          <w:divBdr>
            <w:top w:val="none" w:sz="0" w:space="0" w:color="auto"/>
            <w:left w:val="none" w:sz="0" w:space="0" w:color="auto"/>
            <w:bottom w:val="none" w:sz="0" w:space="0" w:color="auto"/>
            <w:right w:val="none" w:sz="0" w:space="0" w:color="auto"/>
          </w:divBdr>
          <w:divsChild>
            <w:div w:id="315763530">
              <w:marLeft w:val="0"/>
              <w:marRight w:val="0"/>
              <w:marTop w:val="0"/>
              <w:marBottom w:val="0"/>
              <w:divBdr>
                <w:top w:val="none" w:sz="0" w:space="0" w:color="auto"/>
                <w:left w:val="none" w:sz="0" w:space="0" w:color="auto"/>
                <w:bottom w:val="none" w:sz="0" w:space="0" w:color="auto"/>
                <w:right w:val="none" w:sz="0" w:space="0" w:color="auto"/>
              </w:divBdr>
              <w:divsChild>
                <w:div w:id="8372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6397">
      <w:bodyDiv w:val="1"/>
      <w:marLeft w:val="0"/>
      <w:marRight w:val="0"/>
      <w:marTop w:val="0"/>
      <w:marBottom w:val="0"/>
      <w:divBdr>
        <w:top w:val="none" w:sz="0" w:space="0" w:color="auto"/>
        <w:left w:val="none" w:sz="0" w:space="0" w:color="auto"/>
        <w:bottom w:val="none" w:sz="0" w:space="0" w:color="auto"/>
        <w:right w:val="none" w:sz="0" w:space="0" w:color="auto"/>
      </w:divBdr>
      <w:divsChild>
        <w:div w:id="1774744951">
          <w:marLeft w:val="0"/>
          <w:marRight w:val="0"/>
          <w:marTop w:val="0"/>
          <w:marBottom w:val="0"/>
          <w:divBdr>
            <w:top w:val="none" w:sz="0" w:space="0" w:color="auto"/>
            <w:left w:val="none" w:sz="0" w:space="0" w:color="auto"/>
            <w:bottom w:val="none" w:sz="0" w:space="0" w:color="auto"/>
            <w:right w:val="none" w:sz="0" w:space="0" w:color="auto"/>
          </w:divBdr>
          <w:divsChild>
            <w:div w:id="1153138516">
              <w:marLeft w:val="0"/>
              <w:marRight w:val="0"/>
              <w:marTop w:val="0"/>
              <w:marBottom w:val="0"/>
              <w:divBdr>
                <w:top w:val="none" w:sz="0" w:space="0" w:color="auto"/>
                <w:left w:val="none" w:sz="0" w:space="0" w:color="auto"/>
                <w:bottom w:val="none" w:sz="0" w:space="0" w:color="auto"/>
                <w:right w:val="none" w:sz="0" w:space="0" w:color="auto"/>
              </w:divBdr>
              <w:divsChild>
                <w:div w:id="17190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nxiong.zhang@sheffield.ac.uk"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j.urquhart@icmacentre.ac.uk" TargetMode="Externa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schopohl@icmacentre.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srn.com/abstract=304645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women-on-boards-review"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livereadingac-my.sharepoint.com/personal/hk909922_reading_ac_uk/Documents/Conferences/EFiC%202019%20-%20Essex/graph_female%20CFOs%20over%20tim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lineChart>
        <c:grouping val="standard"/>
        <c:ser>
          <c:idx val="1"/>
          <c:order val="0"/>
          <c:tx>
            <c:strRef>
              <c:f>'Table 1 and Figure 1'!$C$1</c:f>
              <c:strCache>
                <c:ptCount val="1"/>
                <c:pt idx="0">
                  <c:v>% of Female CFOs</c:v>
                </c:pt>
              </c:strCache>
            </c:strRef>
          </c:tx>
          <c:spPr>
            <a:ln w="22225" cap="rnd">
              <a:solidFill>
                <a:schemeClr val="tx1"/>
              </a:solidFill>
              <a:round/>
            </a:ln>
            <a:effectLst/>
          </c:spPr>
          <c:marker>
            <c:symbol val="none"/>
          </c:marker>
          <c:cat>
            <c:numRef>
              <c:f>'Table 1 and Figure 1'!$A$2:$A$20</c:f>
              <c:numCache>
                <c:formatCode>General</c:formatCode>
                <c:ptCount val="19"/>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numCache>
            </c:numRef>
          </c:cat>
          <c:val>
            <c:numRef>
              <c:f>'Table 1 and Figure 1'!$C$2:$C$20</c:f>
              <c:numCache>
                <c:formatCode>General</c:formatCode>
                <c:ptCount val="19"/>
                <c:pt idx="0">
                  <c:v>4.0000000000000112E-2</c:v>
                </c:pt>
                <c:pt idx="1">
                  <c:v>2.0000000000000052E-2</c:v>
                </c:pt>
                <c:pt idx="2">
                  <c:v>2.0000000000000052E-2</c:v>
                </c:pt>
                <c:pt idx="3">
                  <c:v>3.0000000000000231E-2</c:v>
                </c:pt>
                <c:pt idx="4">
                  <c:v>4.0000000000000112E-2</c:v>
                </c:pt>
                <c:pt idx="5">
                  <c:v>3.0000000000000231E-2</c:v>
                </c:pt>
                <c:pt idx="6">
                  <c:v>5.0000000000000114E-2</c:v>
                </c:pt>
                <c:pt idx="7">
                  <c:v>5.0000000000000114E-2</c:v>
                </c:pt>
                <c:pt idx="8">
                  <c:v>5.0000000000000114E-2</c:v>
                </c:pt>
                <c:pt idx="9">
                  <c:v>5.0000000000000114E-2</c:v>
                </c:pt>
                <c:pt idx="10">
                  <c:v>4.0000000000000112E-2</c:v>
                </c:pt>
                <c:pt idx="11">
                  <c:v>4.0000000000000112E-2</c:v>
                </c:pt>
                <c:pt idx="12">
                  <c:v>4.0000000000000112E-2</c:v>
                </c:pt>
                <c:pt idx="13">
                  <c:v>6.0000000000000241E-2</c:v>
                </c:pt>
                <c:pt idx="14">
                  <c:v>7.0000000000000034E-2</c:v>
                </c:pt>
                <c:pt idx="15">
                  <c:v>8.0000000000000224E-2</c:v>
                </c:pt>
                <c:pt idx="16">
                  <c:v>8.0000000000000224E-2</c:v>
                </c:pt>
                <c:pt idx="17">
                  <c:v>9.0000000000000066E-2</c:v>
                </c:pt>
                <c:pt idx="18">
                  <c:v>0.1</c:v>
                </c:pt>
              </c:numCache>
            </c:numRef>
          </c:val>
          <c:extLst xmlns:c16r2="http://schemas.microsoft.com/office/drawing/2015/06/chart">
            <c:ext xmlns:c16="http://schemas.microsoft.com/office/drawing/2014/chart" uri="{C3380CC4-5D6E-409C-BE32-E72D297353CC}">
              <c16:uniqueId val="{00000000-86FD-43C8-8657-A3562A9B3426}"/>
            </c:ext>
          </c:extLst>
        </c:ser>
        <c:ser>
          <c:idx val="2"/>
          <c:order val="1"/>
          <c:tx>
            <c:strRef>
              <c:f>'Table 1 and Figure 1'!$F$1</c:f>
              <c:strCache>
                <c:ptCount val="1"/>
                <c:pt idx="0">
                  <c:v>% Female Directors</c:v>
                </c:pt>
              </c:strCache>
            </c:strRef>
          </c:tx>
          <c:spPr>
            <a:ln w="22225" cap="rnd">
              <a:solidFill>
                <a:schemeClr val="tx1"/>
              </a:solidFill>
              <a:prstDash val="sysDash"/>
              <a:round/>
            </a:ln>
            <a:effectLst/>
          </c:spPr>
          <c:marker>
            <c:symbol val="none"/>
          </c:marker>
          <c:cat>
            <c:numRef>
              <c:f>'Table 1 and Figure 1'!$A$2:$A$20</c:f>
              <c:numCache>
                <c:formatCode>General</c:formatCode>
                <c:ptCount val="19"/>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numCache>
            </c:numRef>
          </c:cat>
          <c:val>
            <c:numRef>
              <c:f>'Table 1 and Figure 1'!$F$2:$F$20</c:f>
              <c:numCache>
                <c:formatCode>General</c:formatCode>
                <c:ptCount val="19"/>
                <c:pt idx="0">
                  <c:v>4.0000000000000112E-2</c:v>
                </c:pt>
                <c:pt idx="1">
                  <c:v>4.0000000000000112E-2</c:v>
                </c:pt>
                <c:pt idx="2">
                  <c:v>4.0000000000000112E-2</c:v>
                </c:pt>
                <c:pt idx="3">
                  <c:v>4.0000000000000112E-2</c:v>
                </c:pt>
                <c:pt idx="4">
                  <c:v>5.0000000000000114E-2</c:v>
                </c:pt>
                <c:pt idx="5">
                  <c:v>5.0000000000000114E-2</c:v>
                </c:pt>
                <c:pt idx="6">
                  <c:v>5.0000000000000114E-2</c:v>
                </c:pt>
                <c:pt idx="7">
                  <c:v>5.0000000000000114E-2</c:v>
                </c:pt>
                <c:pt idx="8">
                  <c:v>6.0000000000000241E-2</c:v>
                </c:pt>
                <c:pt idx="9">
                  <c:v>6.0000000000000241E-2</c:v>
                </c:pt>
                <c:pt idx="10">
                  <c:v>6.0000000000000241E-2</c:v>
                </c:pt>
                <c:pt idx="11">
                  <c:v>6.0000000000000241E-2</c:v>
                </c:pt>
                <c:pt idx="12">
                  <c:v>7.0000000000000034E-2</c:v>
                </c:pt>
                <c:pt idx="13">
                  <c:v>8.0000000000000224E-2</c:v>
                </c:pt>
                <c:pt idx="14">
                  <c:v>0.1</c:v>
                </c:pt>
                <c:pt idx="15">
                  <c:v>0.11000000000000018</c:v>
                </c:pt>
                <c:pt idx="16">
                  <c:v>0.12000000000000002</c:v>
                </c:pt>
                <c:pt idx="17">
                  <c:v>0.13</c:v>
                </c:pt>
                <c:pt idx="18">
                  <c:v>0.13</c:v>
                </c:pt>
              </c:numCache>
            </c:numRef>
          </c:val>
          <c:extLst xmlns:c16r2="http://schemas.microsoft.com/office/drawing/2015/06/chart">
            <c:ext xmlns:c16="http://schemas.microsoft.com/office/drawing/2014/chart" uri="{C3380CC4-5D6E-409C-BE32-E72D297353CC}">
              <c16:uniqueId val="{00000001-86FD-43C8-8657-A3562A9B3426}"/>
            </c:ext>
          </c:extLst>
        </c:ser>
        <c:ser>
          <c:idx val="6"/>
          <c:order val="2"/>
          <c:tx>
            <c:strRef>
              <c:f>'Table 1 and Figure 1'!$E$1</c:f>
              <c:strCache>
                <c:ptCount val="1"/>
                <c:pt idx="0">
                  <c:v>% of Female CEOs</c:v>
                </c:pt>
              </c:strCache>
            </c:strRef>
          </c:tx>
          <c:spPr>
            <a:ln w="22225" cap="rnd">
              <a:solidFill>
                <a:schemeClr val="tx1"/>
              </a:solidFill>
              <a:prstDash val="dashDot"/>
              <a:round/>
            </a:ln>
            <a:effectLst/>
          </c:spPr>
          <c:marker>
            <c:symbol val="none"/>
          </c:marker>
          <c:cat>
            <c:numRef>
              <c:f>'Table 1 and Figure 1'!$A$2:$A$20</c:f>
              <c:numCache>
                <c:formatCode>General</c:formatCode>
                <c:ptCount val="19"/>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numCache>
            </c:numRef>
          </c:cat>
          <c:val>
            <c:numRef>
              <c:f>'Table 1 and Figure 1'!$E$2:$E$20</c:f>
              <c:numCache>
                <c:formatCode>0.00</c:formatCode>
                <c:ptCount val="19"/>
                <c:pt idx="0">
                  <c:v>0</c:v>
                </c:pt>
                <c:pt idx="1">
                  <c:v>4.3103448275861956E-3</c:v>
                </c:pt>
                <c:pt idx="2">
                  <c:v>3.6764705882353322E-3</c:v>
                </c:pt>
                <c:pt idx="3">
                  <c:v>1.6181229773462969E-2</c:v>
                </c:pt>
                <c:pt idx="4">
                  <c:v>1.8072289156626505E-2</c:v>
                </c:pt>
                <c:pt idx="5">
                  <c:v>1.5957446808510641E-2</c:v>
                </c:pt>
                <c:pt idx="6">
                  <c:v>2.1978021978022001E-2</c:v>
                </c:pt>
                <c:pt idx="7">
                  <c:v>2.3210831721470052E-2</c:v>
                </c:pt>
                <c:pt idx="8">
                  <c:v>2.9465930018416506E-2</c:v>
                </c:pt>
                <c:pt idx="9">
                  <c:v>2.9469548133595279E-2</c:v>
                </c:pt>
                <c:pt idx="10">
                  <c:v>1.8711018711018875E-2</c:v>
                </c:pt>
                <c:pt idx="11">
                  <c:v>2.6871401151631481E-2</c:v>
                </c:pt>
                <c:pt idx="12">
                  <c:v>3.0828516377649409E-2</c:v>
                </c:pt>
                <c:pt idx="13">
                  <c:v>3.07377049180328E-2</c:v>
                </c:pt>
                <c:pt idx="14">
                  <c:v>2.5263157894736838E-2</c:v>
                </c:pt>
                <c:pt idx="15">
                  <c:v>2.7896995708154886E-2</c:v>
                </c:pt>
                <c:pt idx="16">
                  <c:v>2.7426160337552748E-2</c:v>
                </c:pt>
                <c:pt idx="17">
                  <c:v>3.4858387799564558E-2</c:v>
                </c:pt>
                <c:pt idx="18">
                  <c:v>5.0000000000000114E-2</c:v>
                </c:pt>
              </c:numCache>
            </c:numRef>
          </c:val>
          <c:extLst xmlns:c16r2="http://schemas.microsoft.com/office/drawing/2015/06/chart">
            <c:ext xmlns:c16="http://schemas.microsoft.com/office/drawing/2014/chart" uri="{C3380CC4-5D6E-409C-BE32-E72D297353CC}">
              <c16:uniqueId val="{00000002-86FD-43C8-8657-A3562A9B3426}"/>
            </c:ext>
          </c:extLst>
        </c:ser>
        <c:marker val="1"/>
        <c:axId val="238445696"/>
        <c:axId val="238447616"/>
        <c:extLst xmlns:c16r2="http://schemas.microsoft.com/office/drawing/2015/06/chart">
          <c:ext xmlns:c15="http://schemas.microsoft.com/office/drawing/2012/chart" uri="{02D57815-91ED-43cb-92C2-25804820EDAC}">
            <c15:filteredLineSeries>
              <c15:ser>
                <c:idx val="0"/>
                <c:order val="0"/>
                <c:tx>
                  <c:strRef>
                    <c:extLst>
                      <c:ext uri="{02D57815-91ED-43cb-92C2-25804820EDAC}">
                        <c15:formulaRef>
                          <c15:sqref>'Table 1 and Figure 1'!$B$1</c15:sqref>
                        </c15:formulaRef>
                      </c:ext>
                    </c:extLst>
                    <c:strCache>
                      <c:ptCount val="1"/>
                      <c:pt idx="0">
                        <c:v>No. Female CFOs</c:v>
                      </c:pt>
                    </c:strCache>
                  </c:strRef>
                </c:tx>
                <c:spPr>
                  <a:ln w="28575" cap="rnd">
                    <a:solidFill>
                      <a:schemeClr val="accent1"/>
                    </a:solidFill>
                    <a:round/>
                  </a:ln>
                  <a:effectLst/>
                </c:spPr>
                <c:marker>
                  <c:symbol val="none"/>
                </c:marker>
                <c:cat>
                  <c:numRef>
                    <c:extLst>
                      <c:ext uri="{02D57815-91ED-43cb-92C2-25804820EDAC}">
                        <c15:formulaRef>
                          <c15:sqref>'Table 1 and Figure 1'!$A$2:$A$20</c15:sqref>
                        </c15:formulaRef>
                      </c:ext>
                    </c:extLst>
                    <c:numCache>
                      <c:formatCode>General</c:formatCode>
                      <c:ptCount val="19"/>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numCache>
                  </c:numRef>
                </c:cat>
                <c:val>
                  <c:numRef>
                    <c:extLst>
                      <c:ext uri="{02D57815-91ED-43cb-92C2-25804820EDAC}">
                        <c15:formulaRef>
                          <c15:sqref>'Table 1 and Figure 1'!$B$2:$B$20</c15:sqref>
                        </c15:formulaRef>
                      </c:ext>
                    </c:extLst>
                    <c:numCache>
                      <c:formatCode>General</c:formatCode>
                      <c:ptCount val="19"/>
                      <c:pt idx="0">
                        <c:v>6</c:v>
                      </c:pt>
                      <c:pt idx="1">
                        <c:v>5</c:v>
                      </c:pt>
                      <c:pt idx="2">
                        <c:v>6</c:v>
                      </c:pt>
                      <c:pt idx="3">
                        <c:v>9</c:v>
                      </c:pt>
                      <c:pt idx="4">
                        <c:v>14</c:v>
                      </c:pt>
                      <c:pt idx="5">
                        <c:v>13</c:v>
                      </c:pt>
                      <c:pt idx="6">
                        <c:v>24</c:v>
                      </c:pt>
                      <c:pt idx="7">
                        <c:v>24</c:v>
                      </c:pt>
                      <c:pt idx="8">
                        <c:v>29</c:v>
                      </c:pt>
                      <c:pt idx="9">
                        <c:v>26</c:v>
                      </c:pt>
                      <c:pt idx="10">
                        <c:v>18</c:v>
                      </c:pt>
                      <c:pt idx="11">
                        <c:v>23</c:v>
                      </c:pt>
                      <c:pt idx="12">
                        <c:v>22</c:v>
                      </c:pt>
                      <c:pt idx="13">
                        <c:v>29</c:v>
                      </c:pt>
                      <c:pt idx="14">
                        <c:v>32</c:v>
                      </c:pt>
                      <c:pt idx="15">
                        <c:v>36</c:v>
                      </c:pt>
                      <c:pt idx="16">
                        <c:v>37</c:v>
                      </c:pt>
                      <c:pt idx="17">
                        <c:v>42</c:v>
                      </c:pt>
                      <c:pt idx="18">
                        <c:v>30</c:v>
                      </c:pt>
                    </c:numCache>
                  </c:numRef>
                </c:val>
                <c:smooth val="0"/>
                <c:extLst>
                  <c:ext xmlns:c16="http://schemas.microsoft.com/office/drawing/2014/chart" uri="{C3380CC4-5D6E-409C-BE32-E72D297353CC}">
                    <c16:uniqueId val="{00000003-86FD-43C8-8657-A3562A9B3426}"/>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'Table 1 and Figure 1'!$G$1</c15:sqref>
                        </c15:formulaRef>
                      </c:ext>
                    </c:extLst>
                    <c:strCache>
                      <c:ptCount val="1"/>
                      <c:pt idx="0">
                        <c:v>Board Size</c:v>
                      </c:pt>
                    </c:strCache>
                  </c:strRef>
                </c:tx>
                <c:spPr>
                  <a:ln w="28575" cap="rnd">
                    <a:solidFill>
                      <a:schemeClr val="accent4"/>
                    </a:solidFill>
                    <a:round/>
                  </a:ln>
                  <a:effectLst/>
                </c:spPr>
                <c:marker>
                  <c:symbol val="none"/>
                </c:marker>
                <c:cat>
                  <c:numRef>
                    <c:extLst xmlns:c15="http://schemas.microsoft.com/office/drawing/2012/chart">
                      <c:ext xmlns:c15="http://schemas.microsoft.com/office/drawing/2012/chart" uri="{02D57815-91ED-43cb-92C2-25804820EDAC}">
                        <c15:formulaRef>
                          <c15:sqref>'Table 1 and Figure 1'!$A$2:$A$20</c15:sqref>
                        </c15:formulaRef>
                      </c:ext>
                    </c:extLst>
                    <c:numCache>
                      <c:formatCode>General</c:formatCode>
                      <c:ptCount val="19"/>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numCache>
                  </c:numRef>
                </c:cat>
                <c:val>
                  <c:numRef>
                    <c:extLst xmlns:c15="http://schemas.microsoft.com/office/drawing/2012/chart">
                      <c:ext xmlns:c15="http://schemas.microsoft.com/office/drawing/2012/chart" uri="{02D57815-91ED-43cb-92C2-25804820EDAC}">
                        <c15:formulaRef>
                          <c15:sqref>'Table 1 and Figure 1'!$G$2:$G$20</c15:sqref>
                        </c15:formulaRef>
                      </c:ext>
                    </c:extLst>
                    <c:numCache>
                      <c:formatCode>General</c:formatCode>
                      <c:ptCount val="19"/>
                      <c:pt idx="0">
                        <c:v>8.75</c:v>
                      </c:pt>
                      <c:pt idx="1">
                        <c:v>8.24</c:v>
                      </c:pt>
                      <c:pt idx="2">
                        <c:v>8.18</c:v>
                      </c:pt>
                      <c:pt idx="3">
                        <c:v>8.2100000000000009</c:v>
                      </c:pt>
                      <c:pt idx="4">
                        <c:v>8.0500000000000007</c:v>
                      </c:pt>
                      <c:pt idx="5">
                        <c:v>7.75</c:v>
                      </c:pt>
                      <c:pt idx="6">
                        <c:v>7.59</c:v>
                      </c:pt>
                      <c:pt idx="7">
                        <c:v>7.36</c:v>
                      </c:pt>
                      <c:pt idx="8">
                        <c:v>7.26</c:v>
                      </c:pt>
                      <c:pt idx="9">
                        <c:v>7.36</c:v>
                      </c:pt>
                      <c:pt idx="10">
                        <c:v>7.2</c:v>
                      </c:pt>
                      <c:pt idx="11">
                        <c:v>7.18</c:v>
                      </c:pt>
                      <c:pt idx="12">
                        <c:v>7.23</c:v>
                      </c:pt>
                      <c:pt idx="13">
                        <c:v>7.25</c:v>
                      </c:pt>
                      <c:pt idx="14">
                        <c:v>7.43</c:v>
                      </c:pt>
                      <c:pt idx="15">
                        <c:v>7.41</c:v>
                      </c:pt>
                      <c:pt idx="16">
                        <c:v>7.38</c:v>
                      </c:pt>
                      <c:pt idx="17">
                        <c:v>7.38</c:v>
                      </c:pt>
                      <c:pt idx="18">
                        <c:v>7.07</c:v>
                      </c:pt>
                    </c:numCache>
                  </c:numRef>
                </c:val>
                <c:smooth val="0"/>
                <c:extLst xmlns:c15="http://schemas.microsoft.com/office/drawing/2012/chart">
                  <c:ext xmlns:c16="http://schemas.microsoft.com/office/drawing/2014/chart" uri="{C3380CC4-5D6E-409C-BE32-E72D297353CC}">
                    <c16:uniqueId val="{00000004-86FD-43C8-8657-A3562A9B3426}"/>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'Table 1 and Figure 1'!$H$1</c15:sqref>
                        </c15:formulaRef>
                      </c:ext>
                    </c:extLst>
                    <c:strCache>
                      <c:ptCount val="1"/>
                      <c:pt idx="0">
                        <c:v>Board Independence</c:v>
                      </c:pt>
                    </c:strCache>
                  </c:strRef>
                </c:tx>
                <c:spPr>
                  <a:ln w="28575" cap="rnd">
                    <a:solidFill>
                      <a:schemeClr val="accent5"/>
                    </a:solidFill>
                    <a:round/>
                  </a:ln>
                  <a:effectLst/>
                </c:spPr>
                <c:marker>
                  <c:symbol val="none"/>
                </c:marker>
                <c:cat>
                  <c:numRef>
                    <c:extLst xmlns:c15="http://schemas.microsoft.com/office/drawing/2012/chart">
                      <c:ext xmlns:c15="http://schemas.microsoft.com/office/drawing/2012/chart" uri="{02D57815-91ED-43cb-92C2-25804820EDAC}">
                        <c15:formulaRef>
                          <c15:sqref>'Table 1 and Figure 1'!$A$2:$A$20</c15:sqref>
                        </c15:formulaRef>
                      </c:ext>
                    </c:extLst>
                    <c:numCache>
                      <c:formatCode>General</c:formatCode>
                      <c:ptCount val="19"/>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numCache>
                  </c:numRef>
                </c:cat>
                <c:val>
                  <c:numRef>
                    <c:extLst xmlns:c15="http://schemas.microsoft.com/office/drawing/2012/chart">
                      <c:ext xmlns:c15="http://schemas.microsoft.com/office/drawing/2012/chart" uri="{02D57815-91ED-43cb-92C2-25804820EDAC}">
                        <c15:formulaRef>
                          <c15:sqref>'Table 1 and Figure 1'!$H$2:$H$20</c15:sqref>
                        </c15:formulaRef>
                      </c:ext>
                    </c:extLst>
                    <c:numCache>
                      <c:formatCode>General</c:formatCode>
                      <c:ptCount val="19"/>
                      <c:pt idx="0">
                        <c:v>0.37</c:v>
                      </c:pt>
                      <c:pt idx="1">
                        <c:v>0.4</c:v>
                      </c:pt>
                      <c:pt idx="2">
                        <c:v>0.41</c:v>
                      </c:pt>
                      <c:pt idx="3">
                        <c:v>0.42</c:v>
                      </c:pt>
                      <c:pt idx="4">
                        <c:v>0.41</c:v>
                      </c:pt>
                      <c:pt idx="5">
                        <c:v>0.41</c:v>
                      </c:pt>
                      <c:pt idx="6">
                        <c:v>0.4</c:v>
                      </c:pt>
                      <c:pt idx="7">
                        <c:v>0.4</c:v>
                      </c:pt>
                      <c:pt idx="8">
                        <c:v>0.4</c:v>
                      </c:pt>
                      <c:pt idx="9">
                        <c:v>0.42</c:v>
                      </c:pt>
                      <c:pt idx="10">
                        <c:v>0.42</c:v>
                      </c:pt>
                      <c:pt idx="11">
                        <c:v>0.42</c:v>
                      </c:pt>
                      <c:pt idx="12">
                        <c:v>0.42</c:v>
                      </c:pt>
                      <c:pt idx="13">
                        <c:v>0.43</c:v>
                      </c:pt>
                      <c:pt idx="14">
                        <c:v>0.46</c:v>
                      </c:pt>
                      <c:pt idx="15">
                        <c:v>0.48</c:v>
                      </c:pt>
                      <c:pt idx="16">
                        <c:v>0.48</c:v>
                      </c:pt>
                      <c:pt idx="17">
                        <c:v>0.49</c:v>
                      </c:pt>
                      <c:pt idx="18">
                        <c:v>0.61</c:v>
                      </c:pt>
                    </c:numCache>
                  </c:numRef>
                </c:val>
                <c:smooth val="0"/>
                <c:extLst xmlns:c15="http://schemas.microsoft.com/office/drawing/2012/chart">
                  <c:ext xmlns:c16="http://schemas.microsoft.com/office/drawing/2014/chart" uri="{C3380CC4-5D6E-409C-BE32-E72D297353CC}">
                    <c16:uniqueId val="{00000005-86FD-43C8-8657-A3562A9B3426}"/>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'Table 1 and Figure 1'!$I$1</c15:sqref>
                        </c15:formulaRef>
                      </c:ext>
                    </c:extLst>
                    <c:strCache>
                      <c:ptCount val="1"/>
                      <c:pt idx="0">
                        <c:v># of firms</c:v>
                      </c:pt>
                    </c:strCache>
                  </c:strRef>
                </c:tx>
                <c:spPr>
                  <a:ln w="28575" cap="rnd">
                    <a:solidFill>
                      <a:schemeClr val="accent6"/>
                    </a:solidFill>
                    <a:round/>
                  </a:ln>
                  <a:effectLst/>
                </c:spPr>
                <c:marker>
                  <c:symbol val="none"/>
                </c:marker>
                <c:cat>
                  <c:numRef>
                    <c:extLst xmlns:c15="http://schemas.microsoft.com/office/drawing/2012/chart">
                      <c:ext xmlns:c15="http://schemas.microsoft.com/office/drawing/2012/chart" uri="{02D57815-91ED-43cb-92C2-25804820EDAC}">
                        <c15:formulaRef>
                          <c15:sqref>'Table 1 and Figure 1'!$A$2:$A$20</c15:sqref>
                        </c15:formulaRef>
                      </c:ext>
                    </c:extLst>
                    <c:numCache>
                      <c:formatCode>General</c:formatCode>
                      <c:ptCount val="19"/>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numCache>
                  </c:numRef>
                </c:cat>
                <c:val>
                  <c:numRef>
                    <c:extLst xmlns:c15="http://schemas.microsoft.com/office/drawing/2012/chart">
                      <c:ext xmlns:c15="http://schemas.microsoft.com/office/drawing/2012/chart" uri="{02D57815-91ED-43cb-92C2-25804820EDAC}">
                        <c15:formulaRef>
                          <c15:sqref>'Table 1 and Figure 1'!$I$2:$I$20</c15:sqref>
                        </c15:formulaRef>
                      </c:ext>
                    </c:extLst>
                    <c:numCache>
                      <c:formatCode>General</c:formatCode>
                      <c:ptCount val="19"/>
                      <c:pt idx="0">
                        <c:v>171</c:v>
                      </c:pt>
                      <c:pt idx="1">
                        <c:v>232</c:v>
                      </c:pt>
                      <c:pt idx="2">
                        <c:v>272</c:v>
                      </c:pt>
                      <c:pt idx="3">
                        <c:v>309</c:v>
                      </c:pt>
                      <c:pt idx="4">
                        <c:v>332</c:v>
                      </c:pt>
                      <c:pt idx="5">
                        <c:v>376</c:v>
                      </c:pt>
                      <c:pt idx="6">
                        <c:v>455</c:v>
                      </c:pt>
                      <c:pt idx="7">
                        <c:v>517</c:v>
                      </c:pt>
                      <c:pt idx="8">
                        <c:v>543</c:v>
                      </c:pt>
                      <c:pt idx="9">
                        <c:v>509</c:v>
                      </c:pt>
                      <c:pt idx="10">
                        <c:v>481</c:v>
                      </c:pt>
                      <c:pt idx="11">
                        <c:v>521</c:v>
                      </c:pt>
                      <c:pt idx="12">
                        <c:v>519</c:v>
                      </c:pt>
                      <c:pt idx="13">
                        <c:v>488</c:v>
                      </c:pt>
                      <c:pt idx="14">
                        <c:v>475</c:v>
                      </c:pt>
                      <c:pt idx="15">
                        <c:v>466</c:v>
                      </c:pt>
                      <c:pt idx="16">
                        <c:v>474</c:v>
                      </c:pt>
                      <c:pt idx="17">
                        <c:v>459</c:v>
                      </c:pt>
                      <c:pt idx="18">
                        <c:v>300</c:v>
                      </c:pt>
                    </c:numCache>
                  </c:numRef>
                </c:val>
                <c:smooth val="0"/>
                <c:extLst xmlns:c15="http://schemas.microsoft.com/office/drawing/2012/chart">
                  <c:ext xmlns:c16="http://schemas.microsoft.com/office/drawing/2014/chart" uri="{C3380CC4-5D6E-409C-BE32-E72D297353CC}">
                    <c16:uniqueId val="{00000006-86FD-43C8-8657-A3562A9B3426}"/>
                  </c:ext>
                </c:extLst>
              </c15:ser>
            </c15:filteredLineSeries>
          </c:ext>
        </c:extLst>
      </c:lineChart>
      <c:catAx>
        <c:axId val="238445696"/>
        <c:scaling>
          <c:orientation val="minMax"/>
        </c:scaling>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Year</a:t>
                </a:r>
              </a:p>
            </c:rich>
          </c:tx>
          <c:spPr>
            <a:noFill/>
            <a:ln>
              <a:noFill/>
            </a:ln>
            <a:effectLst/>
          </c:spPr>
        </c:title>
        <c:numFmt formatCode="General" sourceLinked="1"/>
        <c:maj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crossAx val="238447616"/>
        <c:crosses val="autoZero"/>
        <c:auto val="1"/>
        <c:lblAlgn val="ctr"/>
        <c:lblOffset val="100"/>
      </c:catAx>
      <c:valAx>
        <c:axId val="23844761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Percent</a:t>
                </a:r>
              </a:p>
            </c:rich>
          </c:tx>
          <c:spPr>
            <a:noFill/>
            <a:ln>
              <a:noFill/>
            </a:ln>
            <a:effectLst/>
          </c:spPr>
        </c:title>
        <c:numFmt formatCode="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crossAx val="23844569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2F7E18F99B554BA7E8B4CB7D5983E9" ma:contentTypeVersion="13" ma:contentTypeDescription="Create a new document." ma:contentTypeScope="" ma:versionID="eb6e948edaca65bee7a3a9af506de948">
  <xsd:schema xmlns:xsd="http://www.w3.org/2001/XMLSchema" xmlns:xs="http://www.w3.org/2001/XMLSchema" xmlns:p="http://schemas.microsoft.com/office/2006/metadata/properties" xmlns:ns3="2e76a080-e978-4c6f-9404-9a08901db6cb" xmlns:ns4="14021365-9c4a-42c7-9af8-2b2d04039a8f" targetNamespace="http://schemas.microsoft.com/office/2006/metadata/properties" ma:root="true" ma:fieldsID="9e31dffea9f9847d674323a266b15f1d" ns3:_="" ns4:_="">
    <xsd:import namespace="2e76a080-e978-4c6f-9404-9a08901db6cb"/>
    <xsd:import namespace="14021365-9c4a-42c7-9af8-2b2d04039a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6a080-e978-4c6f-9404-9a08901db6c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021365-9c4a-42c7-9af8-2b2d04039a8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B9B6D-CCE0-4CD6-A510-BB2900DCF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6a080-e978-4c6f-9404-9a08901db6cb"/>
    <ds:schemaRef ds:uri="14021365-9c4a-42c7-9af8-2b2d04039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0E6FBF-9989-4F28-954E-2D2A2450EF08}">
  <ds:schemaRefs>
    <ds:schemaRef ds:uri="http://schemas.microsoft.com/sharepoint/v3/contenttype/forms"/>
  </ds:schemaRefs>
</ds:datastoreItem>
</file>

<file path=customXml/itemProps3.xml><?xml version="1.0" encoding="utf-8"?>
<ds:datastoreItem xmlns:ds="http://schemas.openxmlformats.org/officeDocument/2006/customXml" ds:itemID="{81BD7067-0AF3-4A19-85E7-60FF90E999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A7F86A-8B4A-4FC6-B6F9-3C14FAF47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19562</Words>
  <Characters>111506</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Urquhart</dc:creator>
  <cp:lastModifiedBy>Hanxiong Zhang</cp:lastModifiedBy>
  <cp:revision>3</cp:revision>
  <cp:lastPrinted>2019-03-28T16:44:00Z</cp:lastPrinted>
  <dcterms:created xsi:type="dcterms:W3CDTF">2020-12-17T17:54:00Z</dcterms:created>
  <dcterms:modified xsi:type="dcterms:W3CDTF">2020-12-17T17:56:00Z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0x0101006C2F7E18F99B554BA7E8B4CB7D5983E9</vt:lpwstr>
  </property>
</Properties>
</file>